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2B8CE7">
      <w:pPr>
        <w:rPr>
          <w:rFonts w:hint="eastAsia" w:ascii="Times New Roman" w:hAnsi="Times New Roman" w:eastAsia="仿宋_GB2312"/>
          <w:color w:val="auto"/>
          <w:sz w:val="36"/>
          <w:szCs w:val="36"/>
          <w:lang w:val="en-US" w:eastAsia="zh-CN"/>
        </w:rPr>
      </w:pPr>
      <w:bookmarkStart w:id="0" w:name="_Hlk57883707"/>
    </w:p>
    <w:p w14:paraId="545DC1C5">
      <w:pPr>
        <w:pStyle w:val="23"/>
        <w:rPr>
          <w:rFonts w:hint="eastAsia"/>
          <w:color w:val="auto"/>
        </w:rPr>
      </w:pPr>
    </w:p>
    <w:p w14:paraId="4FE9F202">
      <w:pPr>
        <w:pStyle w:val="23"/>
        <w:rPr>
          <w:rFonts w:hint="eastAsia"/>
          <w:color w:val="auto"/>
        </w:rPr>
      </w:pPr>
    </w:p>
    <w:p w14:paraId="62FA30FD">
      <w:pPr>
        <w:pStyle w:val="23"/>
        <w:rPr>
          <w:rFonts w:hint="eastAsia"/>
          <w:color w:val="auto"/>
        </w:rPr>
      </w:pPr>
    </w:p>
    <w:p w14:paraId="2D1BC8E7">
      <w:pPr>
        <w:pStyle w:val="23"/>
        <w:rPr>
          <w:color w:val="auto"/>
        </w:rPr>
      </w:pPr>
    </w:p>
    <w:p w14:paraId="4C6C85CD">
      <w:pPr>
        <w:rPr>
          <w:rFonts w:ascii="Times New Roman" w:hAnsi="Times New Roman" w:eastAsia="仿宋_GB2312"/>
          <w:color w:val="auto"/>
          <w:sz w:val="36"/>
          <w:szCs w:val="36"/>
        </w:rPr>
      </w:pPr>
    </w:p>
    <w:bookmarkEnd w:id="0"/>
    <w:p w14:paraId="28552C49">
      <w:pPr>
        <w:adjustRightInd w:val="0"/>
        <w:snapToGrid w:val="0"/>
        <w:jc w:val="center"/>
        <w:outlineLvl w:val="0"/>
        <w:rPr>
          <w:rFonts w:ascii="Times New Roman" w:hAnsi="Times New Roman"/>
          <w:bCs/>
          <w:color w:val="auto"/>
          <w:sz w:val="72"/>
          <w:szCs w:val="72"/>
        </w:rPr>
      </w:pPr>
      <w:r>
        <w:rPr>
          <w:rFonts w:ascii="Times New Roman" w:hAnsi="宋体"/>
          <w:bCs/>
          <w:color w:val="auto"/>
          <w:sz w:val="72"/>
          <w:szCs w:val="72"/>
        </w:rPr>
        <w:t>建设项目环境影响报告表</w:t>
      </w:r>
    </w:p>
    <w:p w14:paraId="7D9F4401">
      <w:pPr>
        <w:adjustRightInd w:val="0"/>
        <w:snapToGrid w:val="0"/>
        <w:spacing w:before="192" w:beforeLines="80"/>
        <w:jc w:val="center"/>
        <w:rPr>
          <w:rFonts w:ascii="Times New Roman" w:hAnsi="Times New Roman"/>
          <w:bCs/>
          <w:color w:val="auto"/>
          <w:sz w:val="48"/>
          <w:szCs w:val="48"/>
        </w:rPr>
      </w:pPr>
      <w:r>
        <w:rPr>
          <w:rFonts w:ascii="Times New Roman" w:hAnsi="宋体"/>
          <w:bCs/>
          <w:color w:val="auto"/>
          <w:sz w:val="48"/>
          <w:szCs w:val="48"/>
        </w:rPr>
        <w:t>（生态影响类）</w:t>
      </w:r>
    </w:p>
    <w:p w14:paraId="71BEEFCD">
      <w:pPr>
        <w:bidi w:val="0"/>
        <w:jc w:val="center"/>
        <w:rPr>
          <w:color w:val="auto"/>
        </w:rPr>
      </w:pPr>
      <w:bookmarkStart w:id="1" w:name="_Hlk57883728"/>
    </w:p>
    <w:p w14:paraId="032F05F7">
      <w:pPr>
        <w:jc w:val="center"/>
        <w:rPr>
          <w:rFonts w:ascii="Times New Roman" w:hAnsi="Times New Roman" w:eastAsia="仿宋"/>
          <w:color w:val="auto"/>
          <w:sz w:val="52"/>
          <w:szCs w:val="52"/>
        </w:rPr>
      </w:pPr>
    </w:p>
    <w:p w14:paraId="5AC0E0A3">
      <w:pPr>
        <w:ind w:firstLine="1040"/>
        <w:rPr>
          <w:rFonts w:ascii="Times New Roman" w:hAnsi="Times New Roman" w:eastAsia="仿宋"/>
          <w:color w:val="auto"/>
          <w:sz w:val="44"/>
          <w:szCs w:val="44"/>
        </w:rPr>
      </w:pPr>
    </w:p>
    <w:p w14:paraId="7A770A85">
      <w:pPr>
        <w:ind w:firstLine="1040"/>
        <w:rPr>
          <w:rFonts w:ascii="Times New Roman" w:hAnsi="Times New Roman" w:eastAsia="仿宋"/>
          <w:color w:val="auto"/>
          <w:sz w:val="44"/>
          <w:szCs w:val="44"/>
        </w:rPr>
      </w:pPr>
    </w:p>
    <w:p w14:paraId="1638786D">
      <w:pPr>
        <w:ind w:firstLine="1040"/>
        <w:rPr>
          <w:rFonts w:ascii="Times New Roman" w:hAnsi="Times New Roman" w:eastAsia="仿宋"/>
          <w:color w:val="auto"/>
          <w:sz w:val="44"/>
          <w:szCs w:val="44"/>
        </w:rPr>
      </w:pPr>
    </w:p>
    <w:p w14:paraId="290B2CA3">
      <w:pPr>
        <w:ind w:firstLine="1040"/>
        <w:rPr>
          <w:rFonts w:ascii="Times New Roman" w:hAnsi="Times New Roman" w:eastAsia="仿宋"/>
          <w:color w:val="auto"/>
          <w:sz w:val="44"/>
          <w:szCs w:val="44"/>
        </w:rPr>
      </w:pPr>
    </w:p>
    <w:bookmarkEnd w:id="1"/>
    <w:p w14:paraId="1E2DC418">
      <w:pPr>
        <w:adjustRightInd w:val="0"/>
        <w:snapToGrid w:val="0"/>
        <w:spacing w:line="360" w:lineRule="auto"/>
        <w:rPr>
          <w:rFonts w:ascii="Times New Roman" w:hAnsi="Times New Roman"/>
          <w:color w:val="auto"/>
          <w:sz w:val="30"/>
          <w:szCs w:val="30"/>
          <w:u w:val="single"/>
        </w:rPr>
      </w:pPr>
      <w:r>
        <w:rPr>
          <w:rFonts w:ascii="Times New Roman" w:hAnsi="Times New Roman"/>
          <w:color w:val="auto"/>
          <w:sz w:val="30"/>
          <w:szCs w:val="30"/>
        </w:rPr>
        <w:t>项目名称：</w:t>
      </w:r>
      <w:bookmarkStart w:id="2" w:name="_Hlk35255316"/>
      <w:r>
        <w:rPr>
          <w:rFonts w:hint="eastAsia" w:ascii="Times New Roman" w:hAnsi="Times New Roman"/>
          <w:color w:val="auto"/>
          <w:sz w:val="30"/>
          <w:szCs w:val="30"/>
          <w:u w:val="single"/>
        </w:rPr>
        <w:t xml:space="preserve">  朱集西煤矿11404工作面地面钻井项目</w:t>
      </w:r>
      <w:r>
        <w:rPr>
          <w:rFonts w:hint="eastAsia" w:ascii="Times New Roman" w:hAnsi="Times New Roman"/>
          <w:color w:val="auto"/>
          <w:sz w:val="30"/>
          <w:szCs w:val="30"/>
          <w:u w:val="single"/>
          <w:lang w:val="en-US" w:eastAsia="zh-CN"/>
        </w:rPr>
        <w:t xml:space="preserve">      </w:t>
      </w:r>
      <w:r>
        <w:rPr>
          <w:rFonts w:hint="eastAsia" w:ascii="Times New Roman" w:hAnsi="Times New Roman"/>
          <w:color w:val="auto"/>
          <w:sz w:val="30"/>
          <w:szCs w:val="30"/>
          <w:u w:val="single"/>
        </w:rPr>
        <w:t xml:space="preserve">  </w:t>
      </w:r>
    </w:p>
    <w:bookmarkEnd w:id="2"/>
    <w:p w14:paraId="7C5A97C8">
      <w:pPr>
        <w:adjustRightInd w:val="0"/>
        <w:snapToGrid w:val="0"/>
        <w:spacing w:line="360" w:lineRule="auto"/>
        <w:rPr>
          <w:rFonts w:ascii="Times New Roman" w:hAnsi="Times New Roman"/>
          <w:color w:val="auto"/>
          <w:sz w:val="30"/>
          <w:szCs w:val="30"/>
          <w:u w:val="single"/>
        </w:rPr>
      </w:pPr>
      <w:r>
        <w:rPr>
          <w:rFonts w:ascii="Times New Roman" w:hAnsi="Times New Roman"/>
          <w:color w:val="auto"/>
          <w:sz w:val="30"/>
          <w:szCs w:val="30"/>
        </w:rPr>
        <w:t>建设单位（盖章）：</w:t>
      </w:r>
      <w:r>
        <w:rPr>
          <w:rFonts w:hint="eastAsia" w:ascii="Times New Roman" w:hAnsi="Times New Roman"/>
          <w:color w:val="auto"/>
          <w:sz w:val="30"/>
          <w:szCs w:val="30"/>
          <w:u w:val="single"/>
        </w:rPr>
        <w:t xml:space="preserve">  </w:t>
      </w:r>
      <w:r>
        <w:rPr>
          <w:rFonts w:hint="eastAsia" w:ascii="Times New Roman" w:hAnsi="Times New Roman"/>
          <w:color w:val="auto"/>
          <w:sz w:val="30"/>
          <w:szCs w:val="30"/>
          <w:u w:val="single"/>
          <w:lang w:val="en-US" w:eastAsia="zh-CN"/>
        </w:rPr>
        <w:t xml:space="preserve"> </w:t>
      </w:r>
      <w:r>
        <w:rPr>
          <w:rFonts w:ascii="Times New Roman" w:hAnsi="Times New Roman"/>
          <w:color w:val="auto"/>
          <w:sz w:val="30"/>
          <w:szCs w:val="30"/>
          <w:u w:val="single"/>
        </w:rPr>
        <w:t>中安联合煤化有限责任公司</w:t>
      </w:r>
      <w:r>
        <w:rPr>
          <w:rFonts w:hint="eastAsia" w:ascii="Times New Roman" w:hAnsi="Times New Roman"/>
          <w:color w:val="auto"/>
          <w:sz w:val="30"/>
          <w:szCs w:val="30"/>
          <w:u w:val="single"/>
        </w:rPr>
        <w:t xml:space="preserve">         </w:t>
      </w:r>
    </w:p>
    <w:p w14:paraId="082B2C24">
      <w:pPr>
        <w:adjustRightInd w:val="0"/>
        <w:snapToGrid w:val="0"/>
        <w:spacing w:line="360" w:lineRule="auto"/>
        <w:rPr>
          <w:rFonts w:ascii="Times New Roman" w:hAnsi="Times New Roman"/>
          <w:color w:val="auto"/>
          <w:sz w:val="30"/>
          <w:szCs w:val="30"/>
          <w:u w:val="single"/>
        </w:rPr>
      </w:pPr>
      <w:r>
        <w:rPr>
          <w:rFonts w:ascii="Times New Roman" w:hAnsi="Times New Roman"/>
          <w:color w:val="auto"/>
          <w:sz w:val="30"/>
          <w:szCs w:val="30"/>
        </w:rPr>
        <w:t>编制日期：</w:t>
      </w:r>
      <w:r>
        <w:rPr>
          <w:rFonts w:ascii="Times New Roman" w:hAnsi="Times New Roman"/>
          <w:color w:val="auto"/>
          <w:sz w:val="30"/>
          <w:szCs w:val="30"/>
          <w:u w:val="single"/>
        </w:rPr>
        <w:t xml:space="preserve"> </w:t>
      </w:r>
      <w:r>
        <w:rPr>
          <w:rFonts w:hint="eastAsia" w:ascii="Times New Roman" w:hAnsi="Times New Roman"/>
          <w:color w:val="auto"/>
          <w:sz w:val="30"/>
          <w:szCs w:val="30"/>
          <w:u w:val="single"/>
        </w:rPr>
        <w:t xml:space="preserve">                 </w:t>
      </w:r>
      <w:r>
        <w:rPr>
          <w:rFonts w:ascii="Times New Roman" w:hAnsi="Times New Roman"/>
          <w:color w:val="auto"/>
          <w:sz w:val="30"/>
          <w:szCs w:val="30"/>
          <w:u w:val="single"/>
        </w:rPr>
        <w:t>202</w:t>
      </w:r>
      <w:r>
        <w:rPr>
          <w:rFonts w:hint="eastAsia" w:ascii="Times New Roman" w:hAnsi="Times New Roman"/>
          <w:color w:val="auto"/>
          <w:sz w:val="30"/>
          <w:szCs w:val="30"/>
          <w:u w:val="single"/>
          <w:lang w:val="en-US" w:eastAsia="zh-CN"/>
        </w:rPr>
        <w:t>5</w:t>
      </w:r>
      <w:r>
        <w:rPr>
          <w:rFonts w:ascii="Times New Roman" w:hAnsi="Times New Roman"/>
          <w:color w:val="auto"/>
          <w:sz w:val="30"/>
          <w:szCs w:val="30"/>
          <w:u w:val="single"/>
        </w:rPr>
        <w:t>年</w:t>
      </w:r>
      <w:r>
        <w:rPr>
          <w:rFonts w:hint="eastAsia" w:ascii="Times New Roman" w:hAnsi="Times New Roman"/>
          <w:color w:val="auto"/>
          <w:sz w:val="30"/>
          <w:szCs w:val="30"/>
          <w:u w:val="single"/>
          <w:lang w:val="en-US" w:eastAsia="zh-CN"/>
        </w:rPr>
        <w:t>8</w:t>
      </w:r>
      <w:r>
        <w:rPr>
          <w:rFonts w:ascii="Times New Roman" w:hAnsi="Times New Roman"/>
          <w:color w:val="auto"/>
          <w:sz w:val="30"/>
          <w:szCs w:val="30"/>
          <w:u w:val="single"/>
        </w:rPr>
        <w:t>月</w:t>
      </w:r>
      <w:r>
        <w:rPr>
          <w:rFonts w:hint="eastAsia" w:ascii="Times New Roman" w:hAnsi="Times New Roman"/>
          <w:color w:val="auto"/>
          <w:sz w:val="30"/>
          <w:szCs w:val="30"/>
          <w:u w:val="single"/>
        </w:rPr>
        <w:t xml:space="preserve">                </w:t>
      </w:r>
    </w:p>
    <w:p w14:paraId="36967608">
      <w:pPr>
        <w:adjustRightInd w:val="0"/>
        <w:snapToGrid w:val="0"/>
        <w:spacing w:line="288" w:lineRule="auto"/>
        <w:ind w:firstLine="1040"/>
        <w:rPr>
          <w:rFonts w:ascii="Times New Roman" w:hAnsi="Times New Roman" w:eastAsia="仿宋_GB2312"/>
          <w:color w:val="auto"/>
          <w:sz w:val="36"/>
          <w:szCs w:val="36"/>
          <w:u w:val="single"/>
        </w:rPr>
      </w:pPr>
    </w:p>
    <w:p w14:paraId="3BB8AA53">
      <w:pPr>
        <w:adjustRightInd w:val="0"/>
        <w:snapToGrid w:val="0"/>
        <w:spacing w:line="288" w:lineRule="auto"/>
        <w:ind w:firstLine="1040"/>
        <w:rPr>
          <w:rFonts w:ascii="Times New Roman" w:hAnsi="Times New Roman" w:eastAsia="仿宋_GB2312"/>
          <w:color w:val="auto"/>
          <w:sz w:val="36"/>
          <w:szCs w:val="36"/>
        </w:rPr>
      </w:pPr>
    </w:p>
    <w:p w14:paraId="70E2C2F6">
      <w:pPr>
        <w:adjustRightInd w:val="0"/>
        <w:snapToGrid w:val="0"/>
        <w:spacing w:line="288" w:lineRule="auto"/>
        <w:ind w:firstLine="1040"/>
        <w:rPr>
          <w:rFonts w:ascii="Times New Roman" w:hAnsi="Times New Roman" w:eastAsia="仿宋_GB2312"/>
          <w:color w:val="auto"/>
          <w:sz w:val="36"/>
          <w:szCs w:val="36"/>
        </w:rPr>
      </w:pPr>
    </w:p>
    <w:p w14:paraId="03A730E6">
      <w:pPr>
        <w:pStyle w:val="23"/>
        <w:rPr>
          <w:rFonts w:ascii="Times New Roman" w:hAnsi="Times New Roman"/>
          <w:color w:val="auto"/>
        </w:rPr>
      </w:pPr>
    </w:p>
    <w:p w14:paraId="471DA482">
      <w:pPr>
        <w:adjustRightInd w:val="0"/>
        <w:snapToGrid w:val="0"/>
        <w:spacing w:line="288" w:lineRule="auto"/>
        <w:jc w:val="center"/>
        <w:rPr>
          <w:rFonts w:ascii="Times New Roman" w:hAnsi="Times New Roman"/>
          <w:color w:val="auto"/>
          <w:sz w:val="36"/>
          <w:szCs w:val="36"/>
        </w:rPr>
      </w:pPr>
    </w:p>
    <w:p w14:paraId="4F731357">
      <w:pPr>
        <w:adjustRightInd w:val="0"/>
        <w:snapToGrid w:val="0"/>
        <w:spacing w:line="288" w:lineRule="auto"/>
        <w:jc w:val="center"/>
        <w:rPr>
          <w:rFonts w:ascii="Times New Roman" w:hAnsi="Times New Roman"/>
          <w:color w:val="auto"/>
          <w:sz w:val="36"/>
          <w:szCs w:val="36"/>
        </w:rPr>
      </w:pPr>
    </w:p>
    <w:p w14:paraId="38D50AD1">
      <w:pPr>
        <w:adjustRightInd w:val="0"/>
        <w:snapToGrid w:val="0"/>
        <w:spacing w:line="288" w:lineRule="auto"/>
        <w:jc w:val="center"/>
        <w:rPr>
          <w:rFonts w:ascii="Times New Roman" w:hAnsi="Times New Roman"/>
          <w:color w:val="auto"/>
          <w:sz w:val="36"/>
          <w:szCs w:val="36"/>
        </w:rPr>
      </w:pPr>
      <w:r>
        <w:rPr>
          <w:rFonts w:ascii="Times New Roman" w:hAnsi="宋体"/>
          <w:color w:val="auto"/>
          <w:sz w:val="36"/>
          <w:szCs w:val="36"/>
        </w:rPr>
        <w:t>中华人民共和国生态环境部制</w:t>
      </w:r>
    </w:p>
    <w:p w14:paraId="0506D988">
      <w:pPr>
        <w:adjustRightInd w:val="0"/>
        <w:snapToGrid w:val="0"/>
        <w:spacing w:line="288" w:lineRule="auto"/>
        <w:ind w:firstLine="1040"/>
        <w:rPr>
          <w:rFonts w:ascii="Times New Roman" w:hAnsi="Times New Roman" w:eastAsia="仿宋_GB2312"/>
          <w:color w:val="auto"/>
          <w:sz w:val="36"/>
          <w:szCs w:val="36"/>
        </w:rPr>
        <w:sectPr>
          <w:footerReference r:id="rId3" w:type="default"/>
          <w:footerReference r:id="rId4" w:type="even"/>
          <w:pgSz w:w="11906" w:h="16838"/>
          <w:pgMar w:top="1701" w:right="1531" w:bottom="1701" w:left="1531" w:header="851" w:footer="1077" w:gutter="0"/>
          <w:cols w:space="720" w:num="1"/>
          <w:docGrid w:linePitch="312" w:charSpace="0"/>
        </w:sectPr>
      </w:pPr>
    </w:p>
    <w:p w14:paraId="5EC30FE8">
      <w:pPr>
        <w:pStyle w:val="16"/>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一、建设项目基本情况</w:t>
      </w:r>
    </w:p>
    <w:tbl>
      <w:tblPr>
        <w:tblStyle w:val="17"/>
        <w:tblW w:w="90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263"/>
        <w:gridCol w:w="2326"/>
        <w:gridCol w:w="2316"/>
        <w:gridCol w:w="12"/>
        <w:gridCol w:w="3122"/>
      </w:tblGrid>
      <w:tr w14:paraId="182849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1263" w:type="dxa"/>
            <w:noWrap w:val="0"/>
            <w:tcMar>
              <w:top w:w="16" w:type="dxa"/>
              <w:left w:w="16" w:type="dxa"/>
              <w:right w:w="16" w:type="dxa"/>
            </w:tcMar>
            <w:vAlign w:val="center"/>
          </w:tcPr>
          <w:p w14:paraId="3F1237A0">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建设项目名称</w:t>
            </w:r>
          </w:p>
        </w:tc>
        <w:tc>
          <w:tcPr>
            <w:tcW w:w="7776" w:type="dxa"/>
            <w:gridSpan w:val="4"/>
            <w:noWrap w:val="0"/>
            <w:vAlign w:val="center"/>
          </w:tcPr>
          <w:p w14:paraId="7C7C3F70">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朱集西煤矿11404工作面地面钻井项目</w:t>
            </w:r>
          </w:p>
        </w:tc>
      </w:tr>
      <w:tr w14:paraId="19FD0B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66" w:hRule="atLeast"/>
          <w:jc w:val="center"/>
        </w:trPr>
        <w:tc>
          <w:tcPr>
            <w:tcW w:w="1263" w:type="dxa"/>
            <w:noWrap w:val="0"/>
            <w:tcMar>
              <w:top w:w="16" w:type="dxa"/>
              <w:left w:w="16" w:type="dxa"/>
              <w:right w:w="16" w:type="dxa"/>
            </w:tcMar>
            <w:vAlign w:val="center"/>
          </w:tcPr>
          <w:p w14:paraId="3E8DC35C">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项目代码</w:t>
            </w:r>
          </w:p>
        </w:tc>
        <w:tc>
          <w:tcPr>
            <w:tcW w:w="7776" w:type="dxa"/>
            <w:gridSpan w:val="4"/>
            <w:noWrap w:val="0"/>
            <w:vAlign w:val="center"/>
          </w:tcPr>
          <w:p w14:paraId="60F0C7AB">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2504-340406-04-01-962848</w:t>
            </w:r>
          </w:p>
        </w:tc>
      </w:tr>
      <w:tr w14:paraId="0AF52E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1263" w:type="dxa"/>
            <w:noWrap w:val="0"/>
            <w:tcMar>
              <w:top w:w="16" w:type="dxa"/>
              <w:left w:w="16" w:type="dxa"/>
              <w:right w:w="16" w:type="dxa"/>
            </w:tcMar>
            <w:vAlign w:val="center"/>
          </w:tcPr>
          <w:p w14:paraId="7D65A4D4">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建设单位联系人</w:t>
            </w:r>
          </w:p>
        </w:tc>
        <w:tc>
          <w:tcPr>
            <w:tcW w:w="2326" w:type="dxa"/>
            <w:noWrap w:val="0"/>
            <w:vAlign w:val="center"/>
          </w:tcPr>
          <w:p w14:paraId="6266A9A6">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蒯多磊</w:t>
            </w:r>
          </w:p>
        </w:tc>
        <w:tc>
          <w:tcPr>
            <w:tcW w:w="2328" w:type="dxa"/>
            <w:gridSpan w:val="2"/>
            <w:noWrap w:val="0"/>
            <w:vAlign w:val="center"/>
          </w:tcPr>
          <w:p w14:paraId="473A7AB8">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联系方式</w:t>
            </w:r>
          </w:p>
        </w:tc>
        <w:tc>
          <w:tcPr>
            <w:tcW w:w="3122" w:type="dxa"/>
            <w:noWrap w:val="0"/>
            <w:vAlign w:val="center"/>
          </w:tcPr>
          <w:p w14:paraId="6C51D205">
            <w:pPr>
              <w:adjustRightInd w:val="0"/>
              <w:snapToGrid w:val="0"/>
              <w:jc w:val="center"/>
              <w:rPr>
                <w:rFonts w:hint="default" w:ascii="Times New Roman" w:hAnsi="Times New Roman" w:cs="Times New Roman"/>
                <w:color w:val="auto"/>
                <w:sz w:val="24"/>
              </w:rPr>
            </w:pPr>
            <w:r>
              <w:rPr>
                <w:rFonts w:hint="default" w:ascii="Times New Roman" w:hAnsi="Times New Roman" w:eastAsia="仿宋" w:cs="Times New Roman"/>
                <w:color w:val="auto"/>
                <w:sz w:val="24"/>
                <w:lang w:val="en-US" w:eastAsia="zh-CN"/>
              </w:rPr>
              <w:t>15222947775</w:t>
            </w:r>
          </w:p>
        </w:tc>
      </w:tr>
      <w:tr w14:paraId="31CBA2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1263" w:type="dxa"/>
            <w:noWrap w:val="0"/>
            <w:tcMar>
              <w:top w:w="16" w:type="dxa"/>
              <w:left w:w="16" w:type="dxa"/>
              <w:right w:w="16" w:type="dxa"/>
            </w:tcMar>
            <w:vAlign w:val="center"/>
          </w:tcPr>
          <w:p w14:paraId="01E1911B">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建设地点</w:t>
            </w:r>
          </w:p>
        </w:tc>
        <w:tc>
          <w:tcPr>
            <w:tcW w:w="7776" w:type="dxa"/>
            <w:gridSpan w:val="4"/>
            <w:noWrap w:val="0"/>
            <w:vAlign w:val="center"/>
          </w:tcPr>
          <w:p w14:paraId="55FEEC20">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安徽省淮南市潘集区贺疃镇境内</w:t>
            </w:r>
          </w:p>
        </w:tc>
      </w:tr>
      <w:tr w14:paraId="4B389E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1263" w:type="dxa"/>
            <w:noWrap w:val="0"/>
            <w:tcMar>
              <w:top w:w="16" w:type="dxa"/>
              <w:left w:w="16" w:type="dxa"/>
              <w:right w:w="16" w:type="dxa"/>
            </w:tcMar>
            <w:vAlign w:val="center"/>
          </w:tcPr>
          <w:p w14:paraId="69D8C7A7">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地理坐标</w:t>
            </w:r>
          </w:p>
        </w:tc>
        <w:tc>
          <w:tcPr>
            <w:tcW w:w="7776" w:type="dxa"/>
            <w:gridSpan w:val="4"/>
            <w:noWrap w:val="0"/>
            <w:vAlign w:val="center"/>
          </w:tcPr>
          <w:p w14:paraId="6324D9EB">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1号</w:t>
            </w:r>
            <w:r>
              <w:rPr>
                <w:rFonts w:hint="eastAsia" w:ascii="Times New Roman" w:hAnsi="Times New Roman" w:cs="Times New Roman"/>
                <w:color w:val="auto"/>
                <w:sz w:val="24"/>
                <w:lang w:val="en-US" w:eastAsia="zh-CN"/>
              </w:rPr>
              <w:t>井场</w:t>
            </w:r>
            <w:r>
              <w:rPr>
                <w:rFonts w:hint="default" w:ascii="Times New Roman" w:hAnsi="Times New Roman" w:cs="Times New Roman"/>
                <w:color w:val="auto"/>
                <w:sz w:val="24"/>
                <w:lang w:val="en-US" w:eastAsia="zh-CN"/>
              </w:rPr>
              <w:t>中心坐标</w:t>
            </w:r>
            <w:r>
              <w:rPr>
                <w:rFonts w:hint="default" w:ascii="Times New Roman" w:hAnsi="Times New Roman" w:eastAsia="宋体" w:cs="Times New Roman"/>
                <w:color w:val="auto"/>
                <w:sz w:val="24"/>
              </w:rPr>
              <w:t>：116</w:t>
            </w:r>
            <w:r>
              <w:rPr>
                <w:rFonts w:hint="eastAsia" w:ascii="Times New Roman" w:hAnsi="Times New Roman" w:cs="Times New Roman"/>
                <w:color w:val="auto"/>
                <w:sz w:val="24"/>
                <w:lang w:val="en-US" w:eastAsia="zh-CN"/>
              </w:rPr>
              <w:t>度</w:t>
            </w:r>
            <w:r>
              <w:rPr>
                <w:rFonts w:hint="default" w:ascii="Times New Roman" w:hAnsi="Times New Roman" w:eastAsia="宋体" w:cs="Times New Roman"/>
                <w:color w:val="auto"/>
                <w:sz w:val="24"/>
              </w:rPr>
              <w:t>42</w:t>
            </w:r>
            <w:r>
              <w:rPr>
                <w:rFonts w:hint="eastAsia" w:ascii="Times New Roman" w:hAnsi="Times New Roman" w:cs="Times New Roman"/>
                <w:color w:val="auto"/>
                <w:sz w:val="24"/>
                <w:lang w:val="en-US" w:eastAsia="zh-CN"/>
              </w:rPr>
              <w:t>分</w:t>
            </w:r>
            <w:r>
              <w:rPr>
                <w:rFonts w:hint="default" w:ascii="Times New Roman" w:hAnsi="Times New Roman" w:eastAsia="宋体" w:cs="Times New Roman"/>
                <w:color w:val="auto"/>
                <w:sz w:val="24"/>
              </w:rPr>
              <w:t>55.328</w:t>
            </w:r>
            <w:r>
              <w:rPr>
                <w:rFonts w:hint="eastAsia" w:ascii="Times New Roman" w:hAnsi="Times New Roman" w:cs="Times New Roman"/>
                <w:color w:val="auto"/>
                <w:sz w:val="24"/>
                <w:lang w:val="en-US" w:eastAsia="zh-CN"/>
              </w:rPr>
              <w:t>秒，32度53分10.543秒</w:t>
            </w:r>
          </w:p>
          <w:p w14:paraId="7E531B34">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i w:val="0"/>
                <w:iCs w:val="0"/>
                <w:caps w:val="0"/>
                <w:color w:val="auto"/>
                <w:spacing w:val="0"/>
                <w:sz w:val="21"/>
                <w:szCs w:val="21"/>
                <w:shd w:val="clear" w:fill="FFFFFF"/>
                <w:lang w:val="en-US" w:eastAsia="zh-CN"/>
              </w:rPr>
            </w:pPr>
            <w:r>
              <w:rPr>
                <w:rFonts w:hint="default" w:ascii="Times New Roman" w:hAnsi="Times New Roman" w:eastAsia="宋体" w:cs="Times New Roman"/>
                <w:color w:val="auto"/>
                <w:sz w:val="24"/>
              </w:rPr>
              <w:t>2号</w:t>
            </w:r>
            <w:r>
              <w:rPr>
                <w:rFonts w:hint="eastAsia" w:ascii="Times New Roman" w:hAnsi="Times New Roman" w:cs="Times New Roman"/>
                <w:color w:val="auto"/>
                <w:sz w:val="24"/>
                <w:lang w:val="en-US" w:eastAsia="zh-CN"/>
              </w:rPr>
              <w:t>井场</w:t>
            </w:r>
            <w:r>
              <w:rPr>
                <w:rFonts w:hint="default" w:ascii="Times New Roman" w:hAnsi="Times New Roman" w:cs="Times New Roman"/>
                <w:color w:val="auto"/>
                <w:sz w:val="24"/>
                <w:lang w:val="en-US" w:eastAsia="zh-CN"/>
              </w:rPr>
              <w:t>中心坐标</w:t>
            </w:r>
            <w:r>
              <w:rPr>
                <w:rFonts w:hint="default" w:ascii="Times New Roman" w:hAnsi="Times New Roman" w:eastAsia="宋体" w:cs="Times New Roman"/>
                <w:color w:val="auto"/>
                <w:sz w:val="24"/>
              </w:rPr>
              <w:t>：</w:t>
            </w:r>
            <w:r>
              <w:rPr>
                <w:rFonts w:hint="eastAsia" w:ascii="Times New Roman" w:hAnsi="Times New Roman" w:cs="Times New Roman"/>
                <w:color w:val="auto"/>
                <w:sz w:val="24"/>
                <w:lang w:val="en-US" w:eastAsia="zh-CN"/>
              </w:rPr>
              <w:t>116度42分55.530秒，32度53分14.665秒</w:t>
            </w:r>
          </w:p>
          <w:p w14:paraId="35D5FDBF">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color w:val="auto"/>
                <w:lang w:val="en-US" w:eastAsia="zh-CN"/>
              </w:rPr>
            </w:pPr>
            <w:r>
              <w:rPr>
                <w:rFonts w:hint="default" w:ascii="Times New Roman" w:hAnsi="Times New Roman" w:eastAsia="宋体" w:cs="Times New Roman"/>
                <w:color w:val="auto"/>
                <w:sz w:val="24"/>
              </w:rPr>
              <w:t>3号</w:t>
            </w:r>
            <w:r>
              <w:rPr>
                <w:rFonts w:hint="eastAsia" w:ascii="Times New Roman" w:hAnsi="Times New Roman" w:cs="Times New Roman"/>
                <w:color w:val="auto"/>
                <w:sz w:val="24"/>
                <w:lang w:val="en-US" w:eastAsia="zh-CN"/>
              </w:rPr>
              <w:t>井场</w:t>
            </w:r>
            <w:r>
              <w:rPr>
                <w:rFonts w:hint="default" w:ascii="Times New Roman" w:hAnsi="Times New Roman" w:cs="Times New Roman"/>
                <w:color w:val="auto"/>
                <w:sz w:val="24"/>
                <w:lang w:val="en-US" w:eastAsia="zh-CN"/>
              </w:rPr>
              <w:t>中心坐标</w:t>
            </w:r>
            <w:r>
              <w:rPr>
                <w:rFonts w:hint="default" w:ascii="Times New Roman" w:hAnsi="Times New Roman" w:eastAsia="宋体" w:cs="Times New Roman"/>
                <w:color w:val="auto"/>
                <w:sz w:val="24"/>
              </w:rPr>
              <w:t>：</w:t>
            </w:r>
            <w:r>
              <w:rPr>
                <w:rFonts w:hint="eastAsia" w:ascii="Times New Roman" w:hAnsi="Times New Roman" w:cs="Times New Roman"/>
                <w:color w:val="auto"/>
                <w:sz w:val="24"/>
                <w:lang w:val="en-US" w:eastAsia="zh-CN"/>
              </w:rPr>
              <w:t>116度42分54.875秒，32度53分18.953秒</w:t>
            </w:r>
          </w:p>
          <w:p w14:paraId="7F03A428">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4号</w:t>
            </w:r>
            <w:r>
              <w:rPr>
                <w:rFonts w:hint="eastAsia" w:ascii="Times New Roman" w:hAnsi="Times New Roman" w:cs="Times New Roman"/>
                <w:color w:val="auto"/>
                <w:sz w:val="24"/>
                <w:lang w:val="en-US" w:eastAsia="zh-CN"/>
              </w:rPr>
              <w:t>井场</w:t>
            </w:r>
            <w:r>
              <w:rPr>
                <w:rFonts w:hint="default" w:ascii="Times New Roman" w:hAnsi="Times New Roman" w:cs="Times New Roman"/>
                <w:color w:val="auto"/>
                <w:sz w:val="24"/>
                <w:lang w:val="en-US" w:eastAsia="zh-CN"/>
              </w:rPr>
              <w:t>中心坐标</w:t>
            </w:r>
            <w:r>
              <w:rPr>
                <w:rFonts w:hint="default" w:ascii="Times New Roman" w:hAnsi="Times New Roman" w:eastAsia="宋体" w:cs="Times New Roman"/>
                <w:color w:val="auto"/>
                <w:sz w:val="24"/>
              </w:rPr>
              <w:t>：</w:t>
            </w:r>
            <w:r>
              <w:rPr>
                <w:rFonts w:hint="eastAsia" w:ascii="Times New Roman" w:hAnsi="Times New Roman" w:cs="Times New Roman"/>
                <w:color w:val="auto"/>
                <w:sz w:val="24"/>
                <w:lang w:val="en-US" w:eastAsia="zh-CN"/>
              </w:rPr>
              <w:t>116度42分56.419秒，32度53分24.022秒</w:t>
            </w:r>
          </w:p>
          <w:p w14:paraId="4B22F8C8">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5号</w:t>
            </w:r>
            <w:r>
              <w:rPr>
                <w:rFonts w:hint="eastAsia" w:ascii="Times New Roman" w:hAnsi="Times New Roman" w:cs="Times New Roman"/>
                <w:color w:val="auto"/>
                <w:sz w:val="24"/>
                <w:lang w:val="en-US" w:eastAsia="zh-CN"/>
              </w:rPr>
              <w:t>井场</w:t>
            </w:r>
            <w:r>
              <w:rPr>
                <w:rFonts w:hint="default" w:ascii="Times New Roman" w:hAnsi="Times New Roman" w:cs="Times New Roman"/>
                <w:color w:val="auto"/>
                <w:sz w:val="24"/>
                <w:lang w:val="en-US" w:eastAsia="zh-CN"/>
              </w:rPr>
              <w:t>中心坐标</w:t>
            </w:r>
            <w:r>
              <w:rPr>
                <w:rFonts w:hint="default" w:ascii="Times New Roman" w:hAnsi="Times New Roman" w:eastAsia="宋体" w:cs="Times New Roman"/>
                <w:color w:val="auto"/>
                <w:sz w:val="24"/>
              </w:rPr>
              <w:t>：</w:t>
            </w:r>
            <w:r>
              <w:rPr>
                <w:rFonts w:hint="eastAsia" w:ascii="Times New Roman" w:hAnsi="Times New Roman" w:cs="Times New Roman"/>
                <w:color w:val="auto"/>
                <w:sz w:val="24"/>
                <w:lang w:val="en-US" w:eastAsia="zh-CN"/>
              </w:rPr>
              <w:t>116度42分57.182秒，32度53分29.756秒</w:t>
            </w:r>
          </w:p>
          <w:p w14:paraId="7E28C31E">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6号</w:t>
            </w:r>
            <w:r>
              <w:rPr>
                <w:rFonts w:hint="eastAsia" w:ascii="Times New Roman" w:hAnsi="Times New Roman" w:cs="Times New Roman"/>
                <w:color w:val="auto"/>
                <w:sz w:val="24"/>
                <w:lang w:val="en-US" w:eastAsia="zh-CN"/>
              </w:rPr>
              <w:t>井场</w:t>
            </w:r>
            <w:r>
              <w:rPr>
                <w:rFonts w:hint="default" w:ascii="Times New Roman" w:hAnsi="Times New Roman" w:cs="Times New Roman"/>
                <w:color w:val="auto"/>
                <w:sz w:val="24"/>
                <w:lang w:val="en-US" w:eastAsia="zh-CN"/>
              </w:rPr>
              <w:t>中心坐标</w:t>
            </w:r>
            <w:r>
              <w:rPr>
                <w:rFonts w:hint="default" w:ascii="Times New Roman" w:hAnsi="Times New Roman" w:eastAsia="宋体" w:cs="Times New Roman"/>
                <w:color w:val="auto"/>
                <w:sz w:val="24"/>
              </w:rPr>
              <w:t>：</w:t>
            </w:r>
            <w:r>
              <w:rPr>
                <w:rFonts w:hint="eastAsia" w:ascii="Times New Roman" w:hAnsi="Times New Roman" w:cs="Times New Roman"/>
                <w:color w:val="auto"/>
                <w:sz w:val="24"/>
                <w:lang w:val="en-US" w:eastAsia="zh-CN"/>
              </w:rPr>
              <w:t>116度42分58.338秒，32度53分33.504秒</w:t>
            </w:r>
          </w:p>
          <w:p w14:paraId="0F1E54B0">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7号</w:t>
            </w:r>
            <w:r>
              <w:rPr>
                <w:rFonts w:hint="eastAsia" w:ascii="Times New Roman" w:hAnsi="Times New Roman" w:cs="Times New Roman"/>
                <w:color w:val="auto"/>
                <w:sz w:val="24"/>
                <w:lang w:val="en-US" w:eastAsia="zh-CN"/>
              </w:rPr>
              <w:t>井场</w:t>
            </w:r>
            <w:r>
              <w:rPr>
                <w:rFonts w:hint="default" w:ascii="Times New Roman" w:hAnsi="Times New Roman" w:cs="Times New Roman"/>
                <w:color w:val="auto"/>
                <w:sz w:val="24"/>
                <w:lang w:val="en-US" w:eastAsia="zh-CN"/>
              </w:rPr>
              <w:t>中心坐标</w:t>
            </w:r>
            <w:r>
              <w:rPr>
                <w:rFonts w:hint="default" w:ascii="Times New Roman" w:hAnsi="Times New Roman" w:eastAsia="宋体" w:cs="Times New Roman"/>
                <w:color w:val="auto"/>
                <w:sz w:val="24"/>
              </w:rPr>
              <w:t>：</w:t>
            </w:r>
            <w:r>
              <w:rPr>
                <w:rFonts w:hint="eastAsia" w:ascii="Times New Roman" w:hAnsi="Times New Roman" w:cs="Times New Roman"/>
                <w:color w:val="auto"/>
                <w:sz w:val="24"/>
                <w:lang w:val="en-US" w:eastAsia="zh-CN"/>
              </w:rPr>
              <w:t>116度42分58.417秒，32度53分37.752秒</w:t>
            </w:r>
          </w:p>
          <w:p w14:paraId="40C33927">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8</w:t>
            </w:r>
            <w:r>
              <w:rPr>
                <w:rFonts w:hint="default" w:ascii="Times New Roman" w:hAnsi="Times New Roman" w:eastAsia="宋体" w:cs="Times New Roman"/>
                <w:color w:val="auto"/>
                <w:sz w:val="24"/>
              </w:rPr>
              <w:t>号</w:t>
            </w:r>
            <w:r>
              <w:rPr>
                <w:rFonts w:hint="eastAsia" w:ascii="Times New Roman" w:hAnsi="Times New Roman" w:cs="Times New Roman"/>
                <w:color w:val="auto"/>
                <w:sz w:val="24"/>
                <w:lang w:val="en-US" w:eastAsia="zh-CN"/>
              </w:rPr>
              <w:t>井场</w:t>
            </w:r>
            <w:r>
              <w:rPr>
                <w:rFonts w:hint="default" w:ascii="Times New Roman" w:hAnsi="Times New Roman" w:cs="Times New Roman"/>
                <w:color w:val="auto"/>
                <w:sz w:val="24"/>
                <w:lang w:val="en-US" w:eastAsia="zh-CN"/>
              </w:rPr>
              <w:t>中心坐标</w:t>
            </w:r>
            <w:r>
              <w:rPr>
                <w:rFonts w:hint="default" w:ascii="Times New Roman" w:hAnsi="Times New Roman" w:eastAsia="宋体" w:cs="Times New Roman"/>
                <w:color w:val="auto"/>
                <w:sz w:val="24"/>
              </w:rPr>
              <w:t>：</w:t>
            </w:r>
            <w:r>
              <w:rPr>
                <w:rFonts w:hint="eastAsia" w:ascii="Times New Roman" w:hAnsi="Times New Roman" w:cs="Times New Roman"/>
                <w:color w:val="auto"/>
                <w:sz w:val="24"/>
                <w:lang w:val="en-US" w:eastAsia="zh-CN"/>
              </w:rPr>
              <w:t>116度42分58.648秒，32度53分42.309秒</w:t>
            </w:r>
          </w:p>
          <w:p w14:paraId="52CD5516">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9</w:t>
            </w:r>
            <w:r>
              <w:rPr>
                <w:rFonts w:hint="default" w:ascii="Times New Roman" w:hAnsi="Times New Roman" w:eastAsia="宋体" w:cs="Times New Roman"/>
                <w:color w:val="auto"/>
                <w:sz w:val="24"/>
              </w:rPr>
              <w:t>号</w:t>
            </w:r>
            <w:r>
              <w:rPr>
                <w:rFonts w:hint="eastAsia" w:ascii="Times New Roman" w:hAnsi="Times New Roman" w:cs="Times New Roman"/>
                <w:color w:val="auto"/>
                <w:sz w:val="24"/>
                <w:lang w:val="en-US" w:eastAsia="zh-CN"/>
              </w:rPr>
              <w:t>井场</w:t>
            </w:r>
            <w:r>
              <w:rPr>
                <w:rFonts w:hint="default" w:ascii="Times New Roman" w:hAnsi="Times New Roman" w:cs="Times New Roman"/>
                <w:color w:val="auto"/>
                <w:sz w:val="24"/>
                <w:lang w:val="en-US" w:eastAsia="zh-CN"/>
              </w:rPr>
              <w:t>中心坐标</w:t>
            </w:r>
            <w:r>
              <w:rPr>
                <w:rFonts w:hint="default" w:ascii="Times New Roman" w:hAnsi="Times New Roman" w:eastAsia="宋体" w:cs="Times New Roman"/>
                <w:color w:val="auto"/>
                <w:sz w:val="24"/>
              </w:rPr>
              <w:t>：</w:t>
            </w:r>
            <w:r>
              <w:rPr>
                <w:rFonts w:hint="eastAsia" w:ascii="Times New Roman" w:hAnsi="Times New Roman" w:cs="Times New Roman"/>
                <w:color w:val="auto"/>
                <w:sz w:val="24"/>
                <w:lang w:val="en-US" w:eastAsia="zh-CN"/>
              </w:rPr>
              <w:t>116度42分59.382秒，32度53分46.752秒</w:t>
            </w:r>
          </w:p>
          <w:p w14:paraId="007D45F1">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10</w:t>
            </w:r>
            <w:r>
              <w:rPr>
                <w:rFonts w:hint="default" w:ascii="Times New Roman" w:hAnsi="Times New Roman" w:eastAsia="宋体" w:cs="Times New Roman"/>
                <w:color w:val="auto"/>
                <w:sz w:val="24"/>
              </w:rPr>
              <w:t>号</w:t>
            </w:r>
            <w:r>
              <w:rPr>
                <w:rFonts w:hint="eastAsia" w:ascii="Times New Roman" w:hAnsi="Times New Roman" w:cs="Times New Roman"/>
                <w:color w:val="auto"/>
                <w:sz w:val="24"/>
                <w:lang w:val="en-US" w:eastAsia="zh-CN"/>
              </w:rPr>
              <w:t>井场</w:t>
            </w:r>
            <w:r>
              <w:rPr>
                <w:rFonts w:hint="default" w:ascii="Times New Roman" w:hAnsi="Times New Roman" w:cs="Times New Roman"/>
                <w:color w:val="auto"/>
                <w:sz w:val="24"/>
                <w:lang w:val="en-US" w:eastAsia="zh-CN"/>
              </w:rPr>
              <w:t>中心坐标</w:t>
            </w:r>
            <w:r>
              <w:rPr>
                <w:rFonts w:hint="default" w:ascii="Times New Roman" w:hAnsi="Times New Roman" w:eastAsia="宋体" w:cs="Times New Roman"/>
                <w:color w:val="auto"/>
                <w:sz w:val="24"/>
              </w:rPr>
              <w:t>：116</w:t>
            </w:r>
            <w:r>
              <w:rPr>
                <w:rFonts w:hint="eastAsia" w:ascii="Times New Roman" w:hAnsi="Times New Roman" w:cs="Times New Roman"/>
                <w:color w:val="auto"/>
                <w:sz w:val="24"/>
                <w:lang w:val="en-US" w:eastAsia="zh-CN"/>
              </w:rPr>
              <w:t>度</w:t>
            </w:r>
            <w:r>
              <w:rPr>
                <w:rFonts w:hint="default" w:ascii="Times New Roman" w:hAnsi="Times New Roman" w:eastAsia="宋体" w:cs="Times New Roman"/>
                <w:color w:val="auto"/>
                <w:sz w:val="24"/>
              </w:rPr>
              <w:t>43</w:t>
            </w:r>
            <w:r>
              <w:rPr>
                <w:rFonts w:hint="eastAsia" w:ascii="Times New Roman" w:hAnsi="Times New Roman" w:cs="Times New Roman"/>
                <w:color w:val="auto"/>
                <w:sz w:val="24"/>
                <w:lang w:val="en-US" w:eastAsia="zh-CN"/>
              </w:rPr>
              <w:t>分00.156秒，32度53分51.234秒</w:t>
            </w:r>
          </w:p>
          <w:p w14:paraId="597626E6">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11</w:t>
            </w:r>
            <w:r>
              <w:rPr>
                <w:rFonts w:hint="default" w:ascii="Times New Roman" w:hAnsi="Times New Roman" w:eastAsia="宋体" w:cs="Times New Roman"/>
                <w:color w:val="auto"/>
                <w:sz w:val="24"/>
              </w:rPr>
              <w:t>号</w:t>
            </w:r>
            <w:r>
              <w:rPr>
                <w:rFonts w:hint="eastAsia" w:ascii="Times New Roman" w:hAnsi="Times New Roman" w:cs="Times New Roman"/>
                <w:color w:val="auto"/>
                <w:sz w:val="24"/>
                <w:lang w:val="en-US" w:eastAsia="zh-CN"/>
              </w:rPr>
              <w:t>井场</w:t>
            </w:r>
            <w:r>
              <w:rPr>
                <w:rFonts w:hint="default" w:ascii="Times New Roman" w:hAnsi="Times New Roman" w:cs="Times New Roman"/>
                <w:color w:val="auto"/>
                <w:sz w:val="24"/>
                <w:lang w:val="en-US" w:eastAsia="zh-CN"/>
              </w:rPr>
              <w:t>中心坐标</w:t>
            </w:r>
            <w:r>
              <w:rPr>
                <w:rFonts w:hint="default" w:ascii="Times New Roman" w:hAnsi="Times New Roman" w:eastAsia="宋体" w:cs="Times New Roman"/>
                <w:color w:val="auto"/>
                <w:sz w:val="24"/>
              </w:rPr>
              <w:t>：116</w:t>
            </w:r>
            <w:r>
              <w:rPr>
                <w:rFonts w:hint="eastAsia" w:ascii="Times New Roman" w:hAnsi="Times New Roman" w:cs="Times New Roman"/>
                <w:color w:val="auto"/>
                <w:sz w:val="24"/>
                <w:lang w:val="en-US" w:eastAsia="zh-CN"/>
              </w:rPr>
              <w:t>度</w:t>
            </w:r>
            <w:r>
              <w:rPr>
                <w:rFonts w:hint="default" w:ascii="Times New Roman" w:hAnsi="Times New Roman" w:eastAsia="宋体" w:cs="Times New Roman"/>
                <w:color w:val="auto"/>
                <w:sz w:val="24"/>
              </w:rPr>
              <w:t>43</w:t>
            </w:r>
            <w:r>
              <w:rPr>
                <w:rFonts w:hint="eastAsia" w:ascii="Times New Roman" w:hAnsi="Times New Roman" w:cs="Times New Roman"/>
                <w:color w:val="auto"/>
                <w:sz w:val="24"/>
                <w:lang w:val="en-US" w:eastAsia="zh-CN"/>
              </w:rPr>
              <w:t>分01.081秒，32度53分55.637秒</w:t>
            </w:r>
          </w:p>
          <w:p w14:paraId="7902F86A">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12</w:t>
            </w:r>
            <w:r>
              <w:rPr>
                <w:rFonts w:hint="default" w:ascii="Times New Roman" w:hAnsi="Times New Roman" w:eastAsia="宋体" w:cs="Times New Roman"/>
                <w:color w:val="auto"/>
                <w:sz w:val="24"/>
              </w:rPr>
              <w:t>号</w:t>
            </w:r>
            <w:r>
              <w:rPr>
                <w:rFonts w:hint="eastAsia" w:ascii="Times New Roman" w:hAnsi="Times New Roman" w:cs="Times New Roman"/>
                <w:color w:val="auto"/>
                <w:sz w:val="24"/>
                <w:lang w:val="en-US" w:eastAsia="zh-CN"/>
              </w:rPr>
              <w:t>井场</w:t>
            </w:r>
            <w:r>
              <w:rPr>
                <w:rFonts w:hint="default" w:ascii="Times New Roman" w:hAnsi="Times New Roman" w:cs="Times New Roman"/>
                <w:color w:val="auto"/>
                <w:sz w:val="24"/>
                <w:lang w:val="en-US" w:eastAsia="zh-CN"/>
              </w:rPr>
              <w:t>中心坐标</w:t>
            </w:r>
            <w:r>
              <w:rPr>
                <w:rFonts w:hint="default" w:ascii="Times New Roman" w:hAnsi="Times New Roman" w:eastAsia="宋体" w:cs="Times New Roman"/>
                <w:color w:val="auto"/>
                <w:sz w:val="24"/>
              </w:rPr>
              <w:t>：116</w:t>
            </w:r>
            <w:r>
              <w:rPr>
                <w:rFonts w:hint="eastAsia" w:ascii="Times New Roman" w:hAnsi="Times New Roman" w:cs="Times New Roman"/>
                <w:color w:val="auto"/>
                <w:sz w:val="24"/>
                <w:lang w:val="en-US" w:eastAsia="zh-CN"/>
              </w:rPr>
              <w:t>度</w:t>
            </w:r>
            <w:r>
              <w:rPr>
                <w:rFonts w:hint="default" w:ascii="Times New Roman" w:hAnsi="Times New Roman" w:eastAsia="宋体" w:cs="Times New Roman"/>
                <w:color w:val="auto"/>
                <w:sz w:val="24"/>
              </w:rPr>
              <w:t>43</w:t>
            </w:r>
            <w:r>
              <w:rPr>
                <w:rFonts w:hint="eastAsia" w:ascii="Times New Roman" w:hAnsi="Times New Roman" w:cs="Times New Roman"/>
                <w:color w:val="auto"/>
                <w:sz w:val="24"/>
                <w:lang w:val="en-US" w:eastAsia="zh-CN"/>
              </w:rPr>
              <w:t>分01.470秒，</w:t>
            </w:r>
            <w:r>
              <w:rPr>
                <w:rFonts w:hint="eastAsia" w:ascii="Times New Roman" w:hAnsi="Times New Roman" w:cs="Times New Roman"/>
                <w:color w:val="auto"/>
                <w:sz w:val="24"/>
                <w:lang w:eastAsia="zh-CN"/>
              </w:rPr>
              <w:t>32</w:t>
            </w:r>
            <w:r>
              <w:rPr>
                <w:rFonts w:hint="eastAsia" w:ascii="Times New Roman" w:hAnsi="Times New Roman" w:cs="Times New Roman"/>
                <w:color w:val="auto"/>
                <w:sz w:val="24"/>
                <w:lang w:val="en-US" w:eastAsia="zh-CN"/>
              </w:rPr>
              <w:t>度</w:t>
            </w:r>
            <w:r>
              <w:rPr>
                <w:rFonts w:hint="eastAsia" w:ascii="Times New Roman" w:hAnsi="Times New Roman" w:cs="Times New Roman"/>
                <w:color w:val="auto"/>
                <w:sz w:val="24"/>
                <w:lang w:eastAsia="zh-CN"/>
              </w:rPr>
              <w:t>54</w:t>
            </w:r>
            <w:r>
              <w:rPr>
                <w:rFonts w:hint="eastAsia" w:ascii="Times New Roman" w:hAnsi="Times New Roman" w:cs="Times New Roman"/>
                <w:color w:val="auto"/>
                <w:sz w:val="24"/>
                <w:lang w:val="en-US" w:eastAsia="zh-CN"/>
              </w:rPr>
              <w:t>分00.734秒</w:t>
            </w:r>
          </w:p>
          <w:p w14:paraId="06B52733">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13</w:t>
            </w:r>
            <w:r>
              <w:rPr>
                <w:rFonts w:hint="default" w:ascii="Times New Roman" w:hAnsi="Times New Roman" w:eastAsia="宋体" w:cs="Times New Roman"/>
                <w:color w:val="auto"/>
                <w:sz w:val="24"/>
              </w:rPr>
              <w:t>号</w:t>
            </w:r>
            <w:r>
              <w:rPr>
                <w:rFonts w:hint="eastAsia" w:ascii="Times New Roman" w:hAnsi="Times New Roman" w:cs="Times New Roman"/>
                <w:color w:val="auto"/>
                <w:sz w:val="24"/>
                <w:lang w:val="en-US" w:eastAsia="zh-CN"/>
              </w:rPr>
              <w:t>井场</w:t>
            </w:r>
            <w:r>
              <w:rPr>
                <w:rFonts w:hint="default" w:ascii="Times New Roman" w:hAnsi="Times New Roman" w:cs="Times New Roman"/>
                <w:color w:val="auto"/>
                <w:sz w:val="24"/>
                <w:lang w:val="en-US" w:eastAsia="zh-CN"/>
              </w:rPr>
              <w:t>中心坐标</w:t>
            </w:r>
            <w:r>
              <w:rPr>
                <w:rFonts w:hint="default" w:ascii="Times New Roman" w:hAnsi="Times New Roman" w:eastAsia="宋体" w:cs="Times New Roman"/>
                <w:color w:val="auto"/>
                <w:sz w:val="24"/>
              </w:rPr>
              <w:t>：116</w:t>
            </w:r>
            <w:r>
              <w:rPr>
                <w:rFonts w:hint="eastAsia" w:ascii="Times New Roman" w:hAnsi="Times New Roman" w:cs="Times New Roman"/>
                <w:color w:val="auto"/>
                <w:sz w:val="24"/>
                <w:lang w:val="en-US" w:eastAsia="zh-CN"/>
              </w:rPr>
              <w:t>度</w:t>
            </w:r>
            <w:r>
              <w:rPr>
                <w:rFonts w:hint="default" w:ascii="Times New Roman" w:hAnsi="Times New Roman" w:eastAsia="宋体" w:cs="Times New Roman"/>
                <w:color w:val="auto"/>
                <w:sz w:val="24"/>
              </w:rPr>
              <w:t>43</w:t>
            </w:r>
            <w:r>
              <w:rPr>
                <w:rFonts w:hint="eastAsia" w:ascii="Times New Roman" w:hAnsi="Times New Roman" w:cs="Times New Roman"/>
                <w:color w:val="auto"/>
                <w:sz w:val="24"/>
                <w:lang w:val="en-US" w:eastAsia="zh-CN"/>
              </w:rPr>
              <w:t>分</w:t>
            </w:r>
            <w:r>
              <w:rPr>
                <w:rFonts w:hint="default" w:ascii="Times New Roman" w:hAnsi="Times New Roman" w:eastAsia="宋体" w:cs="Times New Roman"/>
                <w:color w:val="auto"/>
                <w:sz w:val="24"/>
              </w:rPr>
              <w:t>3.950</w:t>
            </w:r>
            <w:r>
              <w:rPr>
                <w:rFonts w:hint="eastAsia" w:ascii="Times New Roman" w:hAnsi="Times New Roman" w:cs="Times New Roman"/>
                <w:color w:val="auto"/>
                <w:sz w:val="24"/>
                <w:lang w:val="en-US" w:eastAsia="zh-CN"/>
              </w:rPr>
              <w:t>秒</w:t>
            </w:r>
            <w:r>
              <w:rPr>
                <w:rFonts w:hint="eastAsia" w:ascii="Times New Roman" w:hAnsi="Times New Roman" w:cs="Times New Roman"/>
                <w:color w:val="auto"/>
                <w:sz w:val="24"/>
                <w:lang w:eastAsia="zh-CN"/>
              </w:rPr>
              <w:t>，32</w:t>
            </w:r>
            <w:r>
              <w:rPr>
                <w:rFonts w:hint="eastAsia" w:ascii="Times New Roman" w:hAnsi="Times New Roman" w:cs="Times New Roman"/>
                <w:color w:val="auto"/>
                <w:sz w:val="24"/>
                <w:lang w:val="en-US" w:eastAsia="zh-CN"/>
              </w:rPr>
              <w:t>度</w:t>
            </w:r>
            <w:r>
              <w:rPr>
                <w:rFonts w:hint="eastAsia" w:ascii="Times New Roman" w:hAnsi="Times New Roman" w:cs="Times New Roman"/>
                <w:color w:val="auto"/>
                <w:sz w:val="24"/>
                <w:lang w:eastAsia="zh-CN"/>
              </w:rPr>
              <w:t>54</w:t>
            </w:r>
            <w:r>
              <w:rPr>
                <w:rFonts w:hint="eastAsia" w:ascii="Times New Roman" w:hAnsi="Times New Roman" w:cs="Times New Roman"/>
                <w:color w:val="auto"/>
                <w:sz w:val="24"/>
                <w:lang w:val="en-US" w:eastAsia="zh-CN"/>
              </w:rPr>
              <w:t>分</w:t>
            </w:r>
            <w:r>
              <w:rPr>
                <w:rFonts w:hint="eastAsia" w:ascii="Times New Roman" w:hAnsi="Times New Roman" w:cs="Times New Roman"/>
                <w:color w:val="auto"/>
                <w:sz w:val="24"/>
                <w:lang w:eastAsia="zh-CN"/>
              </w:rPr>
              <w:t>5.551</w:t>
            </w:r>
            <w:r>
              <w:rPr>
                <w:rFonts w:hint="eastAsia" w:ascii="Times New Roman" w:hAnsi="Times New Roman" w:cs="Times New Roman"/>
                <w:color w:val="auto"/>
                <w:sz w:val="24"/>
                <w:lang w:val="en-US" w:eastAsia="zh-CN"/>
              </w:rPr>
              <w:t>秒</w:t>
            </w:r>
          </w:p>
        </w:tc>
      </w:tr>
      <w:tr w14:paraId="39A806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jc w:val="center"/>
        </w:trPr>
        <w:tc>
          <w:tcPr>
            <w:tcW w:w="1263" w:type="dxa"/>
            <w:noWrap w:val="0"/>
            <w:tcMar>
              <w:top w:w="16" w:type="dxa"/>
              <w:left w:w="16" w:type="dxa"/>
              <w:right w:w="16" w:type="dxa"/>
            </w:tcMar>
            <w:vAlign w:val="center"/>
          </w:tcPr>
          <w:p w14:paraId="30D3249E">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建设项目</w:t>
            </w:r>
          </w:p>
          <w:p w14:paraId="12BFDB1E">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行业类别</w:t>
            </w:r>
          </w:p>
        </w:tc>
        <w:tc>
          <w:tcPr>
            <w:tcW w:w="2326" w:type="dxa"/>
            <w:noWrap w:val="0"/>
            <w:vAlign w:val="center"/>
          </w:tcPr>
          <w:p w14:paraId="75054DC3">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“四十六、专业技术服务业99中的陆地矿产资源地质勘查（含油气资源勘探）；二氧化碳地质封存中其他”</w:t>
            </w:r>
          </w:p>
        </w:tc>
        <w:tc>
          <w:tcPr>
            <w:tcW w:w="2316" w:type="dxa"/>
            <w:noWrap w:val="0"/>
            <w:vAlign w:val="center"/>
          </w:tcPr>
          <w:p w14:paraId="51CE7ABF">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用地面积（m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w:t>
            </w:r>
          </w:p>
        </w:tc>
        <w:tc>
          <w:tcPr>
            <w:tcW w:w="3134" w:type="dxa"/>
            <w:gridSpan w:val="2"/>
            <w:noWrap w:val="0"/>
            <w:vAlign w:val="center"/>
          </w:tcPr>
          <w:p w14:paraId="0A48710C">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20784</w:t>
            </w:r>
            <w:r>
              <w:rPr>
                <w:rFonts w:hint="default" w:ascii="Times New Roman" w:hAnsi="Times New Roman" w:cs="Times New Roman"/>
                <w:color w:val="auto"/>
                <w:sz w:val="24"/>
                <w:highlight w:val="none"/>
              </w:rPr>
              <w:t>（临时用地）</w:t>
            </w:r>
          </w:p>
        </w:tc>
      </w:tr>
      <w:tr w14:paraId="411D91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1263" w:type="dxa"/>
            <w:noWrap w:val="0"/>
            <w:tcMar>
              <w:top w:w="16" w:type="dxa"/>
              <w:left w:w="16" w:type="dxa"/>
              <w:right w:w="16" w:type="dxa"/>
            </w:tcMar>
            <w:vAlign w:val="center"/>
          </w:tcPr>
          <w:p w14:paraId="7D1B2770">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建设性质</w:t>
            </w:r>
          </w:p>
        </w:tc>
        <w:tc>
          <w:tcPr>
            <w:tcW w:w="2326" w:type="dxa"/>
            <w:noWrap w:val="0"/>
            <w:vAlign w:val="center"/>
          </w:tcPr>
          <w:p w14:paraId="76D16BD6">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52"/>
            </w:r>
            <w:r>
              <w:rPr>
                <w:rFonts w:hint="default" w:ascii="Times New Roman" w:hAnsi="Times New Roman" w:cs="Times New Roman"/>
                <w:color w:val="auto"/>
                <w:sz w:val="24"/>
              </w:rPr>
              <w:t>新建（迁建）</w:t>
            </w:r>
          </w:p>
          <w:p w14:paraId="573C9869">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t>□改建</w:t>
            </w:r>
          </w:p>
          <w:p w14:paraId="2124CD2E">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t>□扩建</w:t>
            </w:r>
          </w:p>
          <w:p w14:paraId="5EA4A1C6">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t>□技术改造</w:t>
            </w:r>
          </w:p>
        </w:tc>
        <w:tc>
          <w:tcPr>
            <w:tcW w:w="2316" w:type="dxa"/>
            <w:noWrap w:val="0"/>
            <w:vAlign w:val="center"/>
          </w:tcPr>
          <w:p w14:paraId="5B84AEEF">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建设项目</w:t>
            </w:r>
          </w:p>
          <w:p w14:paraId="7EDC8DDE">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申报情形</w:t>
            </w:r>
          </w:p>
        </w:tc>
        <w:tc>
          <w:tcPr>
            <w:tcW w:w="3134" w:type="dxa"/>
            <w:gridSpan w:val="2"/>
            <w:noWrap w:val="0"/>
            <w:vAlign w:val="center"/>
          </w:tcPr>
          <w:p w14:paraId="62B06AE6">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52"/>
            </w:r>
            <w:r>
              <w:rPr>
                <w:rFonts w:hint="default" w:ascii="Times New Roman" w:hAnsi="Times New Roman" w:cs="Times New Roman"/>
                <w:color w:val="auto"/>
                <w:sz w:val="24"/>
              </w:rPr>
              <w:t>首次申报项目</w:t>
            </w:r>
          </w:p>
          <w:p w14:paraId="36C2BF69">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t>□不予批准后再次申报项目</w:t>
            </w:r>
          </w:p>
          <w:p w14:paraId="7B9AF54B">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t>□超五年重新审核项目</w:t>
            </w:r>
          </w:p>
          <w:p w14:paraId="2829C893">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t>□重大变动重新报批项目</w:t>
            </w:r>
          </w:p>
        </w:tc>
      </w:tr>
      <w:tr w14:paraId="437703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jc w:val="center"/>
        </w:trPr>
        <w:tc>
          <w:tcPr>
            <w:tcW w:w="1263" w:type="dxa"/>
            <w:noWrap w:val="0"/>
            <w:tcMar>
              <w:top w:w="16" w:type="dxa"/>
              <w:left w:w="16" w:type="dxa"/>
              <w:right w:w="16" w:type="dxa"/>
            </w:tcMar>
            <w:vAlign w:val="center"/>
          </w:tcPr>
          <w:p w14:paraId="40005598">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项目审批（核准/备案）部门（选填）</w:t>
            </w:r>
          </w:p>
        </w:tc>
        <w:tc>
          <w:tcPr>
            <w:tcW w:w="2326" w:type="dxa"/>
            <w:noWrap w:val="0"/>
            <w:vAlign w:val="center"/>
          </w:tcPr>
          <w:p w14:paraId="533BB12D">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潘集区发展和改革委员会</w:t>
            </w:r>
          </w:p>
        </w:tc>
        <w:tc>
          <w:tcPr>
            <w:tcW w:w="2316" w:type="dxa"/>
            <w:noWrap w:val="0"/>
            <w:vAlign w:val="center"/>
          </w:tcPr>
          <w:p w14:paraId="1CBC9C04">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项目审批（核准/</w:t>
            </w:r>
          </w:p>
          <w:p w14:paraId="4D9204CF">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备案）文号（选填）</w:t>
            </w:r>
          </w:p>
        </w:tc>
        <w:tc>
          <w:tcPr>
            <w:tcW w:w="3134" w:type="dxa"/>
            <w:gridSpan w:val="2"/>
            <w:noWrap w:val="0"/>
            <w:vAlign w:val="center"/>
          </w:tcPr>
          <w:p w14:paraId="1BFA3A50">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w:t>
            </w:r>
          </w:p>
        </w:tc>
      </w:tr>
      <w:tr w14:paraId="686995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1263" w:type="dxa"/>
            <w:noWrap w:val="0"/>
            <w:tcMar>
              <w:top w:w="16" w:type="dxa"/>
              <w:left w:w="16" w:type="dxa"/>
              <w:right w:w="16" w:type="dxa"/>
            </w:tcMar>
            <w:vAlign w:val="center"/>
          </w:tcPr>
          <w:p w14:paraId="20BA2DEA">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总投资（万元）</w:t>
            </w:r>
          </w:p>
        </w:tc>
        <w:tc>
          <w:tcPr>
            <w:tcW w:w="2326" w:type="dxa"/>
            <w:noWrap w:val="0"/>
            <w:vAlign w:val="center"/>
          </w:tcPr>
          <w:p w14:paraId="13031A5A">
            <w:pPr>
              <w:adjustRightInd w:val="0"/>
              <w:snapToGrid w:val="0"/>
              <w:jc w:val="center"/>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lang w:val="en-US" w:eastAsia="zh-CN"/>
              </w:rPr>
              <w:t>2500</w:t>
            </w:r>
          </w:p>
        </w:tc>
        <w:tc>
          <w:tcPr>
            <w:tcW w:w="2316" w:type="dxa"/>
            <w:noWrap w:val="0"/>
            <w:tcMar>
              <w:top w:w="16" w:type="dxa"/>
              <w:left w:w="16" w:type="dxa"/>
              <w:right w:w="16" w:type="dxa"/>
            </w:tcMar>
            <w:vAlign w:val="center"/>
          </w:tcPr>
          <w:p w14:paraId="3F2F2B35">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环保投资（万元）</w:t>
            </w:r>
          </w:p>
        </w:tc>
        <w:tc>
          <w:tcPr>
            <w:tcW w:w="3134" w:type="dxa"/>
            <w:gridSpan w:val="2"/>
            <w:noWrap w:val="0"/>
            <w:vAlign w:val="center"/>
          </w:tcPr>
          <w:p w14:paraId="0BEEE4BF">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694</w:t>
            </w:r>
          </w:p>
        </w:tc>
      </w:tr>
      <w:tr w14:paraId="24A973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1263" w:type="dxa"/>
            <w:noWrap w:val="0"/>
            <w:tcMar>
              <w:top w:w="16" w:type="dxa"/>
              <w:left w:w="16" w:type="dxa"/>
              <w:right w:w="16" w:type="dxa"/>
            </w:tcMar>
            <w:vAlign w:val="center"/>
          </w:tcPr>
          <w:p w14:paraId="171BFB0F">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环保投资占比（%）</w:t>
            </w:r>
          </w:p>
        </w:tc>
        <w:tc>
          <w:tcPr>
            <w:tcW w:w="2326" w:type="dxa"/>
            <w:noWrap w:val="0"/>
            <w:vAlign w:val="center"/>
          </w:tcPr>
          <w:p w14:paraId="78F531B6">
            <w:pPr>
              <w:adjustRightInd w:val="0"/>
              <w:snapToGrid w:val="0"/>
              <w:jc w:val="center"/>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lang w:val="en-US" w:eastAsia="zh-CN"/>
              </w:rPr>
              <w:t>27.76</w:t>
            </w:r>
            <w:r>
              <w:rPr>
                <w:rFonts w:hint="default" w:ascii="Times New Roman" w:hAnsi="Times New Roman" w:cs="Times New Roman"/>
                <w:color w:val="auto"/>
                <w:sz w:val="24"/>
                <w:lang w:val="en-US" w:eastAsia="zh-CN"/>
              </w:rPr>
              <w:t>%</w:t>
            </w:r>
          </w:p>
        </w:tc>
        <w:tc>
          <w:tcPr>
            <w:tcW w:w="2316" w:type="dxa"/>
            <w:noWrap w:val="0"/>
            <w:tcMar>
              <w:top w:w="16" w:type="dxa"/>
              <w:left w:w="16" w:type="dxa"/>
              <w:right w:w="16" w:type="dxa"/>
            </w:tcMar>
            <w:vAlign w:val="center"/>
          </w:tcPr>
          <w:p w14:paraId="3F00F362">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施工工期</w:t>
            </w:r>
          </w:p>
        </w:tc>
        <w:tc>
          <w:tcPr>
            <w:tcW w:w="3134" w:type="dxa"/>
            <w:gridSpan w:val="2"/>
            <w:noWrap w:val="0"/>
            <w:vAlign w:val="center"/>
          </w:tcPr>
          <w:p w14:paraId="3561FA7F">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1年</w:t>
            </w:r>
          </w:p>
        </w:tc>
      </w:tr>
      <w:tr w14:paraId="2AA72F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jc w:val="center"/>
        </w:trPr>
        <w:tc>
          <w:tcPr>
            <w:tcW w:w="1263" w:type="dxa"/>
            <w:noWrap w:val="0"/>
            <w:tcMar>
              <w:top w:w="16" w:type="dxa"/>
              <w:left w:w="16" w:type="dxa"/>
              <w:right w:w="16" w:type="dxa"/>
            </w:tcMar>
            <w:vAlign w:val="center"/>
          </w:tcPr>
          <w:p w14:paraId="063BAD79">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是否开工建设</w:t>
            </w:r>
          </w:p>
        </w:tc>
        <w:tc>
          <w:tcPr>
            <w:tcW w:w="7776" w:type="dxa"/>
            <w:gridSpan w:val="4"/>
            <w:noWrap w:val="0"/>
            <w:vAlign w:val="center"/>
          </w:tcPr>
          <w:p w14:paraId="3566DE70">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 xml:space="preserve"> 否</w:t>
            </w:r>
          </w:p>
        </w:tc>
      </w:tr>
      <w:tr w14:paraId="590EB4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63" w:type="dxa"/>
            <w:noWrap w:val="0"/>
            <w:tcMar>
              <w:top w:w="16" w:type="dxa"/>
              <w:left w:w="16" w:type="dxa"/>
              <w:right w:w="16" w:type="dxa"/>
            </w:tcMar>
            <w:vAlign w:val="center"/>
          </w:tcPr>
          <w:p w14:paraId="3D6258CF">
            <w:pPr>
              <w:autoSpaceDE w:val="0"/>
              <w:autoSpaceDN w:val="0"/>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专项评价设置情况</w:t>
            </w:r>
          </w:p>
        </w:tc>
        <w:tc>
          <w:tcPr>
            <w:tcW w:w="7776" w:type="dxa"/>
            <w:gridSpan w:val="4"/>
            <w:noWrap w:val="0"/>
            <w:tcMar>
              <w:top w:w="16" w:type="dxa"/>
              <w:left w:w="16" w:type="dxa"/>
              <w:right w:w="16" w:type="dxa"/>
            </w:tcMar>
            <w:vAlign w:val="center"/>
          </w:tcPr>
          <w:p w14:paraId="754DF49A">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根据《建设项目环境影响报告表编制技术指南(生态影响类)》(试行) ， 建设项目产生的生态环境影响需要深入论证的，应按照环境影响评价相关技术导则开展专项评价工作。根据建设项目特点和涉及的环境敏感区类别，确定专项评价的类别，设置原则参照表，确有必要的可根据建设项目环境影响程度等实际情况适当调整。专项评价一般不超过两项，水利水电、交通运输(公路、铁路)、陆地石油和天然气开采类建设项目不超过三项。</w:t>
            </w:r>
          </w:p>
          <w:p w14:paraId="09AEE4BA">
            <w:pPr>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表1-1专项评价设置原则对应一览表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9"/>
              <w:gridCol w:w="4824"/>
              <w:gridCol w:w="1445"/>
            </w:tblGrid>
            <w:tr w14:paraId="0A368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379" w:type="dxa"/>
                  <w:noWrap w:val="0"/>
                  <w:vAlign w:val="center"/>
                </w:tcPr>
                <w:p w14:paraId="1114FFAD">
                  <w:pPr>
                    <w:jc w:val="center"/>
                    <w:rPr>
                      <w:rFonts w:hint="default" w:ascii="Times New Roman" w:hAnsi="Times New Roman" w:cs="Times New Roman"/>
                      <w:color w:val="auto"/>
                    </w:rPr>
                  </w:pPr>
                  <w:r>
                    <w:rPr>
                      <w:rFonts w:hint="default" w:ascii="Times New Roman" w:hAnsi="Times New Roman" w:cs="Times New Roman"/>
                      <w:color w:val="auto"/>
                    </w:rPr>
                    <w:t>专项评价的类别</w:t>
                  </w:r>
                </w:p>
              </w:tc>
              <w:tc>
                <w:tcPr>
                  <w:tcW w:w="4824" w:type="dxa"/>
                  <w:noWrap w:val="0"/>
                  <w:vAlign w:val="center"/>
                </w:tcPr>
                <w:p w14:paraId="265F38FD">
                  <w:pPr>
                    <w:jc w:val="center"/>
                    <w:rPr>
                      <w:rFonts w:hint="default" w:ascii="Times New Roman" w:hAnsi="Times New Roman" w:cs="Times New Roman"/>
                      <w:color w:val="auto"/>
                    </w:rPr>
                  </w:pPr>
                  <w:r>
                    <w:rPr>
                      <w:rFonts w:hint="default" w:ascii="Times New Roman" w:hAnsi="Times New Roman" w:cs="Times New Roman"/>
                      <w:color w:val="auto"/>
                    </w:rPr>
                    <w:t>涉及项目类别</w:t>
                  </w:r>
                </w:p>
              </w:tc>
              <w:tc>
                <w:tcPr>
                  <w:tcW w:w="1445" w:type="dxa"/>
                  <w:noWrap w:val="0"/>
                  <w:vAlign w:val="center"/>
                </w:tcPr>
                <w:p w14:paraId="7B8D92EC">
                  <w:pPr>
                    <w:jc w:val="center"/>
                    <w:rPr>
                      <w:rFonts w:hint="default" w:ascii="Times New Roman" w:hAnsi="Times New Roman" w:cs="Times New Roman"/>
                      <w:color w:val="auto"/>
                    </w:rPr>
                  </w:pPr>
                  <w:r>
                    <w:rPr>
                      <w:rFonts w:hint="default" w:ascii="Times New Roman" w:hAnsi="Times New Roman" w:cs="Times New Roman"/>
                      <w:color w:val="auto"/>
                    </w:rPr>
                    <w:t>本项目是否涉及</w:t>
                  </w:r>
                </w:p>
              </w:tc>
            </w:tr>
            <w:tr w14:paraId="395F5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 w:hRule="atLeast"/>
              </w:trPr>
              <w:tc>
                <w:tcPr>
                  <w:tcW w:w="1379" w:type="dxa"/>
                  <w:noWrap w:val="0"/>
                  <w:vAlign w:val="center"/>
                </w:tcPr>
                <w:p w14:paraId="3C80EBE6">
                  <w:pPr>
                    <w:jc w:val="center"/>
                    <w:rPr>
                      <w:rFonts w:hint="default" w:ascii="Times New Roman" w:hAnsi="Times New Roman" w:cs="Times New Roman"/>
                      <w:color w:val="auto"/>
                    </w:rPr>
                  </w:pPr>
                  <w:r>
                    <w:rPr>
                      <w:rFonts w:hint="default" w:ascii="Times New Roman" w:hAnsi="Times New Roman" w:cs="Times New Roman"/>
                      <w:color w:val="auto"/>
                    </w:rPr>
                    <w:t>地表水</w:t>
                  </w:r>
                </w:p>
              </w:tc>
              <w:tc>
                <w:tcPr>
                  <w:tcW w:w="4824" w:type="dxa"/>
                  <w:noWrap w:val="0"/>
                  <w:vAlign w:val="center"/>
                </w:tcPr>
                <w:p w14:paraId="33A97100">
                  <w:pPr>
                    <w:rPr>
                      <w:rFonts w:hint="eastAsia" w:ascii="Times New Roman" w:hAnsi="Times New Roman" w:eastAsia="宋体" w:cs="Times New Roman"/>
                      <w:color w:val="auto"/>
                      <w:lang w:eastAsia="zh-CN"/>
                    </w:rPr>
                  </w:pPr>
                  <w:r>
                    <w:rPr>
                      <w:rFonts w:hint="default" w:ascii="Times New Roman" w:hAnsi="Times New Roman" w:cs="Times New Roman"/>
                      <w:color w:val="auto"/>
                    </w:rPr>
                    <w:t>水力发电</w:t>
                  </w:r>
                  <w:r>
                    <w:rPr>
                      <w:rFonts w:hint="eastAsia" w:ascii="Times New Roman" w:hAnsi="Times New Roman" w:cs="Times New Roman"/>
                      <w:color w:val="auto"/>
                      <w:lang w:eastAsia="zh-CN"/>
                    </w:rPr>
                    <w:t>：</w:t>
                  </w:r>
                  <w:r>
                    <w:rPr>
                      <w:rFonts w:hint="default" w:ascii="Times New Roman" w:hAnsi="Times New Roman" w:cs="Times New Roman"/>
                      <w:color w:val="auto"/>
                    </w:rPr>
                    <w:t>引水式发电、涉及调峰发电的项目</w:t>
                  </w:r>
                  <w:r>
                    <w:rPr>
                      <w:rFonts w:hint="eastAsia" w:ascii="Times New Roman" w:hAnsi="Times New Roman" w:cs="Times New Roman"/>
                      <w:color w:val="auto"/>
                      <w:lang w:eastAsia="zh-CN"/>
                    </w:rPr>
                    <w:t>；</w:t>
                  </w:r>
                </w:p>
                <w:p w14:paraId="6F282E21">
                  <w:pPr>
                    <w:rPr>
                      <w:rFonts w:hint="eastAsia" w:ascii="Times New Roman" w:hAnsi="Times New Roman" w:eastAsia="宋体" w:cs="Times New Roman"/>
                      <w:color w:val="auto"/>
                      <w:lang w:eastAsia="zh-CN"/>
                    </w:rPr>
                  </w:pPr>
                  <w:r>
                    <w:rPr>
                      <w:rFonts w:hint="default" w:ascii="Times New Roman" w:hAnsi="Times New Roman" w:cs="Times New Roman"/>
                      <w:color w:val="auto"/>
                    </w:rPr>
                    <w:t>人工湖、人工湿地</w:t>
                  </w:r>
                  <w:r>
                    <w:rPr>
                      <w:rFonts w:hint="eastAsia" w:ascii="Times New Roman" w:hAnsi="Times New Roman" w:cs="Times New Roman"/>
                      <w:color w:val="auto"/>
                      <w:lang w:eastAsia="zh-CN"/>
                    </w:rPr>
                    <w:t>：</w:t>
                  </w:r>
                  <w:r>
                    <w:rPr>
                      <w:rFonts w:hint="default" w:ascii="Times New Roman" w:hAnsi="Times New Roman" w:cs="Times New Roman"/>
                      <w:color w:val="auto"/>
                    </w:rPr>
                    <w:t>全部</w:t>
                  </w:r>
                  <w:r>
                    <w:rPr>
                      <w:rFonts w:hint="eastAsia" w:ascii="Times New Roman" w:hAnsi="Times New Roman" w:cs="Times New Roman"/>
                      <w:color w:val="auto"/>
                      <w:lang w:eastAsia="zh-CN"/>
                    </w:rPr>
                    <w:t>；</w:t>
                  </w:r>
                </w:p>
                <w:p w14:paraId="2F56F7CD">
                  <w:pPr>
                    <w:rPr>
                      <w:rFonts w:hint="eastAsia" w:ascii="Times New Roman" w:hAnsi="Times New Roman" w:eastAsia="宋体" w:cs="Times New Roman"/>
                      <w:color w:val="auto"/>
                      <w:lang w:eastAsia="zh-CN"/>
                    </w:rPr>
                  </w:pPr>
                  <w:r>
                    <w:rPr>
                      <w:rFonts w:hint="default" w:ascii="Times New Roman" w:hAnsi="Times New Roman" w:cs="Times New Roman"/>
                      <w:color w:val="auto"/>
                    </w:rPr>
                    <w:t>水库</w:t>
                  </w:r>
                  <w:r>
                    <w:rPr>
                      <w:rFonts w:hint="eastAsia" w:ascii="Times New Roman" w:hAnsi="Times New Roman" w:cs="Times New Roman"/>
                      <w:color w:val="auto"/>
                      <w:lang w:eastAsia="zh-CN"/>
                    </w:rPr>
                    <w:t>：</w:t>
                  </w:r>
                  <w:r>
                    <w:rPr>
                      <w:rFonts w:hint="default" w:ascii="Times New Roman" w:hAnsi="Times New Roman" w:cs="Times New Roman"/>
                      <w:color w:val="auto"/>
                    </w:rPr>
                    <w:t>全部</w:t>
                  </w:r>
                  <w:r>
                    <w:rPr>
                      <w:rFonts w:hint="eastAsia" w:ascii="Times New Roman" w:hAnsi="Times New Roman" w:cs="Times New Roman"/>
                      <w:color w:val="auto"/>
                      <w:lang w:eastAsia="zh-CN"/>
                    </w:rPr>
                    <w:t>；</w:t>
                  </w:r>
                </w:p>
                <w:p w14:paraId="2C3B86D4">
                  <w:pPr>
                    <w:rPr>
                      <w:rFonts w:hint="eastAsia" w:ascii="Times New Roman" w:hAnsi="Times New Roman" w:eastAsia="宋体" w:cs="Times New Roman"/>
                      <w:color w:val="auto"/>
                      <w:lang w:eastAsia="zh-CN"/>
                    </w:rPr>
                  </w:pPr>
                  <w:r>
                    <w:rPr>
                      <w:rFonts w:hint="default" w:ascii="Times New Roman" w:hAnsi="Times New Roman" w:cs="Times New Roman"/>
                      <w:color w:val="auto"/>
                    </w:rPr>
                    <w:t>引水工程</w:t>
                  </w:r>
                  <w:r>
                    <w:rPr>
                      <w:rFonts w:hint="eastAsia" w:ascii="Times New Roman" w:hAnsi="Times New Roman" w:cs="Times New Roman"/>
                      <w:color w:val="auto"/>
                      <w:lang w:eastAsia="zh-CN"/>
                    </w:rPr>
                    <w:t>：</w:t>
                  </w:r>
                  <w:r>
                    <w:rPr>
                      <w:rFonts w:hint="default" w:ascii="Times New Roman" w:hAnsi="Times New Roman" w:cs="Times New Roman"/>
                      <w:color w:val="auto"/>
                    </w:rPr>
                    <w:t>全部(配套的管线工程等除外)</w:t>
                  </w:r>
                  <w:r>
                    <w:rPr>
                      <w:rFonts w:hint="eastAsia" w:ascii="Times New Roman" w:hAnsi="Times New Roman" w:cs="Times New Roman"/>
                      <w:color w:val="auto"/>
                      <w:lang w:eastAsia="zh-CN"/>
                    </w:rPr>
                    <w:t>；</w:t>
                  </w:r>
                </w:p>
                <w:p w14:paraId="25704E70">
                  <w:pPr>
                    <w:rPr>
                      <w:rFonts w:hint="eastAsia" w:ascii="Times New Roman" w:hAnsi="Times New Roman" w:eastAsia="宋体" w:cs="Times New Roman"/>
                      <w:color w:val="auto"/>
                      <w:lang w:eastAsia="zh-CN"/>
                    </w:rPr>
                  </w:pPr>
                  <w:r>
                    <w:rPr>
                      <w:rFonts w:hint="default" w:ascii="Times New Roman" w:hAnsi="Times New Roman" w:cs="Times New Roman"/>
                      <w:color w:val="auto"/>
                    </w:rPr>
                    <w:t>防洪除涝工程</w:t>
                  </w:r>
                  <w:r>
                    <w:rPr>
                      <w:rFonts w:hint="eastAsia" w:ascii="Times New Roman" w:hAnsi="Times New Roman" w:cs="Times New Roman"/>
                      <w:color w:val="auto"/>
                      <w:lang w:eastAsia="zh-CN"/>
                    </w:rPr>
                    <w:t>：</w:t>
                  </w:r>
                  <w:r>
                    <w:rPr>
                      <w:rFonts w:hint="default" w:ascii="Times New Roman" w:hAnsi="Times New Roman" w:cs="Times New Roman"/>
                      <w:color w:val="auto"/>
                    </w:rPr>
                    <w:t>包含水库的项目</w:t>
                  </w:r>
                  <w:r>
                    <w:rPr>
                      <w:rFonts w:hint="eastAsia" w:ascii="Times New Roman" w:hAnsi="Times New Roman" w:cs="Times New Roman"/>
                      <w:color w:val="auto"/>
                      <w:lang w:eastAsia="zh-CN"/>
                    </w:rPr>
                    <w:t>；</w:t>
                  </w:r>
                </w:p>
                <w:p w14:paraId="40721C80">
                  <w:pPr>
                    <w:rPr>
                      <w:rFonts w:hint="default" w:ascii="Times New Roman" w:hAnsi="Times New Roman" w:cs="Times New Roman"/>
                      <w:color w:val="auto"/>
                    </w:rPr>
                  </w:pPr>
                  <w:r>
                    <w:rPr>
                      <w:rFonts w:hint="default" w:ascii="Times New Roman" w:hAnsi="Times New Roman" w:cs="Times New Roman"/>
                      <w:color w:val="auto"/>
                    </w:rPr>
                    <w:t>河湖整治</w:t>
                  </w:r>
                  <w:r>
                    <w:rPr>
                      <w:rFonts w:hint="eastAsia" w:ascii="Times New Roman" w:hAnsi="Times New Roman" w:cs="Times New Roman"/>
                      <w:color w:val="auto"/>
                      <w:lang w:eastAsia="zh-CN"/>
                    </w:rPr>
                    <w:t>：</w:t>
                  </w:r>
                  <w:r>
                    <w:rPr>
                      <w:rFonts w:hint="default" w:ascii="Times New Roman" w:hAnsi="Times New Roman" w:cs="Times New Roman"/>
                      <w:color w:val="auto"/>
                    </w:rPr>
                    <w:t>涉及清淤且底泥存在重金属污染的项目</w:t>
                  </w:r>
                </w:p>
              </w:tc>
              <w:tc>
                <w:tcPr>
                  <w:tcW w:w="1445" w:type="dxa"/>
                  <w:noWrap w:val="0"/>
                  <w:vAlign w:val="center"/>
                </w:tcPr>
                <w:p w14:paraId="3BDDB5A6">
                  <w:pPr>
                    <w:jc w:val="center"/>
                    <w:rPr>
                      <w:rFonts w:hint="default" w:ascii="Times New Roman" w:hAnsi="Times New Roman" w:cs="Times New Roman"/>
                      <w:color w:val="auto"/>
                    </w:rPr>
                  </w:pPr>
                  <w:r>
                    <w:rPr>
                      <w:rFonts w:hint="default" w:ascii="Times New Roman" w:hAnsi="Times New Roman" w:cs="Times New Roman"/>
                      <w:color w:val="auto"/>
                    </w:rPr>
                    <w:t>不涉及</w:t>
                  </w:r>
                </w:p>
              </w:tc>
            </w:tr>
            <w:tr w14:paraId="16434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379" w:type="dxa"/>
                  <w:noWrap w:val="0"/>
                  <w:vAlign w:val="center"/>
                </w:tcPr>
                <w:p w14:paraId="40D5F892">
                  <w:pPr>
                    <w:jc w:val="center"/>
                    <w:rPr>
                      <w:rFonts w:hint="default" w:ascii="Times New Roman" w:hAnsi="Times New Roman" w:cs="Times New Roman"/>
                      <w:color w:val="auto"/>
                    </w:rPr>
                  </w:pPr>
                  <w:r>
                    <w:rPr>
                      <w:rFonts w:hint="default" w:ascii="Times New Roman" w:hAnsi="Times New Roman" w:cs="Times New Roman"/>
                      <w:color w:val="auto"/>
                    </w:rPr>
                    <w:t>地下水</w:t>
                  </w:r>
                </w:p>
              </w:tc>
              <w:tc>
                <w:tcPr>
                  <w:tcW w:w="4824" w:type="dxa"/>
                  <w:noWrap w:val="0"/>
                  <w:vAlign w:val="center"/>
                </w:tcPr>
                <w:p w14:paraId="53A58EBD">
                  <w:pPr>
                    <w:rPr>
                      <w:rFonts w:hint="eastAsia" w:ascii="Times New Roman" w:hAnsi="Times New Roman" w:eastAsia="宋体" w:cs="Times New Roman"/>
                      <w:color w:val="auto"/>
                      <w:lang w:eastAsia="zh-CN"/>
                    </w:rPr>
                  </w:pPr>
                  <w:r>
                    <w:rPr>
                      <w:rFonts w:hint="default" w:ascii="Times New Roman" w:hAnsi="Times New Roman" w:cs="Times New Roman"/>
                      <w:color w:val="auto"/>
                    </w:rPr>
                    <w:t>陆地石油和天然气开采</w:t>
                  </w:r>
                  <w:r>
                    <w:rPr>
                      <w:rFonts w:hint="eastAsia" w:ascii="Times New Roman" w:hAnsi="Times New Roman" w:cs="Times New Roman"/>
                      <w:color w:val="auto"/>
                      <w:lang w:eastAsia="zh-CN"/>
                    </w:rPr>
                    <w:t>：</w:t>
                  </w:r>
                  <w:r>
                    <w:rPr>
                      <w:rFonts w:hint="default" w:ascii="Times New Roman" w:hAnsi="Times New Roman" w:cs="Times New Roman"/>
                      <w:color w:val="auto"/>
                    </w:rPr>
                    <w:t>全部</w:t>
                  </w:r>
                  <w:r>
                    <w:rPr>
                      <w:rFonts w:hint="eastAsia" w:ascii="Times New Roman" w:hAnsi="Times New Roman" w:cs="Times New Roman"/>
                      <w:color w:val="auto"/>
                      <w:lang w:eastAsia="zh-CN"/>
                    </w:rPr>
                    <w:t>；</w:t>
                  </w:r>
                </w:p>
                <w:p w14:paraId="00F7958C">
                  <w:pPr>
                    <w:rPr>
                      <w:rFonts w:hint="eastAsia" w:ascii="Times New Roman" w:hAnsi="Times New Roman" w:eastAsia="宋体" w:cs="Times New Roman"/>
                      <w:color w:val="auto"/>
                      <w:lang w:eastAsia="zh-CN"/>
                    </w:rPr>
                  </w:pPr>
                  <w:r>
                    <w:rPr>
                      <w:rFonts w:hint="default" w:ascii="Times New Roman" w:hAnsi="Times New Roman" w:cs="Times New Roman"/>
                      <w:color w:val="auto"/>
                    </w:rPr>
                    <w:t>地下水(含矿泉水)开采</w:t>
                  </w:r>
                  <w:r>
                    <w:rPr>
                      <w:rFonts w:hint="eastAsia" w:ascii="Times New Roman" w:hAnsi="Times New Roman" w:cs="Times New Roman"/>
                      <w:color w:val="auto"/>
                      <w:lang w:eastAsia="zh-CN"/>
                    </w:rPr>
                    <w:t>：</w:t>
                  </w:r>
                  <w:r>
                    <w:rPr>
                      <w:rFonts w:hint="default" w:ascii="Times New Roman" w:hAnsi="Times New Roman" w:cs="Times New Roman"/>
                      <w:color w:val="auto"/>
                    </w:rPr>
                    <w:t>全部</w:t>
                  </w:r>
                  <w:r>
                    <w:rPr>
                      <w:rFonts w:hint="eastAsia" w:ascii="Times New Roman" w:hAnsi="Times New Roman" w:cs="Times New Roman"/>
                      <w:color w:val="auto"/>
                      <w:lang w:eastAsia="zh-CN"/>
                    </w:rPr>
                    <w:t>；</w:t>
                  </w:r>
                </w:p>
                <w:p w14:paraId="74049564">
                  <w:pPr>
                    <w:rPr>
                      <w:rFonts w:hint="default" w:ascii="Times New Roman" w:hAnsi="Times New Roman" w:cs="Times New Roman"/>
                      <w:color w:val="auto"/>
                    </w:rPr>
                  </w:pPr>
                  <w:r>
                    <w:rPr>
                      <w:rFonts w:hint="default" w:ascii="Times New Roman" w:hAnsi="Times New Roman" w:cs="Times New Roman"/>
                      <w:color w:val="auto"/>
                    </w:rPr>
                    <w:t>水利、水电、交通等</w:t>
                  </w:r>
                  <w:r>
                    <w:rPr>
                      <w:rFonts w:hint="eastAsia" w:ascii="Times New Roman" w:hAnsi="Times New Roman" w:cs="Times New Roman"/>
                      <w:color w:val="auto"/>
                      <w:lang w:eastAsia="zh-CN"/>
                    </w:rPr>
                    <w:t>：</w:t>
                  </w:r>
                  <w:r>
                    <w:rPr>
                      <w:rFonts w:hint="default" w:ascii="Times New Roman" w:hAnsi="Times New Roman" w:cs="Times New Roman"/>
                      <w:color w:val="auto"/>
                    </w:rPr>
                    <w:t>含穿越可溶岩地层隧道的项目</w:t>
                  </w:r>
                </w:p>
              </w:tc>
              <w:tc>
                <w:tcPr>
                  <w:tcW w:w="1445" w:type="dxa"/>
                  <w:noWrap w:val="0"/>
                  <w:vAlign w:val="center"/>
                </w:tcPr>
                <w:p w14:paraId="0E9A904E">
                  <w:pPr>
                    <w:jc w:val="center"/>
                    <w:rPr>
                      <w:rFonts w:hint="default" w:ascii="Times New Roman" w:hAnsi="Times New Roman" w:cs="Times New Roman"/>
                      <w:color w:val="auto"/>
                    </w:rPr>
                  </w:pPr>
                  <w:r>
                    <w:rPr>
                      <w:rFonts w:hint="default" w:ascii="Times New Roman" w:hAnsi="Times New Roman" w:cs="Times New Roman"/>
                      <w:color w:val="auto"/>
                    </w:rPr>
                    <w:t>不涉及</w:t>
                  </w:r>
                </w:p>
              </w:tc>
            </w:tr>
            <w:tr w14:paraId="24BCA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1379" w:type="dxa"/>
                  <w:noWrap w:val="0"/>
                  <w:vAlign w:val="center"/>
                </w:tcPr>
                <w:p w14:paraId="2800E6B5">
                  <w:pPr>
                    <w:jc w:val="center"/>
                    <w:rPr>
                      <w:rFonts w:hint="default" w:ascii="Times New Roman" w:hAnsi="Times New Roman" w:cs="Times New Roman"/>
                      <w:color w:val="auto"/>
                    </w:rPr>
                  </w:pPr>
                  <w:r>
                    <w:rPr>
                      <w:rFonts w:hint="default" w:ascii="Times New Roman" w:hAnsi="Times New Roman" w:cs="Times New Roman"/>
                      <w:color w:val="auto"/>
                    </w:rPr>
                    <w:t>生态</w:t>
                  </w:r>
                </w:p>
              </w:tc>
              <w:tc>
                <w:tcPr>
                  <w:tcW w:w="4824" w:type="dxa"/>
                  <w:noWrap w:val="0"/>
                  <w:vAlign w:val="center"/>
                </w:tcPr>
                <w:p w14:paraId="3AF4524D">
                  <w:pPr>
                    <w:rPr>
                      <w:rFonts w:hint="default" w:ascii="Times New Roman" w:hAnsi="Times New Roman" w:cs="Times New Roman"/>
                      <w:color w:val="auto"/>
                    </w:rPr>
                  </w:pPr>
                  <w:r>
                    <w:rPr>
                      <w:rFonts w:hint="default" w:ascii="Times New Roman" w:hAnsi="Times New Roman" w:cs="Times New Roman"/>
                      <w:color w:val="auto"/>
                    </w:rPr>
                    <w:t>涉及环境敏感区(不包括饮用水水源保护区，以居住、医疗卫生、文化教育、科研、行政办公为主要功能的区域，以及文物保护单位)的项目</w:t>
                  </w:r>
                </w:p>
              </w:tc>
              <w:tc>
                <w:tcPr>
                  <w:tcW w:w="1445" w:type="dxa"/>
                  <w:noWrap w:val="0"/>
                  <w:vAlign w:val="center"/>
                </w:tcPr>
                <w:p w14:paraId="2D1E55EE">
                  <w:pPr>
                    <w:jc w:val="center"/>
                    <w:rPr>
                      <w:rFonts w:hint="default" w:ascii="Times New Roman" w:hAnsi="Times New Roman" w:cs="Times New Roman"/>
                      <w:color w:val="auto"/>
                    </w:rPr>
                  </w:pPr>
                  <w:r>
                    <w:rPr>
                      <w:rFonts w:hint="default" w:ascii="Times New Roman" w:hAnsi="Times New Roman" w:cs="Times New Roman"/>
                      <w:color w:val="auto"/>
                    </w:rPr>
                    <w:t>不涉及</w:t>
                  </w:r>
                </w:p>
              </w:tc>
            </w:tr>
            <w:tr w14:paraId="220F7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379" w:type="dxa"/>
                  <w:noWrap w:val="0"/>
                  <w:vAlign w:val="center"/>
                </w:tcPr>
                <w:p w14:paraId="2B47BA72">
                  <w:pPr>
                    <w:jc w:val="center"/>
                    <w:rPr>
                      <w:rFonts w:hint="default" w:ascii="Times New Roman" w:hAnsi="Times New Roman" w:cs="Times New Roman"/>
                      <w:color w:val="auto"/>
                    </w:rPr>
                  </w:pPr>
                  <w:r>
                    <w:rPr>
                      <w:rFonts w:hint="default" w:ascii="Times New Roman" w:hAnsi="Times New Roman" w:cs="Times New Roman"/>
                      <w:color w:val="auto"/>
                    </w:rPr>
                    <w:t>大气</w:t>
                  </w:r>
                </w:p>
              </w:tc>
              <w:tc>
                <w:tcPr>
                  <w:tcW w:w="4824" w:type="dxa"/>
                  <w:noWrap w:val="0"/>
                  <w:vAlign w:val="center"/>
                </w:tcPr>
                <w:p w14:paraId="5BE742A2">
                  <w:pPr>
                    <w:rPr>
                      <w:rFonts w:hint="eastAsia" w:ascii="Times New Roman" w:hAnsi="Times New Roman" w:eastAsia="宋体" w:cs="Times New Roman"/>
                      <w:color w:val="auto"/>
                      <w:lang w:eastAsia="zh-CN"/>
                    </w:rPr>
                  </w:pPr>
                  <w:r>
                    <w:rPr>
                      <w:rFonts w:hint="default" w:ascii="Times New Roman" w:hAnsi="Times New Roman" w:cs="Times New Roman"/>
                      <w:color w:val="auto"/>
                    </w:rPr>
                    <w:t>油气、液体化工码头</w:t>
                  </w:r>
                  <w:r>
                    <w:rPr>
                      <w:rFonts w:hint="eastAsia" w:ascii="Times New Roman" w:hAnsi="Times New Roman" w:cs="Times New Roman"/>
                      <w:color w:val="auto"/>
                      <w:lang w:eastAsia="zh-CN"/>
                    </w:rPr>
                    <w:t>：</w:t>
                  </w:r>
                  <w:r>
                    <w:rPr>
                      <w:rFonts w:hint="default" w:ascii="Times New Roman" w:hAnsi="Times New Roman" w:cs="Times New Roman"/>
                      <w:color w:val="auto"/>
                    </w:rPr>
                    <w:t>全部</w:t>
                  </w:r>
                  <w:r>
                    <w:rPr>
                      <w:rFonts w:hint="eastAsia" w:ascii="Times New Roman" w:hAnsi="Times New Roman" w:cs="Times New Roman"/>
                      <w:color w:val="auto"/>
                      <w:lang w:eastAsia="zh-CN"/>
                    </w:rPr>
                    <w:t>；</w:t>
                  </w:r>
                </w:p>
                <w:p w14:paraId="435E32BF">
                  <w:pPr>
                    <w:rPr>
                      <w:rFonts w:hint="default" w:ascii="Times New Roman" w:hAnsi="Times New Roman" w:cs="Times New Roman"/>
                      <w:color w:val="auto"/>
                    </w:rPr>
                  </w:pPr>
                  <w:r>
                    <w:rPr>
                      <w:rFonts w:hint="default" w:ascii="Times New Roman" w:hAnsi="Times New Roman" w:cs="Times New Roman"/>
                      <w:color w:val="auto"/>
                    </w:rPr>
                    <w:t>干散货(含煤炭、矿石)、件杂、多用途、通用码头</w:t>
                  </w:r>
                  <w:r>
                    <w:rPr>
                      <w:rFonts w:hint="eastAsia" w:ascii="Times New Roman" w:hAnsi="Times New Roman" w:cs="Times New Roman"/>
                      <w:color w:val="auto"/>
                      <w:lang w:eastAsia="zh-CN"/>
                    </w:rPr>
                    <w:t>：</w:t>
                  </w:r>
                  <w:r>
                    <w:rPr>
                      <w:rFonts w:hint="default" w:ascii="Times New Roman" w:hAnsi="Times New Roman" w:cs="Times New Roman"/>
                      <w:color w:val="auto"/>
                    </w:rPr>
                    <w:t>涉及粉尘、挥发性有机物排放的项目</w:t>
                  </w:r>
                </w:p>
              </w:tc>
              <w:tc>
                <w:tcPr>
                  <w:tcW w:w="1445" w:type="dxa"/>
                  <w:noWrap w:val="0"/>
                  <w:vAlign w:val="center"/>
                </w:tcPr>
                <w:p w14:paraId="5078DDE8">
                  <w:pPr>
                    <w:jc w:val="center"/>
                    <w:rPr>
                      <w:rFonts w:hint="default" w:ascii="Times New Roman" w:hAnsi="Times New Roman" w:cs="Times New Roman"/>
                      <w:color w:val="auto"/>
                    </w:rPr>
                  </w:pPr>
                  <w:r>
                    <w:rPr>
                      <w:rFonts w:hint="default" w:ascii="Times New Roman" w:hAnsi="Times New Roman" w:cs="Times New Roman"/>
                      <w:color w:val="auto"/>
                    </w:rPr>
                    <w:t>不涉及</w:t>
                  </w:r>
                </w:p>
              </w:tc>
            </w:tr>
            <w:tr w14:paraId="674CB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 w:hRule="atLeast"/>
              </w:trPr>
              <w:tc>
                <w:tcPr>
                  <w:tcW w:w="1379" w:type="dxa"/>
                  <w:noWrap w:val="0"/>
                  <w:vAlign w:val="center"/>
                </w:tcPr>
                <w:p w14:paraId="397D2AE6">
                  <w:pPr>
                    <w:jc w:val="center"/>
                    <w:rPr>
                      <w:rFonts w:hint="default" w:ascii="Times New Roman" w:hAnsi="Times New Roman" w:cs="Times New Roman"/>
                      <w:color w:val="auto"/>
                    </w:rPr>
                  </w:pPr>
                  <w:r>
                    <w:rPr>
                      <w:rFonts w:hint="default" w:ascii="Times New Roman" w:hAnsi="Times New Roman" w:cs="Times New Roman"/>
                      <w:color w:val="auto"/>
                    </w:rPr>
                    <w:t>噪声</w:t>
                  </w:r>
                </w:p>
              </w:tc>
              <w:tc>
                <w:tcPr>
                  <w:tcW w:w="4824" w:type="dxa"/>
                  <w:noWrap w:val="0"/>
                  <w:vAlign w:val="center"/>
                </w:tcPr>
                <w:p w14:paraId="68B2B667">
                  <w:pPr>
                    <w:rPr>
                      <w:rFonts w:hint="eastAsia" w:ascii="Times New Roman" w:hAnsi="Times New Roman" w:eastAsia="宋体" w:cs="Times New Roman"/>
                      <w:color w:val="auto"/>
                      <w:lang w:eastAsia="zh-CN"/>
                    </w:rPr>
                  </w:pPr>
                  <w:r>
                    <w:rPr>
                      <w:rFonts w:hint="default" w:ascii="Times New Roman" w:hAnsi="Times New Roman" w:cs="Times New Roman"/>
                      <w:color w:val="auto"/>
                    </w:rPr>
                    <w:t>公路、铁路、机场等交通运输业涉及环境敏感区(以居住、医疗卫生、文化教育、科研、行政办公为主要功能的区域)的项目</w:t>
                  </w:r>
                  <w:r>
                    <w:rPr>
                      <w:rFonts w:hint="eastAsia" w:ascii="Times New Roman" w:hAnsi="Times New Roman" w:cs="Times New Roman"/>
                      <w:color w:val="auto"/>
                      <w:lang w:eastAsia="zh-CN"/>
                    </w:rPr>
                    <w:t>；</w:t>
                  </w:r>
                </w:p>
                <w:p w14:paraId="123BE9D3">
                  <w:pPr>
                    <w:rPr>
                      <w:rFonts w:hint="default" w:ascii="Times New Roman" w:hAnsi="Times New Roman" w:cs="Times New Roman"/>
                      <w:color w:val="auto"/>
                    </w:rPr>
                  </w:pPr>
                  <w:r>
                    <w:rPr>
                      <w:rFonts w:hint="default" w:ascii="Times New Roman" w:hAnsi="Times New Roman" w:cs="Times New Roman"/>
                      <w:color w:val="auto"/>
                    </w:rPr>
                    <w:t>城市道路(不含维护，不含支路、人行天桥、人行地道)</w:t>
                  </w:r>
                  <w:r>
                    <w:rPr>
                      <w:rFonts w:hint="eastAsia" w:ascii="Times New Roman" w:hAnsi="Times New Roman" w:cs="Times New Roman"/>
                      <w:color w:val="auto"/>
                      <w:lang w:eastAsia="zh-CN"/>
                    </w:rPr>
                    <w:t>：</w:t>
                  </w:r>
                  <w:r>
                    <w:rPr>
                      <w:rFonts w:hint="default" w:ascii="Times New Roman" w:hAnsi="Times New Roman" w:cs="Times New Roman"/>
                      <w:color w:val="auto"/>
                    </w:rPr>
                    <w:t>全部</w:t>
                  </w:r>
                </w:p>
              </w:tc>
              <w:tc>
                <w:tcPr>
                  <w:tcW w:w="1445" w:type="dxa"/>
                  <w:noWrap w:val="0"/>
                  <w:vAlign w:val="center"/>
                </w:tcPr>
                <w:p w14:paraId="6ABE945F">
                  <w:pPr>
                    <w:jc w:val="center"/>
                    <w:rPr>
                      <w:rFonts w:hint="default" w:ascii="Times New Roman" w:hAnsi="Times New Roman" w:cs="Times New Roman"/>
                      <w:color w:val="auto"/>
                    </w:rPr>
                  </w:pPr>
                  <w:r>
                    <w:rPr>
                      <w:rFonts w:hint="default" w:ascii="Times New Roman" w:hAnsi="Times New Roman" w:cs="Times New Roman"/>
                      <w:color w:val="auto"/>
                    </w:rPr>
                    <w:t>不涉及</w:t>
                  </w:r>
                </w:p>
              </w:tc>
            </w:tr>
            <w:tr w14:paraId="0C6A7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9" w:hRule="atLeast"/>
              </w:trPr>
              <w:tc>
                <w:tcPr>
                  <w:tcW w:w="1379" w:type="dxa"/>
                  <w:noWrap w:val="0"/>
                  <w:vAlign w:val="center"/>
                </w:tcPr>
                <w:p w14:paraId="16CF6145">
                  <w:pPr>
                    <w:jc w:val="center"/>
                    <w:rPr>
                      <w:rFonts w:hint="default" w:ascii="Times New Roman" w:hAnsi="Times New Roman" w:cs="Times New Roman"/>
                      <w:color w:val="auto"/>
                    </w:rPr>
                  </w:pPr>
                  <w:r>
                    <w:rPr>
                      <w:rFonts w:hint="default" w:ascii="Times New Roman" w:hAnsi="Times New Roman" w:cs="Times New Roman"/>
                      <w:color w:val="auto"/>
                    </w:rPr>
                    <w:t>环境风险</w:t>
                  </w:r>
                </w:p>
              </w:tc>
              <w:tc>
                <w:tcPr>
                  <w:tcW w:w="4824" w:type="dxa"/>
                  <w:noWrap w:val="0"/>
                  <w:vAlign w:val="center"/>
                </w:tcPr>
                <w:p w14:paraId="635CB3DC">
                  <w:pPr>
                    <w:rPr>
                      <w:rFonts w:hint="eastAsia" w:ascii="Times New Roman" w:hAnsi="Times New Roman" w:eastAsia="宋体" w:cs="Times New Roman"/>
                      <w:color w:val="auto"/>
                      <w:lang w:eastAsia="zh-CN"/>
                    </w:rPr>
                  </w:pPr>
                  <w:r>
                    <w:rPr>
                      <w:rFonts w:hint="default" w:ascii="Times New Roman" w:hAnsi="Times New Roman" w:cs="Times New Roman"/>
                      <w:color w:val="auto"/>
                    </w:rPr>
                    <w:t>石油和天然气开采</w:t>
                  </w:r>
                  <w:r>
                    <w:rPr>
                      <w:rFonts w:hint="eastAsia" w:ascii="Times New Roman" w:hAnsi="Times New Roman" w:cs="Times New Roman"/>
                      <w:color w:val="auto"/>
                      <w:lang w:eastAsia="zh-CN"/>
                    </w:rPr>
                    <w:t>：</w:t>
                  </w:r>
                  <w:r>
                    <w:rPr>
                      <w:rFonts w:hint="default" w:ascii="Times New Roman" w:hAnsi="Times New Roman" w:cs="Times New Roman"/>
                      <w:color w:val="auto"/>
                    </w:rPr>
                    <w:t>全部</w:t>
                  </w:r>
                  <w:r>
                    <w:rPr>
                      <w:rFonts w:hint="eastAsia" w:ascii="Times New Roman" w:hAnsi="Times New Roman" w:cs="Times New Roman"/>
                      <w:color w:val="auto"/>
                      <w:lang w:eastAsia="zh-CN"/>
                    </w:rPr>
                    <w:t>；</w:t>
                  </w:r>
                </w:p>
                <w:p w14:paraId="4C07D4B0">
                  <w:pPr>
                    <w:rPr>
                      <w:rFonts w:hint="eastAsia" w:ascii="Times New Roman" w:hAnsi="Times New Roman" w:eastAsia="宋体" w:cs="Times New Roman"/>
                      <w:color w:val="auto"/>
                      <w:lang w:eastAsia="zh-CN"/>
                    </w:rPr>
                  </w:pPr>
                  <w:r>
                    <w:rPr>
                      <w:rFonts w:hint="default" w:ascii="Times New Roman" w:hAnsi="Times New Roman" w:cs="Times New Roman"/>
                      <w:color w:val="auto"/>
                    </w:rPr>
                    <w:t>油气、液体化工码头</w:t>
                  </w:r>
                  <w:r>
                    <w:rPr>
                      <w:rFonts w:hint="eastAsia" w:ascii="Times New Roman" w:hAnsi="Times New Roman" w:cs="Times New Roman"/>
                      <w:color w:val="auto"/>
                      <w:lang w:eastAsia="zh-CN"/>
                    </w:rPr>
                    <w:t>：</w:t>
                  </w:r>
                  <w:r>
                    <w:rPr>
                      <w:rFonts w:hint="default" w:ascii="Times New Roman" w:hAnsi="Times New Roman" w:cs="Times New Roman"/>
                      <w:color w:val="auto"/>
                    </w:rPr>
                    <w:t>全部</w:t>
                  </w:r>
                  <w:r>
                    <w:rPr>
                      <w:rFonts w:hint="eastAsia" w:ascii="Times New Roman" w:hAnsi="Times New Roman" w:cs="Times New Roman"/>
                      <w:color w:val="auto"/>
                      <w:lang w:eastAsia="zh-CN"/>
                    </w:rPr>
                    <w:t>；</w:t>
                  </w:r>
                </w:p>
                <w:p w14:paraId="413AD4DC">
                  <w:pPr>
                    <w:rPr>
                      <w:rFonts w:hint="default" w:ascii="Times New Roman" w:hAnsi="Times New Roman" w:cs="Times New Roman"/>
                      <w:color w:val="auto"/>
                    </w:rPr>
                  </w:pPr>
                  <w:r>
                    <w:rPr>
                      <w:rFonts w:hint="default" w:ascii="Times New Roman" w:hAnsi="Times New Roman" w:cs="Times New Roman"/>
                      <w:color w:val="auto"/>
                    </w:rPr>
                    <w:t>原油、成品油、天然气管线(不含城镇天然气管线、企业厂区内管线)，危险化学品输送管线(不含企业厂区内管线)</w:t>
                  </w:r>
                  <w:r>
                    <w:rPr>
                      <w:rFonts w:hint="eastAsia" w:ascii="Times New Roman" w:hAnsi="Times New Roman" w:cs="Times New Roman"/>
                      <w:color w:val="auto"/>
                      <w:lang w:eastAsia="zh-CN"/>
                    </w:rPr>
                    <w:t>：</w:t>
                  </w:r>
                  <w:r>
                    <w:rPr>
                      <w:rFonts w:hint="default" w:ascii="Times New Roman" w:hAnsi="Times New Roman" w:cs="Times New Roman"/>
                      <w:color w:val="auto"/>
                    </w:rPr>
                    <w:t>全部</w:t>
                  </w:r>
                </w:p>
              </w:tc>
              <w:tc>
                <w:tcPr>
                  <w:tcW w:w="1445" w:type="dxa"/>
                  <w:noWrap w:val="0"/>
                  <w:vAlign w:val="center"/>
                </w:tcPr>
                <w:p w14:paraId="3DA99E5D">
                  <w:pPr>
                    <w:jc w:val="center"/>
                    <w:rPr>
                      <w:rFonts w:hint="default" w:ascii="Times New Roman" w:hAnsi="Times New Roman" w:cs="Times New Roman"/>
                      <w:color w:val="auto"/>
                    </w:rPr>
                  </w:pPr>
                  <w:r>
                    <w:rPr>
                      <w:rFonts w:hint="default" w:ascii="Times New Roman" w:hAnsi="Times New Roman" w:cs="Times New Roman"/>
                      <w:color w:val="auto"/>
                    </w:rPr>
                    <w:t>不涉及</w:t>
                  </w:r>
                </w:p>
              </w:tc>
            </w:tr>
          </w:tbl>
          <w:p w14:paraId="0EA22A18">
            <w:pPr>
              <w:autoSpaceDE w:val="0"/>
              <w:autoSpaceDN w:val="0"/>
              <w:spacing w:line="360" w:lineRule="auto"/>
              <w:ind w:firstLine="480" w:firstLineChars="200"/>
              <w:rPr>
                <w:rFonts w:hint="default" w:ascii="Times New Roman" w:hAnsi="Times New Roman" w:cs="Times New Roman"/>
                <w:color w:val="auto"/>
                <w:kern w:val="0"/>
                <w:szCs w:val="21"/>
              </w:rPr>
            </w:pPr>
            <w:r>
              <w:rPr>
                <w:rFonts w:hint="default" w:ascii="Times New Roman" w:hAnsi="Times New Roman" w:cs="Times New Roman"/>
                <w:color w:val="auto"/>
                <w:sz w:val="24"/>
              </w:rPr>
              <w:t>综上，本项目不需开展专项评价。</w:t>
            </w:r>
          </w:p>
        </w:tc>
      </w:tr>
      <w:tr w14:paraId="126343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63" w:type="dxa"/>
            <w:noWrap w:val="0"/>
            <w:tcMar>
              <w:top w:w="16" w:type="dxa"/>
              <w:left w:w="16" w:type="dxa"/>
              <w:right w:w="16" w:type="dxa"/>
            </w:tcMar>
            <w:vAlign w:val="center"/>
          </w:tcPr>
          <w:p w14:paraId="11ECBE2C">
            <w:pPr>
              <w:autoSpaceDE w:val="0"/>
              <w:autoSpaceDN w:val="0"/>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sz w:val="24"/>
              </w:rPr>
              <w:t>规划情况</w:t>
            </w:r>
          </w:p>
        </w:tc>
        <w:tc>
          <w:tcPr>
            <w:tcW w:w="7776" w:type="dxa"/>
            <w:gridSpan w:val="4"/>
            <w:noWrap w:val="0"/>
            <w:tcMar>
              <w:top w:w="16" w:type="dxa"/>
              <w:left w:w="16" w:type="dxa"/>
              <w:right w:w="16" w:type="dxa"/>
            </w:tcMar>
            <w:vAlign w:val="center"/>
          </w:tcPr>
          <w:p w14:paraId="37873B62">
            <w:pPr>
              <w:autoSpaceDE w:val="0"/>
              <w:autoSpaceDN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规划名称：《淮南潘谢矿区总体开发规划》</w:t>
            </w:r>
          </w:p>
          <w:p w14:paraId="76599550">
            <w:pPr>
              <w:autoSpaceDE w:val="0"/>
              <w:autoSpaceDN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审批机关：国家发展和改革委员会</w:t>
            </w:r>
          </w:p>
          <w:p w14:paraId="64104AAE">
            <w:pPr>
              <w:autoSpaceDE w:val="0"/>
              <w:autoSpaceDN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审批文件名称：《国家发展改革委关于淮南潘谢矿区开发规划的批复》；</w:t>
            </w:r>
          </w:p>
          <w:p w14:paraId="2B94EA5E">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kern w:val="0"/>
                <w:sz w:val="24"/>
              </w:rPr>
              <w:t>审批文件文号：发改能源〔2004〕2301号</w:t>
            </w:r>
          </w:p>
        </w:tc>
      </w:tr>
      <w:tr w14:paraId="3F421D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63" w:type="dxa"/>
            <w:noWrap w:val="0"/>
            <w:tcMar>
              <w:top w:w="16" w:type="dxa"/>
              <w:left w:w="16" w:type="dxa"/>
              <w:right w:w="16" w:type="dxa"/>
            </w:tcMar>
            <w:vAlign w:val="center"/>
          </w:tcPr>
          <w:p w14:paraId="043B6FFD">
            <w:pPr>
              <w:autoSpaceDE w:val="0"/>
              <w:autoSpaceDN w:val="0"/>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sz w:val="24"/>
              </w:rPr>
              <w:t>规划环境影响评价情况</w:t>
            </w:r>
          </w:p>
        </w:tc>
        <w:tc>
          <w:tcPr>
            <w:tcW w:w="7776" w:type="dxa"/>
            <w:gridSpan w:val="4"/>
            <w:noWrap w:val="0"/>
            <w:tcMar>
              <w:top w:w="16" w:type="dxa"/>
              <w:left w:w="16" w:type="dxa"/>
              <w:right w:w="16" w:type="dxa"/>
            </w:tcMar>
            <w:vAlign w:val="center"/>
          </w:tcPr>
          <w:p w14:paraId="6B8690F2">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规划环评名称：《淮南潘谢矿区总体开发规划环境影响报告书》</w:t>
            </w:r>
          </w:p>
          <w:p w14:paraId="3392429B">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审查机关：原国家环境保护总局</w:t>
            </w:r>
          </w:p>
          <w:p w14:paraId="1ABC141F">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 xml:space="preserve">审查文件名称：关于印发《淮南潘谢矿区总体开发规划环境影响报告书》审查意见的通知 </w:t>
            </w:r>
          </w:p>
          <w:p w14:paraId="59B879BE">
            <w:pPr>
              <w:pStyle w:val="24"/>
              <w:spacing w:line="360" w:lineRule="auto"/>
              <w:ind w:firstLine="480" w:firstLineChars="200"/>
              <w:jc w:val="both"/>
              <w:rPr>
                <w:rFonts w:hint="default" w:ascii="Times New Roman" w:hAnsi="Times New Roman" w:cs="Times New Roman"/>
                <w:color w:val="auto"/>
                <w:kern w:val="0"/>
                <w:lang w:val="en-US" w:eastAsia="zh-CN"/>
              </w:rPr>
            </w:pPr>
            <w:r>
              <w:rPr>
                <w:rFonts w:hint="default" w:ascii="Times New Roman" w:hAnsi="Times New Roman" w:cs="Times New Roman"/>
                <w:color w:val="auto"/>
                <w:kern w:val="0"/>
                <w:lang w:val="en-US" w:eastAsia="zh-CN"/>
              </w:rPr>
              <w:t>审批文号：环函〔2006〕86号</w:t>
            </w:r>
          </w:p>
        </w:tc>
      </w:tr>
      <w:tr w14:paraId="7B994D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63" w:type="dxa"/>
            <w:noWrap w:val="0"/>
            <w:tcMar>
              <w:top w:w="16" w:type="dxa"/>
              <w:left w:w="16" w:type="dxa"/>
              <w:right w:w="16" w:type="dxa"/>
            </w:tcMar>
            <w:vAlign w:val="center"/>
          </w:tcPr>
          <w:p w14:paraId="4AD88DF1">
            <w:pPr>
              <w:autoSpaceDE w:val="0"/>
              <w:autoSpaceDN w:val="0"/>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规划及</w:t>
            </w:r>
            <w:r>
              <w:rPr>
                <w:rFonts w:hint="default" w:ascii="Times New Roman" w:hAnsi="Times New Roman" w:cs="Times New Roman"/>
                <w:color w:val="auto"/>
                <w:sz w:val="24"/>
              </w:rPr>
              <w:t>规划环境影响评价</w:t>
            </w:r>
            <w:r>
              <w:rPr>
                <w:rFonts w:hint="default" w:ascii="Times New Roman" w:hAnsi="Times New Roman" w:cs="Times New Roman"/>
                <w:color w:val="auto"/>
                <w:kern w:val="0"/>
                <w:sz w:val="24"/>
              </w:rPr>
              <w:t>符合性分析</w:t>
            </w:r>
          </w:p>
        </w:tc>
        <w:tc>
          <w:tcPr>
            <w:tcW w:w="7776" w:type="dxa"/>
            <w:gridSpan w:val="4"/>
            <w:noWrap w:val="0"/>
            <w:tcMar>
              <w:top w:w="16" w:type="dxa"/>
              <w:left w:w="16" w:type="dxa"/>
              <w:right w:w="16" w:type="dxa"/>
            </w:tcMar>
            <w:vAlign w:val="center"/>
          </w:tcPr>
          <w:p w14:paraId="000F96F9">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（1）规划符合性分析</w:t>
            </w:r>
          </w:p>
          <w:p w14:paraId="6B2BC0EB">
            <w:pPr>
              <w:autoSpaceDE w:val="0"/>
              <w:autoSpaceDN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项目位于安徽省淮南市潘集区贺疃镇，</w:t>
            </w:r>
            <w:r>
              <w:rPr>
                <w:rFonts w:hint="eastAsia" w:ascii="Times New Roman" w:hAnsi="Times New Roman" w:eastAsia="宋体" w:cs="Times New Roman"/>
                <w:color w:val="auto"/>
                <w:kern w:val="0"/>
                <w:sz w:val="24"/>
              </w:rPr>
              <w:t>对照《淮南潘谢矿区总体开发规划》，淮南潘谢矿区总共划分为17个井田和1个后备区，矿区建设总规模为6115万吨/年，其中新建矿井包括张集二期(即区，300万吨/年)丁集(500万吨/年)、顾桥(500万吨/年)、顾北(300万吨/年)、(240万吨/年)、潘四西(150万吨/年)、望峰岗(300万吨/年)、朱集(400万吨/年)</w:t>
            </w:r>
            <w:r>
              <w:rPr>
                <w:rFonts w:hint="eastAsia" w:ascii="Times New Roman" w:hAnsi="Times New Roman" w:cs="Times New Roman"/>
                <w:color w:val="auto"/>
                <w:kern w:val="0"/>
                <w:sz w:val="24"/>
                <w:lang w:eastAsia="zh-CN"/>
              </w:rPr>
              <w:t>；</w:t>
            </w:r>
            <w:r>
              <w:rPr>
                <w:rFonts w:hint="eastAsia" w:ascii="Times New Roman" w:hAnsi="Times New Roman" w:eastAsia="宋体" w:cs="Times New Roman"/>
                <w:color w:val="auto"/>
                <w:kern w:val="0"/>
                <w:sz w:val="24"/>
              </w:rPr>
              <w:t>改扩建矿开潘一由300万吨/年扩建到600万吨/年、潘三由300万吨/年扩建到500万吨/年、谢桥由400万吨/年扩建到800万吨/年、张集由400万吨/年扩建到700万吨/年</w:t>
            </w:r>
            <w:r>
              <w:rPr>
                <w:rFonts w:hint="eastAsia" w:ascii="Times New Roman" w:hAnsi="Times New Roman" w:cs="Times New Roman"/>
                <w:color w:val="auto"/>
                <w:kern w:val="0"/>
                <w:sz w:val="24"/>
                <w:lang w:eastAsia="zh-CN"/>
              </w:rPr>
              <w:t>；</w:t>
            </w:r>
            <w:r>
              <w:rPr>
                <w:rFonts w:hint="eastAsia" w:ascii="Times New Roman" w:hAnsi="Times New Roman" w:eastAsia="宋体" w:cs="Times New Roman"/>
                <w:color w:val="auto"/>
                <w:kern w:val="0"/>
                <w:sz w:val="24"/>
              </w:rPr>
              <w:t>现有生产矿井有潘东(210万吨/年)、新庄孜(270万吨/年)、谢一(90万吨/年)、谢李(210万吨/年)、孔李(120万吨/年)，本项目隶属于淮南潘谢矿区中</w:t>
            </w:r>
            <w:r>
              <w:rPr>
                <w:rFonts w:hint="eastAsia" w:ascii="Times New Roman" w:hAnsi="Times New Roman" w:eastAsia="宋体" w:cs="Times New Roman"/>
                <w:color w:val="auto"/>
                <w:kern w:val="0"/>
                <w:sz w:val="24"/>
                <w:lang w:val="en-US" w:eastAsia="zh-CN"/>
              </w:rPr>
              <w:t>朱集</w:t>
            </w:r>
            <w:r>
              <w:rPr>
                <w:rFonts w:hint="eastAsia" w:ascii="Times New Roman" w:hAnsi="Times New Roman" w:eastAsia="宋体" w:cs="Times New Roman"/>
                <w:color w:val="auto"/>
                <w:kern w:val="0"/>
                <w:sz w:val="24"/>
              </w:rPr>
              <w:t>煤矿范围，项目属于煤炭资源地质勘查项目。</w:t>
            </w:r>
          </w:p>
          <w:p w14:paraId="4B0C2B26">
            <w:pPr>
              <w:pStyle w:val="23"/>
              <w:adjustRightInd/>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因此，该项目建设符合《淮南潘谢矿区总体开发规划》；符合《国家发展改革委关于淮南潘谢矿区开发规划的批复》（发改能源〔2004〕2301号）。</w:t>
            </w:r>
          </w:p>
          <w:p w14:paraId="78D405B4">
            <w:pPr>
              <w:pStyle w:val="23"/>
              <w:numPr>
                <w:ilvl w:val="0"/>
                <w:numId w:val="1"/>
              </w:numPr>
              <w:adjustRightInd/>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规划环境影响评价符合性分析</w:t>
            </w:r>
          </w:p>
          <w:p w14:paraId="772DBCA0">
            <w:pPr>
              <w:pStyle w:val="23"/>
              <w:numPr>
                <w:ilvl w:val="0"/>
                <w:numId w:val="0"/>
              </w:numPr>
              <w:adjustRightInd/>
              <w:spacing w:line="360" w:lineRule="auto"/>
              <w:jc w:val="both"/>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 xml:space="preserve">    本项目与《淮南潘谢矿区总体开发规划环境影响报告书》审查意见符合性分析如下：</w:t>
            </w:r>
          </w:p>
          <w:p w14:paraId="6420F7B7">
            <w:pPr>
              <w:spacing w:line="360" w:lineRule="auto"/>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表1-2  本项目与《淮南潘谢矿区总体开发规划环境影响报告书》审查意见符合性分析一览表</w:t>
            </w:r>
          </w:p>
          <w:tbl>
            <w:tblPr>
              <w:tblStyle w:val="17"/>
              <w:tblW w:w="77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6"/>
              <w:gridCol w:w="4120"/>
              <w:gridCol w:w="2272"/>
              <w:gridCol w:w="741"/>
            </w:tblGrid>
            <w:tr w14:paraId="383687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06" w:type="dxa"/>
                  <w:noWrap w:val="0"/>
                  <w:vAlign w:val="center"/>
                </w:tcPr>
                <w:p w14:paraId="175F9B3C">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4120" w:type="dxa"/>
                  <w:noWrap w:val="0"/>
                  <w:vAlign w:val="center"/>
                </w:tcPr>
                <w:p w14:paraId="1729BD8B">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审查意见</w:t>
                  </w:r>
                </w:p>
              </w:tc>
              <w:tc>
                <w:tcPr>
                  <w:tcW w:w="2272" w:type="dxa"/>
                  <w:noWrap w:val="0"/>
                  <w:vAlign w:val="center"/>
                </w:tcPr>
                <w:p w14:paraId="2AACD1B8">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项目建设情况</w:t>
                  </w:r>
                </w:p>
              </w:tc>
              <w:tc>
                <w:tcPr>
                  <w:tcW w:w="741" w:type="dxa"/>
                  <w:noWrap w:val="0"/>
                  <w:vAlign w:val="center"/>
                </w:tcPr>
                <w:p w14:paraId="26222AE4">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p w14:paraId="500481E4">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性分析</w:t>
                  </w:r>
                </w:p>
              </w:tc>
            </w:tr>
            <w:tr w14:paraId="32267C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06" w:type="dxa"/>
                  <w:noWrap w:val="0"/>
                  <w:vAlign w:val="center"/>
                </w:tcPr>
                <w:p w14:paraId="2F4BB087">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4120" w:type="dxa"/>
                  <w:noWrap w:val="0"/>
                  <w:vAlign w:val="center"/>
                </w:tcPr>
                <w:p w14:paraId="1590DCC5">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一、淮南潘谢矿区煤炭资源极为丰富，资源储量达285亿吨，且深部还有可靠的煤炭资源。充分利用该矿区的资源、区位和市场优势</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依托齐全的基础配套设施，加大煤炭开发力度和就地转化能力，以“发展先进生产力，保护生命，保护资源，保护环境”的理念将矿区建设成为华东地区重要的大型煤电基地，对于促进区域经济、社会、环境、资源的协调发展具有重要意义。</w:t>
                  </w:r>
                </w:p>
              </w:tc>
              <w:tc>
                <w:tcPr>
                  <w:tcW w:w="2272" w:type="dxa"/>
                  <w:noWrap w:val="0"/>
                  <w:vAlign w:val="center"/>
                </w:tcPr>
                <w:p w14:paraId="357B844F">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本项目属于煤矿开采的配套工程</w:t>
                  </w:r>
                </w:p>
              </w:tc>
              <w:tc>
                <w:tcPr>
                  <w:tcW w:w="741" w:type="dxa"/>
                  <w:noWrap w:val="0"/>
                  <w:vAlign w:val="center"/>
                </w:tcPr>
                <w:p w14:paraId="04E3DE83">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7611A0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06" w:type="dxa"/>
                  <w:noWrap w:val="0"/>
                  <w:vAlign w:val="center"/>
                </w:tcPr>
                <w:p w14:paraId="7709FEB0">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4120" w:type="dxa"/>
                  <w:noWrap w:val="0"/>
                  <w:vAlign w:val="center"/>
                </w:tcPr>
                <w:p w14:paraId="7CA13C68">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二、规划在发展定位、规模、产业结构、市场需求、配套条件方面</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与国家能源战略、国家13个大型煤炭基地规划、安徽省省委、省政府在全面建设小康社会起步阶段提出的“861”行动计划的要求相符。基本反映了国家经济发展需求和资源合理配置精神。规划在发展布局、环境保护、水资源利用、土地资源利用等方面，能够与淮南市城市建设总体规划、安徽省国土资源可持续开发利用规划、安徽省生态省建设总体规划纲要、淮南市生态城市建设规划等相衔接，总体上具备较强的协调性。</w:t>
                  </w:r>
                </w:p>
              </w:tc>
              <w:tc>
                <w:tcPr>
                  <w:tcW w:w="2272" w:type="dxa"/>
                  <w:noWrap w:val="0"/>
                  <w:vAlign w:val="center"/>
                </w:tcPr>
                <w:p w14:paraId="1330BC98">
                  <w:pPr>
                    <w:widowControl/>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rPr>
                    <w:t>项目建设地点位于</w:t>
                  </w:r>
                  <w:r>
                    <w:rPr>
                      <w:rFonts w:hint="default" w:ascii="Times New Roman" w:hAnsi="Times New Roman" w:cs="Times New Roman"/>
                      <w:color w:val="auto"/>
                    </w:rPr>
                    <w:t>安徽省淮南市潘集区贺疃镇境内，本项目属于固体矿产地质勘查项目，临时用地面积为</w:t>
                  </w:r>
                  <w:r>
                    <w:rPr>
                      <w:rFonts w:hint="default" w:ascii="Times New Roman" w:hAnsi="Times New Roman" w:cs="Times New Roman"/>
                      <w:color w:val="auto"/>
                      <w:highlight w:val="none"/>
                      <w:lang w:val="en-US" w:eastAsia="zh-CN"/>
                    </w:rPr>
                    <w:t>20784</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，用地时间预计为</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年。中安联合煤化有限责任公司办理了项目临时用地相关手续。项目租用安徽省淮南市潘集区贺疃镇境内的土地作为本项目的临时建设用地</w:t>
                  </w:r>
                  <w:r>
                    <w:rPr>
                      <w:rFonts w:hint="eastAsia" w:ascii="Times New Roman" w:hAnsi="Times New Roman" w:cs="Times New Roman"/>
                      <w:color w:val="auto"/>
                      <w:highlight w:val="none"/>
                      <w:lang w:eastAsia="zh-CN"/>
                    </w:rPr>
                    <w:t>，</w:t>
                  </w:r>
                  <w:r>
                    <w:rPr>
                      <w:rFonts w:ascii="Times New Roman" w:hAnsi="Times New Roman"/>
                      <w:color w:val="auto"/>
                      <w:highlight w:val="none"/>
                    </w:rPr>
                    <w:t>202</w:t>
                  </w:r>
                  <w:r>
                    <w:rPr>
                      <w:rFonts w:hint="eastAsia" w:ascii="Times New Roman" w:hAnsi="Times New Roman"/>
                      <w:color w:val="auto"/>
                      <w:highlight w:val="none"/>
                      <w:lang w:val="en-US" w:eastAsia="zh-CN"/>
                    </w:rPr>
                    <w:t>5</w:t>
                  </w:r>
                  <w:r>
                    <w:rPr>
                      <w:rFonts w:ascii="Times New Roman" w:hAnsi="Times New Roman"/>
                      <w:color w:val="auto"/>
                      <w:highlight w:val="none"/>
                    </w:rPr>
                    <w:t>年</w:t>
                  </w:r>
                  <w:r>
                    <w:rPr>
                      <w:rFonts w:hint="eastAsia" w:ascii="Times New Roman" w:hAnsi="Times New Roman"/>
                      <w:color w:val="auto"/>
                      <w:highlight w:val="none"/>
                      <w:lang w:val="en-US" w:eastAsia="zh-CN"/>
                    </w:rPr>
                    <w:t>8</w:t>
                  </w:r>
                  <w:r>
                    <w:rPr>
                      <w:rFonts w:ascii="Times New Roman" w:hAnsi="Times New Roman"/>
                      <w:color w:val="auto"/>
                      <w:highlight w:val="none"/>
                    </w:rPr>
                    <w:t>月</w:t>
                  </w:r>
                  <w:r>
                    <w:rPr>
                      <w:rFonts w:hint="eastAsia" w:ascii="Times New Roman" w:hAnsi="Times New Roman"/>
                      <w:color w:val="auto"/>
                      <w:highlight w:val="none"/>
                      <w:lang w:val="en-US" w:eastAsia="zh-CN"/>
                    </w:rPr>
                    <w:t>12</w:t>
                  </w:r>
                  <w:r>
                    <w:rPr>
                      <w:rFonts w:ascii="Times New Roman" w:hAnsi="Times New Roman"/>
                      <w:color w:val="auto"/>
                      <w:highlight w:val="none"/>
                    </w:rPr>
                    <w:t>日淮南市自然资源和规划局</w:t>
                  </w:r>
                  <w:r>
                    <w:rPr>
                      <w:rFonts w:hint="eastAsia" w:ascii="Times New Roman" w:hAnsi="Times New Roman"/>
                      <w:color w:val="auto"/>
                      <w:highlight w:val="none"/>
                      <w:lang w:val="en-US" w:eastAsia="zh-CN"/>
                    </w:rPr>
                    <w:t>潘集分局</w:t>
                  </w:r>
                  <w:r>
                    <w:rPr>
                      <w:rFonts w:ascii="Times New Roman" w:hAnsi="Times New Roman"/>
                      <w:color w:val="auto"/>
                      <w:highlight w:val="none"/>
                    </w:rPr>
                    <w:t>出具了本项目临时用地</w:t>
                  </w:r>
                  <w:r>
                    <w:rPr>
                      <w:rFonts w:hint="eastAsia" w:ascii="Times New Roman" w:hAnsi="Times New Roman"/>
                      <w:color w:val="auto"/>
                      <w:highlight w:val="none"/>
                      <w:lang w:val="en-US" w:eastAsia="zh-CN"/>
                    </w:rPr>
                    <w:t>初审意见。</w:t>
                  </w:r>
                </w:p>
              </w:tc>
              <w:tc>
                <w:tcPr>
                  <w:tcW w:w="741" w:type="dxa"/>
                  <w:noWrap w:val="0"/>
                  <w:vAlign w:val="center"/>
                </w:tcPr>
                <w:p w14:paraId="40440CE5">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2092F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06" w:type="dxa"/>
                  <w:noWrap w:val="0"/>
                  <w:vAlign w:val="center"/>
                </w:tcPr>
                <w:p w14:paraId="557E2A6C">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4120" w:type="dxa"/>
                  <w:noWrap w:val="0"/>
                  <w:vAlign w:val="center"/>
                </w:tcPr>
                <w:p w14:paraId="35875FA6">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四、规划提出的大气和地表水环境质量指标符合环境保护规划目标要求。规划对采煤沉陷造成的居民搬迁安置提出了可行的解决办法，地表沉陷治理的综合措施和沉陷水域的生态恢复措施合理可行，总体上符合国家有关要求，有利于区域的稳定发展，将促进当地和谐社会的建设。</w:t>
                  </w:r>
                </w:p>
              </w:tc>
              <w:tc>
                <w:tcPr>
                  <w:tcW w:w="2272" w:type="dxa"/>
                  <w:noWrap w:val="0"/>
                  <w:vAlign w:val="center"/>
                </w:tcPr>
                <w:p w14:paraId="5282248B">
                  <w:pPr>
                    <w:widowControl/>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本项目针对可能产生的环境影响提出了针对性的处置措施，项目实施区域未涉及居民搬迁安置问题，采取的生态恢复措施可行</w:t>
                  </w:r>
                  <w:r>
                    <w:rPr>
                      <w:rFonts w:hint="eastAsia" w:ascii="Times New Roman" w:hAnsi="Times New Roman" w:cs="Times New Roman"/>
                      <w:color w:val="auto"/>
                      <w:szCs w:val="21"/>
                      <w:lang w:eastAsia="zh-CN"/>
                    </w:rPr>
                    <w:t>。</w:t>
                  </w:r>
                </w:p>
              </w:tc>
              <w:tc>
                <w:tcPr>
                  <w:tcW w:w="741" w:type="dxa"/>
                  <w:noWrap w:val="0"/>
                  <w:vAlign w:val="center"/>
                </w:tcPr>
                <w:p w14:paraId="0A9894F9">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0DD02E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06" w:type="dxa"/>
                  <w:noWrap w:val="0"/>
                  <w:vAlign w:val="center"/>
                </w:tcPr>
                <w:p w14:paraId="490EABF6">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4120" w:type="dxa"/>
                  <w:noWrap w:val="0"/>
                  <w:vAlign w:val="center"/>
                </w:tcPr>
                <w:p w14:paraId="060C2C3C">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七、随着规划的实施，沉陷区面积必将扩大，而且下沉深度也会进一步增加，应按照《淮南市采煤沉陷治理条例》中的有关规定，制定合理可行的治理复垦计划，并与城乡统筹的有关水利规划相衔接，落实资金、设计、施工要求等内容，治理后的土地应该首先满足恢复耕地和生态的需要。积水导致无法耕种的耕地区域，要通过抽排积水维持农田面积，恢复农田平整度和农田水利设施，保证耕地质量。沉陷未积水耕地应进行土地区划，按农田标准平整，确保复垦面积，保证农民妥善安置。季节性积水土地 应采用“挖深垫浅”方式恢复为耕地。尚未稳定的沉陷区,须对受破坏的排灌渠道、道路进行临时修复，将沉陷对农业生产的影响减少到最低程度。</w:t>
                  </w:r>
                </w:p>
              </w:tc>
              <w:tc>
                <w:tcPr>
                  <w:tcW w:w="2272" w:type="dxa"/>
                  <w:noWrap w:val="0"/>
                  <w:vAlign w:val="center"/>
                </w:tcPr>
                <w:p w14:paraId="2FA5E011">
                  <w:pPr>
                    <w:keepNext w:val="0"/>
                    <w:keepLines w:val="0"/>
                    <w:widowControl/>
                    <w:suppressLineNumbers w:val="0"/>
                    <w:jc w:val="left"/>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项目建设地点位于</w:t>
                  </w:r>
                  <w:r>
                    <w:rPr>
                      <w:rFonts w:hint="default" w:ascii="Times New Roman" w:hAnsi="Times New Roman" w:cs="Times New Roman"/>
                      <w:color w:val="auto"/>
                    </w:rPr>
                    <w:t>安徽省淮南市潘集区贺疃镇，</w:t>
                  </w:r>
                  <w:r>
                    <w:rPr>
                      <w:rFonts w:hint="default" w:ascii="Times New Roman" w:hAnsi="Times New Roman" w:eastAsia="宋体" w:cs="Times New Roman"/>
                      <w:color w:val="auto"/>
                      <w:kern w:val="0"/>
                      <w:sz w:val="21"/>
                      <w:szCs w:val="21"/>
                      <w:lang w:val="en-US" w:eastAsia="zh-CN" w:bidi="ar"/>
                    </w:rPr>
                    <w:t>本项目为了后期煤矿瓦斯安全抽采、消除煤与瓦斯突出危险所实施的钻井工程，属于地质勘查技术服务项目，</w:t>
                  </w:r>
                  <w:r>
                    <w:rPr>
                      <w:rFonts w:hint="default" w:ascii="Times New Roman" w:hAnsi="Times New Roman" w:cs="Times New Roman"/>
                      <w:color w:val="auto"/>
                      <w:highlight w:val="none"/>
                    </w:rPr>
                    <w:t>本项目属于固体矿产地质勘查项目，临时用地面积为20784m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，用地时间预计为1年。中安联合煤化有限责任公司办理了项目临时用地相关手续。项目租用安徽省淮南市潘集区贺疃镇境内的土地作为本项目的临时建设用地</w:t>
                  </w:r>
                  <w:r>
                    <w:rPr>
                      <w:rFonts w:hint="eastAsia" w:ascii="Times New Roman" w:hAnsi="Times New Roman" w:cs="Times New Roman"/>
                      <w:color w:val="auto"/>
                      <w:highlight w:val="none"/>
                      <w:lang w:eastAsia="zh-CN"/>
                    </w:rPr>
                    <w:t>，</w:t>
                  </w:r>
                  <w:r>
                    <w:rPr>
                      <w:rFonts w:ascii="Times New Roman" w:hAnsi="Times New Roman"/>
                      <w:color w:val="auto"/>
                      <w:highlight w:val="none"/>
                    </w:rPr>
                    <w:t>202</w:t>
                  </w:r>
                  <w:r>
                    <w:rPr>
                      <w:rFonts w:hint="eastAsia" w:ascii="Times New Roman" w:hAnsi="Times New Roman"/>
                      <w:color w:val="auto"/>
                      <w:highlight w:val="none"/>
                      <w:lang w:val="en-US" w:eastAsia="zh-CN"/>
                    </w:rPr>
                    <w:t>5</w:t>
                  </w:r>
                  <w:r>
                    <w:rPr>
                      <w:rFonts w:ascii="Times New Roman" w:hAnsi="Times New Roman"/>
                      <w:color w:val="auto"/>
                      <w:highlight w:val="none"/>
                    </w:rPr>
                    <w:t>年</w:t>
                  </w:r>
                  <w:r>
                    <w:rPr>
                      <w:rFonts w:hint="eastAsia" w:ascii="Times New Roman" w:hAnsi="Times New Roman"/>
                      <w:color w:val="auto"/>
                      <w:highlight w:val="none"/>
                      <w:lang w:val="en-US" w:eastAsia="zh-CN"/>
                    </w:rPr>
                    <w:t>8</w:t>
                  </w:r>
                  <w:r>
                    <w:rPr>
                      <w:rFonts w:ascii="Times New Roman" w:hAnsi="Times New Roman"/>
                      <w:color w:val="auto"/>
                      <w:highlight w:val="none"/>
                    </w:rPr>
                    <w:t>月</w:t>
                  </w:r>
                  <w:r>
                    <w:rPr>
                      <w:rFonts w:hint="eastAsia" w:ascii="Times New Roman" w:hAnsi="Times New Roman"/>
                      <w:color w:val="auto"/>
                      <w:highlight w:val="none"/>
                      <w:lang w:val="en-US" w:eastAsia="zh-CN"/>
                    </w:rPr>
                    <w:t>12</w:t>
                  </w:r>
                  <w:r>
                    <w:rPr>
                      <w:rFonts w:ascii="Times New Roman" w:hAnsi="Times New Roman"/>
                      <w:color w:val="auto"/>
                      <w:highlight w:val="none"/>
                    </w:rPr>
                    <w:t>日，淮南市自然资源和规划局</w:t>
                  </w:r>
                  <w:r>
                    <w:rPr>
                      <w:rFonts w:hint="eastAsia" w:ascii="Times New Roman" w:hAnsi="Times New Roman"/>
                      <w:color w:val="auto"/>
                      <w:highlight w:val="none"/>
                      <w:lang w:val="en-US" w:eastAsia="zh-CN"/>
                    </w:rPr>
                    <w:t>潘集分局</w:t>
                  </w:r>
                  <w:r>
                    <w:rPr>
                      <w:rFonts w:ascii="Times New Roman" w:hAnsi="Times New Roman"/>
                      <w:color w:val="auto"/>
                      <w:highlight w:val="none"/>
                    </w:rPr>
                    <w:t>出具了本项目临时用地</w:t>
                  </w:r>
                  <w:r>
                    <w:rPr>
                      <w:rFonts w:hint="eastAsia" w:ascii="Times New Roman" w:hAnsi="Times New Roman"/>
                      <w:color w:val="auto"/>
                      <w:highlight w:val="none"/>
                      <w:lang w:val="en-US" w:eastAsia="zh-CN"/>
                    </w:rPr>
                    <w:t>初审意见。</w:t>
                  </w:r>
                </w:p>
              </w:tc>
              <w:tc>
                <w:tcPr>
                  <w:tcW w:w="741" w:type="dxa"/>
                  <w:noWrap w:val="0"/>
                  <w:vAlign w:val="center"/>
                </w:tcPr>
                <w:p w14:paraId="34C0C0DE">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bl>
          <w:p w14:paraId="1B4CECDE">
            <w:pPr>
              <w:pStyle w:val="24"/>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lang w:val="en-US" w:eastAsia="zh-CN"/>
              </w:rPr>
              <w:t>综上所述，本项目建设可满足《淮南潘谢矿区总体开发规划环境影响报告书审查意见的通知》（环函〔2006〕86号）要求。</w:t>
            </w:r>
          </w:p>
        </w:tc>
      </w:tr>
      <w:tr w14:paraId="1BD9A2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878" w:hRule="atLeast"/>
          <w:jc w:val="center"/>
        </w:trPr>
        <w:tc>
          <w:tcPr>
            <w:tcW w:w="1263" w:type="dxa"/>
            <w:noWrap w:val="0"/>
            <w:tcMar>
              <w:top w:w="16" w:type="dxa"/>
              <w:left w:w="16" w:type="dxa"/>
              <w:right w:w="16" w:type="dxa"/>
            </w:tcMar>
            <w:vAlign w:val="center"/>
          </w:tcPr>
          <w:p w14:paraId="0CC200BA">
            <w:pPr>
              <w:autoSpaceDE w:val="0"/>
              <w:autoSpaceDN w:val="0"/>
              <w:adjustRightInd w:val="0"/>
              <w:snapToGrid w:val="0"/>
              <w:jc w:val="center"/>
              <w:rPr>
                <w:rFonts w:hint="default" w:ascii="Times New Roman" w:hAnsi="Times New Roman" w:cs="Times New Roman"/>
                <w:color w:val="auto"/>
                <w:kern w:val="0"/>
                <w:sz w:val="24"/>
              </w:rPr>
            </w:pPr>
            <w:bookmarkStart w:id="3" w:name="_Hlk56690880"/>
            <w:r>
              <w:rPr>
                <w:rFonts w:hint="default" w:ascii="Times New Roman" w:hAnsi="Times New Roman" w:cs="Times New Roman"/>
                <w:color w:val="auto"/>
                <w:kern w:val="0"/>
                <w:sz w:val="24"/>
              </w:rPr>
              <w:t>其他符合性分析</w:t>
            </w:r>
            <w:bookmarkEnd w:id="3"/>
          </w:p>
        </w:tc>
        <w:tc>
          <w:tcPr>
            <w:tcW w:w="7776" w:type="dxa"/>
            <w:gridSpan w:val="4"/>
            <w:noWrap w:val="0"/>
            <w:tcMar>
              <w:top w:w="16" w:type="dxa"/>
              <w:left w:w="16" w:type="dxa"/>
              <w:right w:w="16" w:type="dxa"/>
            </w:tcMar>
            <w:vAlign w:val="center"/>
          </w:tcPr>
          <w:p w14:paraId="2174E49A">
            <w:pPr>
              <w:spacing w:line="360" w:lineRule="auto"/>
              <w:ind w:firstLine="482" w:firstLineChars="200"/>
              <w:rPr>
                <w:rFonts w:hint="default" w:ascii="Times New Roman" w:hAnsi="Times New Roman" w:cs="Times New Roman"/>
                <w:b/>
                <w:color w:val="auto"/>
                <w:kern w:val="0"/>
                <w:sz w:val="24"/>
              </w:rPr>
            </w:pPr>
            <w:r>
              <w:rPr>
                <w:rFonts w:hint="default" w:ascii="Times New Roman" w:hAnsi="Times New Roman" w:cs="Times New Roman"/>
                <w:b/>
                <w:color w:val="auto"/>
                <w:kern w:val="0"/>
                <w:sz w:val="24"/>
              </w:rPr>
              <w:t>1、产业政策符合性</w:t>
            </w:r>
          </w:p>
          <w:p w14:paraId="655C95D3">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本项目实施是为了采掘面瓦斯抽采预先进行的钻前工程、钻井工程、复垦工程。本项目的实施是为了消除煤炭开采的安全隐患，为后期采掘面预抽采做前期准备工作。因此，项目属于《产业结构调整指导目录(20</w:t>
            </w:r>
            <w:r>
              <w:rPr>
                <w:rFonts w:hint="default" w:ascii="Times New Roman" w:hAnsi="Times New Roman" w:cs="Times New Roman"/>
                <w:color w:val="auto"/>
                <w:sz w:val="24"/>
                <w:lang w:val="en-US" w:eastAsia="zh-CN"/>
              </w:rPr>
              <w:t>24</w:t>
            </w:r>
            <w:r>
              <w:rPr>
                <w:rFonts w:hint="default" w:ascii="Times New Roman" w:hAnsi="Times New Roman" w:cs="Times New Roman"/>
                <w:color w:val="auto"/>
                <w:sz w:val="24"/>
              </w:rPr>
              <w:t>年本)》第一类鼓励类，即第三项“煤炭”中“矿井灾害(瓦斯、煤尘、矿井水、火、围岩、地温、冲击地压等)防治”范畴。因此，项目符合国家产业政策要求，属于鼓励类。对照《安徽省工业产业结构调整指导目录（2007年版）》，本项目属于“鼓励类中的一、煤炭1、煤田地质及地球物理勘探”，本项目为鼓励类，项目符合国家和地方产业政策要求。</w:t>
            </w:r>
          </w:p>
          <w:p w14:paraId="1E923387">
            <w:pPr>
              <w:spacing w:line="360" w:lineRule="auto"/>
              <w:ind w:firstLine="480" w:firstLineChars="200"/>
              <w:rPr>
                <w:rFonts w:hint="default" w:ascii="Times New Roman" w:hAnsi="Times New Roman" w:cs="Times New Roman"/>
                <w:color w:val="auto"/>
                <w:kern w:val="0"/>
                <w:szCs w:val="24"/>
              </w:rPr>
            </w:pPr>
            <w:r>
              <w:rPr>
                <w:rFonts w:hint="default" w:ascii="Times New Roman" w:hAnsi="Times New Roman" w:cs="Times New Roman"/>
                <w:bCs/>
                <w:color w:val="auto"/>
                <w:sz w:val="24"/>
              </w:rPr>
              <w:t>项目已经在潘集区发展和改革委员会备案，项目编码：2504-340406-04-01-962848，因此，项目建设符合国家及地方的产业政策。</w:t>
            </w:r>
          </w:p>
          <w:p w14:paraId="77737817">
            <w:pPr>
              <w:spacing w:line="360" w:lineRule="auto"/>
              <w:ind w:firstLine="482" w:firstLineChars="200"/>
              <w:rPr>
                <w:rFonts w:hint="default" w:ascii="Times New Roman" w:hAnsi="Times New Roman" w:cs="Times New Roman"/>
                <w:b/>
                <w:bCs/>
                <w:color w:val="auto"/>
                <w:sz w:val="24"/>
              </w:rPr>
            </w:pPr>
            <w:r>
              <w:rPr>
                <w:rFonts w:hint="eastAsia" w:ascii="Times New Roman" w:hAnsi="Times New Roman" w:cs="Times New Roman"/>
                <w:b/>
                <w:bCs/>
                <w:color w:val="auto"/>
                <w:sz w:val="24"/>
                <w:lang w:val="en-US" w:eastAsia="zh-CN"/>
              </w:rPr>
              <w:t>2</w:t>
            </w:r>
            <w:r>
              <w:rPr>
                <w:rFonts w:hint="default" w:ascii="Times New Roman" w:hAnsi="Times New Roman" w:cs="Times New Roman"/>
                <w:b/>
                <w:bCs/>
                <w:color w:val="auto"/>
                <w:sz w:val="24"/>
              </w:rPr>
              <w:t>、本项目与《煤层气产业政策》相符性分析</w:t>
            </w:r>
          </w:p>
          <w:p w14:paraId="0AF0BD3E">
            <w:pPr>
              <w:tabs>
                <w:tab w:val="left" w:pos="4698"/>
              </w:tabs>
              <w:spacing w:line="36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表1-</w:t>
            </w:r>
            <w:r>
              <w:rPr>
                <w:rFonts w:hint="eastAsia" w:ascii="Times New Roman" w:hAnsi="Times New Roman" w:cs="Times New Roman"/>
                <w:b/>
                <w:bCs/>
                <w:color w:val="auto"/>
                <w:szCs w:val="21"/>
                <w:lang w:val="en-US" w:eastAsia="zh-CN"/>
              </w:rPr>
              <w:t>3</w:t>
            </w:r>
            <w:r>
              <w:rPr>
                <w:rFonts w:hint="default" w:ascii="Times New Roman" w:hAnsi="Times New Roman" w:cs="Times New Roman"/>
                <w:b/>
                <w:bCs/>
                <w:color w:val="auto"/>
                <w:szCs w:val="21"/>
              </w:rPr>
              <w:t xml:space="preserve">  与《煤层气产业政策》相符性分析</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6"/>
              <w:gridCol w:w="1349"/>
              <w:gridCol w:w="929"/>
            </w:tblGrid>
            <w:tr w14:paraId="35B8B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6" w:hRule="atLeast"/>
              </w:trPr>
              <w:tc>
                <w:tcPr>
                  <w:tcW w:w="5466" w:type="dxa"/>
                  <w:noWrap w:val="0"/>
                  <w:vAlign w:val="center"/>
                </w:tcPr>
                <w:p w14:paraId="77F4AB1E">
                  <w:pPr>
                    <w:pStyle w:val="15"/>
                    <w:spacing w:before="100" w:beforeAutospacing="1" w:after="100" w:afterAutospacing="1" w:line="360" w:lineRule="exact"/>
                    <w:rPr>
                      <w:rFonts w:hint="default" w:ascii="Times New Roman" w:hAnsi="Times New Roman" w:cs="Times New Roman"/>
                      <w:color w:val="auto"/>
                      <w:szCs w:val="21"/>
                    </w:rPr>
                  </w:pPr>
                  <w:r>
                    <w:rPr>
                      <w:rFonts w:hint="default" w:ascii="Times New Roman" w:hAnsi="Times New Roman" w:cs="Times New Roman"/>
                      <w:color w:val="auto"/>
                      <w:szCs w:val="21"/>
                    </w:rPr>
                    <w:t>文件要求</w:t>
                  </w:r>
                </w:p>
              </w:tc>
              <w:tc>
                <w:tcPr>
                  <w:tcW w:w="1349" w:type="dxa"/>
                  <w:noWrap w:val="0"/>
                  <w:vAlign w:val="center"/>
                </w:tcPr>
                <w:p w14:paraId="5ADFE1A2">
                  <w:pPr>
                    <w:pStyle w:val="15"/>
                    <w:spacing w:before="100" w:beforeAutospacing="1" w:after="100" w:afterAutospacing="1" w:line="360" w:lineRule="exact"/>
                    <w:rPr>
                      <w:rFonts w:hint="default" w:ascii="Times New Roman" w:hAnsi="Times New Roman" w:cs="Times New Roman"/>
                      <w:color w:val="auto"/>
                      <w:szCs w:val="21"/>
                    </w:rPr>
                  </w:pPr>
                  <w:r>
                    <w:rPr>
                      <w:rFonts w:hint="default" w:ascii="Times New Roman" w:hAnsi="Times New Roman" w:cs="Times New Roman"/>
                      <w:color w:val="auto"/>
                      <w:szCs w:val="21"/>
                    </w:rPr>
                    <w:t>项目情况</w:t>
                  </w:r>
                </w:p>
              </w:tc>
              <w:tc>
                <w:tcPr>
                  <w:tcW w:w="929" w:type="dxa"/>
                  <w:noWrap w:val="0"/>
                  <w:vAlign w:val="center"/>
                </w:tcPr>
                <w:p w14:paraId="152071C9">
                  <w:pPr>
                    <w:pStyle w:val="15"/>
                    <w:spacing w:before="100" w:beforeAutospacing="1" w:after="100" w:afterAutospacing="1" w:line="360" w:lineRule="exact"/>
                    <w:rPr>
                      <w:rFonts w:hint="default" w:ascii="Times New Roman" w:hAnsi="Times New Roman" w:cs="Times New Roman"/>
                      <w:color w:val="auto"/>
                      <w:szCs w:val="21"/>
                    </w:rPr>
                  </w:pPr>
                  <w:r>
                    <w:rPr>
                      <w:rFonts w:hint="default" w:ascii="Times New Roman" w:hAnsi="Times New Roman" w:cs="Times New Roman"/>
                      <w:color w:val="auto"/>
                      <w:szCs w:val="21"/>
                    </w:rPr>
                    <w:t>相符性</w:t>
                  </w:r>
                </w:p>
              </w:tc>
            </w:tr>
            <w:tr w14:paraId="049F9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5466" w:type="dxa"/>
                  <w:noWrap w:val="0"/>
                  <w:vAlign w:val="center"/>
                </w:tcPr>
                <w:p w14:paraId="3EECE7D3">
                  <w:pPr>
                    <w:rPr>
                      <w:rFonts w:hint="default" w:ascii="Times New Roman" w:hAnsi="Times New Roman" w:cs="Times New Roman"/>
                      <w:color w:val="auto"/>
                    </w:rPr>
                  </w:pPr>
                  <w:r>
                    <w:rPr>
                      <w:rFonts w:hint="default" w:ascii="Times New Roman" w:hAnsi="Times New Roman" w:cs="Times New Roman"/>
                      <w:color w:val="auto"/>
                    </w:rPr>
                    <w:t>第十条　煤层气勘探开发应遵循整体部署、分期实施、滚动开发的原则，注重提高区块开发总体效率，努力降低建设运营成本，提高项目经济效益。煤层气勘探开发项目原则上按照评价选区、重点勘探、先导试验、探明储量、编制开发方案、产能建设、生产运营等程序进行。</w:t>
                  </w:r>
                </w:p>
                <w:p w14:paraId="55420665">
                  <w:pPr>
                    <w:rPr>
                      <w:rFonts w:hint="default" w:ascii="Times New Roman" w:hAnsi="Times New Roman" w:cs="Times New Roman"/>
                      <w:color w:val="auto"/>
                    </w:rPr>
                  </w:pPr>
                  <w:r>
                    <w:rPr>
                      <w:rFonts w:hint="default" w:ascii="Times New Roman" w:hAnsi="Times New Roman" w:cs="Times New Roman"/>
                      <w:color w:val="auto"/>
                    </w:rPr>
                    <w:t>第十一条　坚持普查与重点勘探相结合，地质研究与勘探工程相结合，鼓励采用低成本的地震、钻探、测井、试井等多种勘探技术进行综合勘探，准确查明煤层气藏地质特征和各项参数，获取探明储量。复杂构造煤层气区块可通过三维地震等先进技术手段进行勘探。</w:t>
                  </w:r>
                </w:p>
                <w:p w14:paraId="43F245E7">
                  <w:pPr>
                    <w:rPr>
                      <w:rFonts w:hint="default" w:ascii="Times New Roman" w:hAnsi="Times New Roman" w:cs="Times New Roman"/>
                      <w:color w:val="auto"/>
                    </w:rPr>
                  </w:pPr>
                  <w:r>
                    <w:rPr>
                      <w:rFonts w:hint="default" w:ascii="Times New Roman" w:hAnsi="Times New Roman" w:cs="Times New Roman"/>
                      <w:color w:val="auto"/>
                    </w:rPr>
                    <w:t>第十二条　煤层气总体开发方案应进行多方案经济技术比选，合理确定煤层气产能规模、建设工期和项目总投资，优化井型井网部署、钻井与完井工艺、排采集输技术，因地制宜采用直井、丛式井或水平井。根据产能建设实际情况，对钻井、完井、增产改造、排采等工艺技术进行动态调整。</w:t>
                  </w:r>
                </w:p>
                <w:p w14:paraId="245B97E5">
                  <w:pPr>
                    <w:rPr>
                      <w:rFonts w:hint="default" w:ascii="Times New Roman" w:hAnsi="Times New Roman" w:cs="Times New Roman"/>
                      <w:color w:val="auto"/>
                      <w:szCs w:val="21"/>
                    </w:rPr>
                  </w:pPr>
                  <w:r>
                    <w:rPr>
                      <w:rFonts w:hint="default" w:ascii="Times New Roman" w:hAnsi="Times New Roman" w:cs="Times New Roman"/>
                      <w:color w:val="auto"/>
                    </w:rPr>
                    <w:t>第十三条　合理制定煤层气井排采工作制度，有效控制煤粉产出、生产压差和排采速度，实现煤层气井高产稳产。统筹规划建设煤层气田集输管网，合理确定集气站、增压站位置和数量，优先采用低压集输工艺流程。</w:t>
                  </w:r>
                </w:p>
              </w:tc>
              <w:tc>
                <w:tcPr>
                  <w:tcW w:w="1349" w:type="dxa"/>
                  <w:noWrap w:val="0"/>
                  <w:vAlign w:val="center"/>
                </w:tcPr>
                <w:p w14:paraId="0384342E">
                  <w:pPr>
                    <w:pStyle w:val="26"/>
                    <w:adjustRightInd/>
                    <w:snapToGrid/>
                    <w:spacing w:line="240" w:lineRule="auto"/>
                    <w:ind w:firstLine="0" w:firstLineChars="0"/>
                    <w:rPr>
                      <w:rFonts w:hint="default" w:ascii="Times New Roman" w:hAnsi="Times New Roman" w:eastAsia="宋体" w:cs="Times New Roman"/>
                      <w:b w:val="0"/>
                      <w:color w:val="auto"/>
                      <w:sz w:val="21"/>
                      <w:szCs w:val="24"/>
                    </w:rPr>
                  </w:pPr>
                  <w:r>
                    <w:rPr>
                      <w:rFonts w:hint="default" w:ascii="Times New Roman" w:hAnsi="Times New Roman" w:eastAsia="宋体" w:cs="Times New Roman"/>
                      <w:b w:val="0"/>
                      <w:color w:val="auto"/>
                      <w:sz w:val="21"/>
                      <w:szCs w:val="24"/>
                    </w:rPr>
                    <w:t>本项目实施是为了采掘面瓦斯抽采预先进行的钻前工程、钻井工程、复垦工程。由于本项目的实施是为了消除煤炭开采的安全隐患，为后期采掘面预抽采做前期准备工作。</w:t>
                  </w:r>
                </w:p>
              </w:tc>
              <w:tc>
                <w:tcPr>
                  <w:tcW w:w="929" w:type="dxa"/>
                  <w:noWrap w:val="0"/>
                  <w:vAlign w:val="center"/>
                </w:tcPr>
                <w:p w14:paraId="30A911DD">
                  <w:pPr>
                    <w:pStyle w:val="15"/>
                    <w:spacing w:before="100" w:beforeAutospacing="1" w:after="100" w:afterAutospacing="1"/>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bl>
          <w:p w14:paraId="158728A6">
            <w:pPr>
              <w:spacing w:line="360" w:lineRule="auto"/>
              <w:ind w:firstLine="482" w:firstLineChars="200"/>
              <w:rPr>
                <w:rFonts w:hint="default" w:ascii="Times New Roman" w:hAnsi="Times New Roman" w:cs="Times New Roman"/>
                <w:b/>
                <w:bCs/>
                <w:color w:val="auto"/>
                <w:sz w:val="24"/>
              </w:rPr>
            </w:pPr>
            <w:r>
              <w:rPr>
                <w:rFonts w:hint="eastAsia" w:ascii="Times New Roman" w:hAnsi="Times New Roman" w:cs="Times New Roman"/>
                <w:b/>
                <w:bCs/>
                <w:color w:val="auto"/>
                <w:sz w:val="24"/>
                <w:lang w:val="en-US" w:eastAsia="zh-CN"/>
              </w:rPr>
              <w:t>3</w:t>
            </w:r>
            <w:r>
              <w:rPr>
                <w:rFonts w:hint="default" w:ascii="Times New Roman" w:hAnsi="Times New Roman" w:cs="Times New Roman"/>
                <w:b/>
                <w:bCs/>
                <w:color w:val="auto"/>
                <w:sz w:val="24"/>
              </w:rPr>
              <w:t>、本项目与《关于进一步加快煤层气（煤矿瓦斯）抽采利用的意见》相符性分析</w:t>
            </w:r>
          </w:p>
          <w:p w14:paraId="22C583D7">
            <w:pPr>
              <w:pStyle w:val="23"/>
              <w:adjustRightInd/>
              <w:spacing w:line="360" w:lineRule="auto"/>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表1-</w:t>
            </w:r>
            <w:r>
              <w:rPr>
                <w:rFonts w:hint="eastAsia" w:ascii="Times New Roman" w:hAnsi="Times New Roman" w:cs="Times New Roman"/>
                <w:b/>
                <w:bCs/>
                <w:color w:val="auto"/>
                <w:sz w:val="21"/>
                <w:szCs w:val="21"/>
                <w:lang w:val="en-US" w:eastAsia="zh-CN"/>
              </w:rPr>
              <w:t>4</w:t>
            </w:r>
            <w:r>
              <w:rPr>
                <w:rFonts w:hint="default" w:ascii="Times New Roman" w:hAnsi="Times New Roman" w:cs="Times New Roman"/>
                <w:b/>
                <w:bCs/>
                <w:color w:val="auto"/>
                <w:sz w:val="21"/>
                <w:szCs w:val="21"/>
              </w:rPr>
              <w:t xml:space="preserve"> 与</w:t>
            </w:r>
            <w:r>
              <w:rPr>
                <w:rFonts w:hint="default" w:ascii="Times New Roman" w:hAnsi="Times New Roman" w:cs="Times New Roman"/>
                <w:b/>
                <w:bCs/>
                <w:color w:val="auto"/>
                <w:kern w:val="2"/>
                <w:sz w:val="21"/>
                <w:szCs w:val="21"/>
              </w:rPr>
              <w:t>《关于进一步加快煤层气（煤矿瓦斯）抽采利用的意见》</w:t>
            </w:r>
            <w:r>
              <w:rPr>
                <w:rFonts w:hint="default" w:ascii="Times New Roman" w:hAnsi="Times New Roman" w:cs="Times New Roman"/>
                <w:b/>
                <w:bCs/>
                <w:color w:val="auto"/>
                <w:sz w:val="21"/>
                <w:szCs w:val="21"/>
              </w:rPr>
              <w:t>相符性分析</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3"/>
              <w:gridCol w:w="2462"/>
              <w:gridCol w:w="929"/>
            </w:tblGrid>
            <w:tr w14:paraId="23F6F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4353" w:type="dxa"/>
                  <w:noWrap w:val="0"/>
                  <w:vAlign w:val="center"/>
                </w:tcPr>
                <w:p w14:paraId="315F664B">
                  <w:pPr>
                    <w:pStyle w:val="15"/>
                    <w:spacing w:before="100" w:beforeAutospacing="1" w:after="100" w:afterAutospacing="1"/>
                    <w:rPr>
                      <w:rFonts w:hint="default" w:ascii="Times New Roman" w:hAnsi="Times New Roman" w:cs="Times New Roman"/>
                      <w:color w:val="auto"/>
                      <w:szCs w:val="21"/>
                    </w:rPr>
                  </w:pPr>
                  <w:r>
                    <w:rPr>
                      <w:rFonts w:hint="default" w:ascii="Times New Roman" w:hAnsi="Times New Roman" w:cs="Times New Roman"/>
                      <w:color w:val="auto"/>
                      <w:szCs w:val="21"/>
                    </w:rPr>
                    <w:t>文件要求</w:t>
                  </w:r>
                </w:p>
              </w:tc>
              <w:tc>
                <w:tcPr>
                  <w:tcW w:w="2462" w:type="dxa"/>
                  <w:noWrap w:val="0"/>
                  <w:vAlign w:val="center"/>
                </w:tcPr>
                <w:p w14:paraId="5C5417D9">
                  <w:pPr>
                    <w:pStyle w:val="15"/>
                    <w:spacing w:before="100" w:beforeAutospacing="1" w:after="100" w:afterAutospacing="1"/>
                    <w:rPr>
                      <w:rFonts w:hint="default" w:ascii="Times New Roman" w:hAnsi="Times New Roman" w:cs="Times New Roman"/>
                      <w:color w:val="auto"/>
                      <w:szCs w:val="21"/>
                    </w:rPr>
                  </w:pPr>
                  <w:r>
                    <w:rPr>
                      <w:rFonts w:hint="default" w:ascii="Times New Roman" w:hAnsi="Times New Roman" w:cs="Times New Roman"/>
                      <w:color w:val="auto"/>
                      <w:szCs w:val="21"/>
                    </w:rPr>
                    <w:t>项目情况</w:t>
                  </w:r>
                </w:p>
              </w:tc>
              <w:tc>
                <w:tcPr>
                  <w:tcW w:w="929" w:type="dxa"/>
                  <w:noWrap w:val="0"/>
                  <w:vAlign w:val="center"/>
                </w:tcPr>
                <w:p w14:paraId="26FD5A41">
                  <w:pPr>
                    <w:pStyle w:val="15"/>
                    <w:spacing w:before="100" w:beforeAutospacing="1" w:after="100" w:afterAutospacing="1"/>
                    <w:rPr>
                      <w:rFonts w:hint="default" w:ascii="Times New Roman" w:hAnsi="Times New Roman" w:cs="Times New Roman"/>
                      <w:color w:val="auto"/>
                      <w:szCs w:val="21"/>
                    </w:rPr>
                  </w:pPr>
                  <w:r>
                    <w:rPr>
                      <w:rFonts w:hint="default" w:ascii="Times New Roman" w:hAnsi="Times New Roman" w:cs="Times New Roman"/>
                      <w:color w:val="auto"/>
                      <w:szCs w:val="21"/>
                    </w:rPr>
                    <w:t>相符性</w:t>
                  </w:r>
                </w:p>
              </w:tc>
            </w:tr>
            <w:tr w14:paraId="1818A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4353" w:type="dxa"/>
                  <w:noWrap w:val="0"/>
                  <w:vAlign w:val="center"/>
                </w:tcPr>
                <w:p w14:paraId="310E58DC">
                  <w:pPr>
                    <w:rPr>
                      <w:rFonts w:hint="default" w:ascii="Times New Roman" w:hAnsi="Times New Roman" w:cs="Times New Roman"/>
                      <w:color w:val="auto"/>
                    </w:rPr>
                  </w:pPr>
                  <w:r>
                    <w:rPr>
                      <w:rFonts w:hint="default" w:ascii="Times New Roman" w:hAnsi="Times New Roman" w:cs="Times New Roman"/>
                      <w:color w:val="auto"/>
                    </w:rPr>
                    <w:t>加强煤层气矿业权管理。建立煤层气、煤炭协调开发机制，统筹煤层气、煤炭资源勘查开采布局和时序，合理确定煤层气勘查开采区块。对煤炭规划5年内开始建井开采的区域，按照煤层气开发服务于煤炭开发的原则，采取合作或调整煤层气矿业权范围等方式，优先保证煤炭资源开发需要，并有效开发利用煤层气资源；对煤炭规划5年后开始建井开采的区域，应坚持“先采气、后采煤”，做好采气采煤施工衔接。增设一批煤层气矿业权，通过招投标等竞争方式，优先配置给有开发实力的煤层气和煤炭企业。</w:t>
                  </w:r>
                </w:p>
              </w:tc>
              <w:tc>
                <w:tcPr>
                  <w:tcW w:w="2462" w:type="dxa"/>
                  <w:noWrap w:val="0"/>
                  <w:vAlign w:val="center"/>
                </w:tcPr>
                <w:p w14:paraId="40FB87FA">
                  <w:pPr>
                    <w:pStyle w:val="26"/>
                    <w:adjustRightInd/>
                    <w:snapToGrid/>
                    <w:spacing w:line="240" w:lineRule="auto"/>
                    <w:ind w:firstLine="0" w:firstLineChars="0"/>
                    <w:rPr>
                      <w:rFonts w:hint="default" w:ascii="Times New Roman" w:hAnsi="Times New Roman" w:eastAsia="宋体" w:cs="Times New Roman"/>
                      <w:b w:val="0"/>
                      <w:color w:val="auto"/>
                      <w:sz w:val="21"/>
                      <w:szCs w:val="24"/>
                    </w:rPr>
                  </w:pPr>
                  <w:r>
                    <w:rPr>
                      <w:rFonts w:hint="default" w:ascii="Times New Roman" w:hAnsi="Times New Roman" w:eastAsia="宋体" w:cs="Times New Roman"/>
                      <w:b w:val="0"/>
                      <w:color w:val="auto"/>
                      <w:sz w:val="21"/>
                      <w:szCs w:val="24"/>
                    </w:rPr>
                    <w:t>本项目实施是为了采掘面瓦斯抽采预先进行的钻前工程、钻井工程、复垦工程。由于本项目的实施是为了消除煤炭开采的安全隐患，为后期采掘面预抽采做前期准备工作。为了后期抽采工作正常进行，保证煤层气合理有效利用</w:t>
                  </w:r>
                </w:p>
              </w:tc>
              <w:tc>
                <w:tcPr>
                  <w:tcW w:w="929" w:type="dxa"/>
                  <w:noWrap w:val="0"/>
                  <w:vAlign w:val="center"/>
                </w:tcPr>
                <w:p w14:paraId="12E8C63F">
                  <w:pPr>
                    <w:pStyle w:val="15"/>
                    <w:spacing w:before="100" w:beforeAutospacing="1" w:after="100" w:afterAutospacing="1"/>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08A58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4353" w:type="dxa"/>
                  <w:noWrap w:val="0"/>
                  <w:vAlign w:val="center"/>
                </w:tcPr>
                <w:p w14:paraId="1A29B784">
                  <w:pPr>
                    <w:rPr>
                      <w:rFonts w:hint="default" w:ascii="Times New Roman" w:hAnsi="Times New Roman" w:cs="Times New Roman"/>
                      <w:color w:val="auto"/>
                    </w:rPr>
                  </w:pPr>
                  <w:r>
                    <w:rPr>
                      <w:rFonts w:hint="default" w:ascii="Times New Roman" w:hAnsi="Times New Roman" w:cs="Times New Roman"/>
                      <w:color w:val="auto"/>
                    </w:rPr>
                    <w:t>继续实施国家科技重大专项及有关科技计划，进一步加大对煤层气（煤矿瓦斯）基础理论研究和关键技术及装备研发的支持力度。地方政府及有关部门要制定政策，引导科研机构和企业加大科技投入，持续开展煤矿瓦斯防治和煤层气勘探开发技术攻关，推进科技成果尽快转化应用。</w:t>
                  </w:r>
                </w:p>
              </w:tc>
              <w:tc>
                <w:tcPr>
                  <w:tcW w:w="2462" w:type="dxa"/>
                  <w:noWrap w:val="0"/>
                  <w:vAlign w:val="center"/>
                </w:tcPr>
                <w:p w14:paraId="24BF67FD">
                  <w:pPr>
                    <w:pStyle w:val="26"/>
                    <w:adjustRightInd/>
                    <w:snapToGrid/>
                    <w:spacing w:line="240" w:lineRule="auto"/>
                    <w:ind w:firstLine="0" w:firstLineChars="0"/>
                    <w:rPr>
                      <w:rFonts w:hint="default" w:ascii="Times New Roman" w:hAnsi="Times New Roman" w:eastAsia="宋体" w:cs="Times New Roman"/>
                      <w:b w:val="0"/>
                      <w:color w:val="auto"/>
                      <w:sz w:val="21"/>
                      <w:szCs w:val="24"/>
                    </w:rPr>
                  </w:pPr>
                  <w:r>
                    <w:rPr>
                      <w:rFonts w:hint="default" w:ascii="Times New Roman" w:hAnsi="Times New Roman" w:eastAsia="宋体" w:cs="Times New Roman"/>
                      <w:b w:val="0"/>
                      <w:color w:val="auto"/>
                      <w:sz w:val="21"/>
                      <w:szCs w:val="24"/>
                    </w:rPr>
                    <w:t>本项目的实施是为了地面瓦斯治理井预抽区域防突措施，能够将井下瓦斯治理改为超前地面区域治理，实现以“超前治理时间”换“井下作业空间”，有利于井下采掘接替。</w:t>
                  </w:r>
                </w:p>
              </w:tc>
              <w:tc>
                <w:tcPr>
                  <w:tcW w:w="929" w:type="dxa"/>
                  <w:noWrap w:val="0"/>
                  <w:vAlign w:val="center"/>
                </w:tcPr>
                <w:p w14:paraId="32A27B14">
                  <w:pPr>
                    <w:pStyle w:val="15"/>
                    <w:spacing w:before="100" w:beforeAutospacing="1" w:after="100" w:afterAutospacing="1"/>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bl>
          <w:p w14:paraId="52D8F306">
            <w:pPr>
              <w:spacing w:line="360" w:lineRule="auto"/>
              <w:ind w:firstLine="482" w:firstLineChars="200"/>
              <w:rPr>
                <w:rFonts w:hint="default" w:ascii="Times New Roman" w:hAnsi="Times New Roman" w:cs="Times New Roman"/>
                <w:b/>
                <w:color w:val="auto"/>
                <w:sz w:val="24"/>
              </w:rPr>
            </w:pPr>
            <w:r>
              <w:rPr>
                <w:rFonts w:hint="eastAsia" w:ascii="Times New Roman" w:hAnsi="Times New Roman" w:cs="Times New Roman"/>
                <w:b/>
                <w:color w:val="auto"/>
                <w:sz w:val="24"/>
                <w:lang w:val="en-US" w:eastAsia="zh-CN"/>
              </w:rPr>
              <w:t>4</w:t>
            </w:r>
            <w:r>
              <w:rPr>
                <w:rFonts w:hint="default" w:ascii="Times New Roman" w:hAnsi="Times New Roman" w:cs="Times New Roman"/>
                <w:b/>
                <w:color w:val="auto"/>
                <w:sz w:val="24"/>
              </w:rPr>
              <w:t>、与“三区三线”相符性分析</w:t>
            </w:r>
          </w:p>
          <w:p w14:paraId="322B88D0">
            <w:pPr>
              <w:spacing w:line="360" w:lineRule="auto"/>
              <w:ind w:firstLine="480" w:firstLineChars="200"/>
              <w:rPr>
                <w:rFonts w:hint="default" w:ascii="Times New Roman" w:hAnsi="Times New Roman" w:cs="Times New Roman"/>
                <w:b/>
                <w:bCs/>
                <w:color w:val="auto"/>
                <w:szCs w:val="21"/>
                <w:highlight w:val="none"/>
              </w:rPr>
            </w:pPr>
            <w:r>
              <w:rPr>
                <w:rFonts w:hint="default" w:ascii="Times New Roman" w:hAnsi="Times New Roman" w:cs="Times New Roman"/>
                <w:color w:val="auto"/>
                <w:sz w:val="24"/>
              </w:rPr>
              <w:t>本项目涉及的</w:t>
            </w:r>
            <w:r>
              <w:rPr>
                <w:rFonts w:hint="default" w:ascii="Times New Roman" w:hAnsi="Times New Roman" w:cs="Times New Roman"/>
                <w:color w:val="auto"/>
                <w:sz w:val="24"/>
                <w:lang w:val="en-US" w:eastAsia="zh-CN"/>
              </w:rPr>
              <w:t>十三</w:t>
            </w:r>
            <w:r>
              <w:rPr>
                <w:rFonts w:hint="default" w:ascii="Times New Roman" w:hAnsi="Times New Roman" w:cs="Times New Roman"/>
                <w:color w:val="auto"/>
                <w:sz w:val="24"/>
              </w:rPr>
              <w:t>个井场均为临时用地，</w:t>
            </w:r>
            <w:r>
              <w:rPr>
                <w:rFonts w:hint="default" w:ascii="Times New Roman" w:hAnsi="Times New Roman" w:cs="Times New Roman"/>
                <w:color w:val="auto"/>
                <w:sz w:val="24"/>
                <w:highlight w:val="none"/>
              </w:rPr>
              <w:t>工期</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年，施工结束后全部恢复原貌，完成复垦。本项目虽涉及基本农田，但不是长期永久占用，本项目施工前需进行表土剥离工作，将表土放在专门的表土堆放区，表土堆放区应设置拦挡、苫盖等措施，同时本项目已编制完成复垦方案，施工结束后按照复垦方案对临时占地进行复垦，剥离的表土回填，恢复原有生态环境功能</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与淮南市三区三线图比较，不占用生态保护红线，项目临时用地套核“三区三线”成果图见附图</w:t>
            </w:r>
            <w:r>
              <w:rPr>
                <w:rFonts w:hint="eastAsia"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w:t>
            </w:r>
          </w:p>
          <w:p w14:paraId="3738CB95">
            <w:pPr>
              <w:spacing w:line="360" w:lineRule="auto"/>
              <w:ind w:firstLine="482" w:firstLineChars="200"/>
              <w:rPr>
                <w:rFonts w:hint="default" w:ascii="Times New Roman" w:hAnsi="Times New Roman" w:cs="Times New Roman"/>
                <w:b/>
                <w:bCs/>
                <w:color w:val="auto"/>
                <w:sz w:val="24"/>
              </w:rPr>
            </w:pPr>
            <w:r>
              <w:rPr>
                <w:rFonts w:hint="eastAsia" w:ascii="Times New Roman" w:hAnsi="Times New Roman" w:cs="Times New Roman"/>
                <w:b/>
                <w:bCs/>
                <w:color w:val="auto"/>
                <w:sz w:val="24"/>
                <w:lang w:val="en-US" w:eastAsia="zh-CN"/>
              </w:rPr>
              <w:t>5</w:t>
            </w:r>
            <w:r>
              <w:rPr>
                <w:rFonts w:hint="default" w:ascii="Times New Roman" w:hAnsi="Times New Roman" w:cs="Times New Roman"/>
                <w:b/>
                <w:bCs/>
                <w:color w:val="auto"/>
                <w:sz w:val="24"/>
              </w:rPr>
              <w:t>、生态分区管控单元相符性分析</w:t>
            </w:r>
          </w:p>
          <w:p w14:paraId="4ADF5931">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根据安徽省生态环境厅《关于印发安徽省“三线一单”生态环境分区管控管理办法》皖环发〔</w:t>
            </w:r>
            <w:r>
              <w:rPr>
                <w:rFonts w:hint="eastAsia" w:ascii="Times New Roman" w:hAnsi="Times New Roman" w:cs="Times New Roman"/>
                <w:color w:val="auto"/>
                <w:sz w:val="24"/>
                <w:lang w:val="en-US" w:eastAsia="zh-CN"/>
              </w:rPr>
              <w:t>2022</w:t>
            </w:r>
            <w:r>
              <w:rPr>
                <w:rFonts w:hint="default" w:ascii="Times New Roman" w:hAnsi="Times New Roman" w:cs="Times New Roman"/>
                <w:color w:val="auto"/>
                <w:sz w:val="24"/>
              </w:rPr>
              <w:t>〕5号文要求：基于生态保护红线、环境质量底线、资源利用上线，依据现有法律法规、政策标准和管理要求等，衔接区域发展战略和生态功能定位，坚持目标导向和问题导向，从空间布局约束、污染物排放管控、环境风险防控和资源利用效率等方面明确生态环境准入要求。</w:t>
            </w:r>
          </w:p>
          <w:p w14:paraId="34DC2DEF">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（1）生态</w:t>
            </w:r>
            <w:r>
              <w:rPr>
                <w:rFonts w:hint="eastAsia" w:ascii="Times New Roman" w:hAnsi="Times New Roman" w:cs="Times New Roman"/>
                <w:color w:val="auto"/>
                <w:sz w:val="24"/>
                <w:lang w:val="en-US" w:eastAsia="zh-CN"/>
              </w:rPr>
              <w:t>保护</w:t>
            </w:r>
            <w:r>
              <w:rPr>
                <w:rFonts w:hint="default" w:ascii="Times New Roman" w:hAnsi="Times New Roman" w:cs="Times New Roman"/>
                <w:color w:val="auto"/>
                <w:sz w:val="24"/>
              </w:rPr>
              <w:t>红线</w:t>
            </w:r>
          </w:p>
          <w:p w14:paraId="37CE3316">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根据《淮南市“三线一单”文件》，淮南市生态保护红线总面积为373.98平方公里，占全市国土总面积的6.76%。</w:t>
            </w:r>
          </w:p>
          <w:p w14:paraId="69B1E61F">
            <w:pPr>
              <w:spacing w:line="360" w:lineRule="auto"/>
              <w:jc w:val="center"/>
              <w:rPr>
                <w:rFonts w:hint="default" w:ascii="Times New Roman" w:hAnsi="Times New Roman" w:cs="Times New Roman"/>
                <w:b/>
                <w:bCs/>
                <w:color w:val="auto"/>
              </w:rPr>
            </w:pPr>
            <w:r>
              <w:rPr>
                <w:rFonts w:hint="default" w:ascii="Times New Roman" w:hAnsi="Times New Roman" w:cs="Times New Roman"/>
                <w:b/>
                <w:bCs/>
                <w:color w:val="auto"/>
              </w:rPr>
              <w:t>表1-</w:t>
            </w:r>
            <w:r>
              <w:rPr>
                <w:rFonts w:hint="eastAsia" w:ascii="Times New Roman" w:hAnsi="Times New Roman" w:cs="Times New Roman"/>
                <w:b/>
                <w:bCs/>
                <w:color w:val="auto"/>
                <w:lang w:val="en-US" w:eastAsia="zh-CN"/>
              </w:rPr>
              <w:t>5</w:t>
            </w:r>
            <w:r>
              <w:rPr>
                <w:rFonts w:hint="default" w:ascii="Times New Roman" w:hAnsi="Times New Roman" w:cs="Times New Roman"/>
                <w:b/>
                <w:bCs/>
                <w:color w:val="auto"/>
              </w:rPr>
              <w:t xml:space="preserve"> 淮南市生态保护红线划定结果</w:t>
            </w:r>
          </w:p>
          <w:tbl>
            <w:tblPr>
              <w:tblStyle w:val="17"/>
              <w:tblW w:w="5000"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15" w:type="dxa"/>
                <w:left w:w="15" w:type="dxa"/>
                <w:bottom w:w="15" w:type="dxa"/>
                <w:right w:w="15" w:type="dxa"/>
              </w:tblCellMar>
            </w:tblPr>
            <w:tblGrid>
              <w:gridCol w:w="1088"/>
              <w:gridCol w:w="907"/>
              <w:gridCol w:w="1025"/>
              <w:gridCol w:w="1714"/>
              <w:gridCol w:w="924"/>
              <w:gridCol w:w="1025"/>
              <w:gridCol w:w="1043"/>
            </w:tblGrid>
            <w:tr w14:paraId="45D6090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970" w:type="dxa"/>
                  <w:noWrap w:val="0"/>
                  <w:vAlign w:val="center"/>
                </w:tcPr>
                <w:p w14:paraId="55194F01">
                  <w:pPr>
                    <w:jc w:val="center"/>
                    <w:rPr>
                      <w:rFonts w:hint="default" w:ascii="Times New Roman" w:hAnsi="Times New Roman" w:cs="Times New Roman"/>
                      <w:b/>
                      <w:bCs/>
                      <w:color w:val="auto"/>
                    </w:rPr>
                  </w:pPr>
                  <w:r>
                    <w:rPr>
                      <w:rFonts w:hint="default" w:ascii="Times New Roman" w:hAnsi="Times New Roman" w:cs="Times New Roman"/>
                      <w:b/>
                      <w:bCs/>
                      <w:color w:val="auto"/>
                    </w:rPr>
                    <w:t>行政区划代码</w:t>
                  </w:r>
                </w:p>
              </w:tc>
              <w:tc>
                <w:tcPr>
                  <w:tcW w:w="810" w:type="dxa"/>
                  <w:noWrap w:val="0"/>
                  <w:vAlign w:val="center"/>
                </w:tcPr>
                <w:p w14:paraId="5CAD922D">
                  <w:pPr>
                    <w:jc w:val="center"/>
                    <w:rPr>
                      <w:rFonts w:hint="default" w:ascii="Times New Roman" w:hAnsi="Times New Roman" w:cs="Times New Roman"/>
                      <w:b/>
                      <w:bCs/>
                      <w:color w:val="auto"/>
                    </w:rPr>
                  </w:pPr>
                  <w:r>
                    <w:rPr>
                      <w:rFonts w:hint="default" w:ascii="Times New Roman" w:hAnsi="Times New Roman" w:cs="Times New Roman"/>
                      <w:b/>
                      <w:bCs/>
                      <w:color w:val="auto"/>
                    </w:rPr>
                    <w:t>省辖市</w:t>
                  </w:r>
                </w:p>
              </w:tc>
              <w:tc>
                <w:tcPr>
                  <w:tcW w:w="915" w:type="dxa"/>
                  <w:noWrap w:val="0"/>
                  <w:vAlign w:val="center"/>
                </w:tcPr>
                <w:p w14:paraId="461BF335">
                  <w:pPr>
                    <w:jc w:val="center"/>
                    <w:rPr>
                      <w:rFonts w:hint="default" w:ascii="Times New Roman" w:hAnsi="Times New Roman" w:cs="Times New Roman"/>
                      <w:b/>
                      <w:bCs/>
                      <w:color w:val="auto"/>
                    </w:rPr>
                  </w:pPr>
                  <w:r>
                    <w:rPr>
                      <w:rFonts w:hint="default" w:ascii="Times New Roman" w:hAnsi="Times New Roman" w:cs="Times New Roman"/>
                      <w:b/>
                      <w:bCs/>
                      <w:color w:val="auto"/>
                    </w:rPr>
                    <w:t>县（市、区）</w:t>
                  </w:r>
                </w:p>
              </w:tc>
              <w:tc>
                <w:tcPr>
                  <w:tcW w:w="1530" w:type="dxa"/>
                  <w:noWrap w:val="0"/>
                  <w:vAlign w:val="center"/>
                </w:tcPr>
                <w:p w14:paraId="547CF075">
                  <w:pPr>
                    <w:jc w:val="center"/>
                    <w:rPr>
                      <w:rFonts w:hint="default" w:ascii="Times New Roman" w:hAnsi="Times New Roman" w:cs="Times New Roman"/>
                      <w:b/>
                      <w:bCs/>
                      <w:color w:val="auto"/>
                    </w:rPr>
                  </w:pPr>
                  <w:r>
                    <w:rPr>
                      <w:rFonts w:hint="default" w:ascii="Times New Roman" w:hAnsi="Times New Roman" w:cs="Times New Roman"/>
                      <w:b/>
                      <w:bCs/>
                      <w:color w:val="auto"/>
                    </w:rPr>
                    <w:t>省辖市（县、市、区）域面积（km</w:t>
                  </w:r>
                  <w:r>
                    <w:rPr>
                      <w:rFonts w:hint="default" w:ascii="Times New Roman" w:hAnsi="Times New Roman" w:cs="Times New Roman"/>
                      <w:b/>
                      <w:bCs/>
                      <w:color w:val="auto"/>
                      <w:vertAlign w:val="superscript"/>
                    </w:rPr>
                    <w:t>2</w:t>
                  </w:r>
                  <w:r>
                    <w:rPr>
                      <w:rFonts w:hint="default" w:ascii="Times New Roman" w:hAnsi="Times New Roman" w:cs="Times New Roman"/>
                      <w:b/>
                      <w:bCs/>
                      <w:color w:val="auto"/>
                    </w:rPr>
                    <w:t>）</w:t>
                  </w:r>
                </w:p>
              </w:tc>
              <w:tc>
                <w:tcPr>
                  <w:tcW w:w="825" w:type="dxa"/>
                  <w:noWrap w:val="0"/>
                  <w:vAlign w:val="center"/>
                </w:tcPr>
                <w:p w14:paraId="4129D051">
                  <w:pPr>
                    <w:jc w:val="center"/>
                    <w:rPr>
                      <w:rFonts w:hint="default" w:ascii="Times New Roman" w:hAnsi="Times New Roman" w:cs="Times New Roman"/>
                      <w:b/>
                      <w:bCs/>
                      <w:color w:val="auto"/>
                    </w:rPr>
                  </w:pPr>
                  <w:r>
                    <w:rPr>
                      <w:rFonts w:hint="default" w:ascii="Times New Roman" w:hAnsi="Times New Roman" w:cs="Times New Roman"/>
                      <w:b/>
                      <w:bCs/>
                      <w:color w:val="auto"/>
                    </w:rPr>
                    <w:t>红线面积（km</w:t>
                  </w:r>
                  <w:r>
                    <w:rPr>
                      <w:rFonts w:hint="default" w:ascii="Times New Roman" w:hAnsi="Times New Roman" w:cs="Times New Roman"/>
                      <w:b/>
                      <w:bCs/>
                      <w:color w:val="auto"/>
                      <w:vertAlign w:val="superscript"/>
                    </w:rPr>
                    <w:t>2</w:t>
                  </w:r>
                  <w:r>
                    <w:rPr>
                      <w:rFonts w:hint="default" w:ascii="Times New Roman" w:hAnsi="Times New Roman" w:cs="Times New Roman"/>
                      <w:b/>
                      <w:bCs/>
                      <w:color w:val="auto"/>
                    </w:rPr>
                    <w:t>）</w:t>
                  </w:r>
                </w:p>
              </w:tc>
              <w:tc>
                <w:tcPr>
                  <w:tcW w:w="915" w:type="dxa"/>
                  <w:noWrap w:val="0"/>
                  <w:vAlign w:val="center"/>
                </w:tcPr>
                <w:p w14:paraId="6C4B11AD">
                  <w:pPr>
                    <w:jc w:val="center"/>
                    <w:rPr>
                      <w:rFonts w:hint="default" w:ascii="Times New Roman" w:hAnsi="Times New Roman" w:cs="Times New Roman"/>
                      <w:b/>
                      <w:bCs/>
                      <w:color w:val="auto"/>
                    </w:rPr>
                  </w:pPr>
                  <w:r>
                    <w:rPr>
                      <w:rFonts w:hint="default" w:ascii="Times New Roman" w:hAnsi="Times New Roman" w:cs="Times New Roman"/>
                      <w:b/>
                      <w:bCs/>
                      <w:color w:val="auto"/>
                    </w:rPr>
                    <w:t>面积</w:t>
                  </w:r>
                </w:p>
                <w:p w14:paraId="7B49D712">
                  <w:pPr>
                    <w:jc w:val="center"/>
                    <w:rPr>
                      <w:rFonts w:hint="default" w:ascii="Times New Roman" w:hAnsi="Times New Roman" w:cs="Times New Roman"/>
                      <w:b/>
                      <w:bCs/>
                      <w:color w:val="auto"/>
                    </w:rPr>
                  </w:pPr>
                  <w:r>
                    <w:rPr>
                      <w:rFonts w:hint="default" w:ascii="Times New Roman" w:hAnsi="Times New Roman" w:cs="Times New Roman"/>
                      <w:b/>
                      <w:bCs/>
                      <w:color w:val="auto"/>
                    </w:rPr>
                    <w:t>占比</w:t>
                  </w:r>
                </w:p>
              </w:tc>
              <w:tc>
                <w:tcPr>
                  <w:tcW w:w="931" w:type="dxa"/>
                  <w:noWrap w:val="0"/>
                  <w:vAlign w:val="center"/>
                </w:tcPr>
                <w:p w14:paraId="36E59D46">
                  <w:pPr>
                    <w:jc w:val="center"/>
                    <w:rPr>
                      <w:rFonts w:hint="default" w:ascii="Times New Roman" w:hAnsi="Times New Roman" w:cs="Times New Roman"/>
                      <w:b/>
                      <w:bCs/>
                      <w:color w:val="auto"/>
                    </w:rPr>
                  </w:pPr>
                  <w:r>
                    <w:rPr>
                      <w:rFonts w:hint="default" w:ascii="Times New Roman" w:hAnsi="Times New Roman" w:cs="Times New Roman"/>
                      <w:b/>
                      <w:bCs/>
                      <w:color w:val="auto"/>
                    </w:rPr>
                    <w:t>主导</w:t>
                  </w:r>
                </w:p>
                <w:p w14:paraId="2A04C22D">
                  <w:pPr>
                    <w:jc w:val="center"/>
                    <w:rPr>
                      <w:rFonts w:hint="default" w:ascii="Times New Roman" w:hAnsi="Times New Roman" w:cs="Times New Roman"/>
                      <w:b/>
                      <w:bCs/>
                      <w:color w:val="auto"/>
                    </w:rPr>
                  </w:pPr>
                  <w:r>
                    <w:rPr>
                      <w:rFonts w:hint="default" w:ascii="Times New Roman" w:hAnsi="Times New Roman" w:cs="Times New Roman"/>
                      <w:b/>
                      <w:bCs/>
                      <w:color w:val="auto"/>
                    </w:rPr>
                    <w:t>生态功能</w:t>
                  </w:r>
                </w:p>
              </w:tc>
            </w:tr>
            <w:tr w14:paraId="67ADFFF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970" w:type="dxa"/>
                  <w:noWrap w:val="0"/>
                  <w:vAlign w:val="center"/>
                </w:tcPr>
                <w:p w14:paraId="524984F1">
                  <w:pPr>
                    <w:jc w:val="center"/>
                    <w:rPr>
                      <w:rFonts w:hint="default" w:ascii="Times New Roman" w:hAnsi="Times New Roman" w:cs="Times New Roman"/>
                      <w:color w:val="auto"/>
                    </w:rPr>
                  </w:pPr>
                  <w:r>
                    <w:rPr>
                      <w:rFonts w:hint="default" w:ascii="Times New Roman" w:hAnsi="Times New Roman" w:cs="Times New Roman"/>
                      <w:color w:val="auto"/>
                    </w:rPr>
                    <w:t>340400</w:t>
                  </w:r>
                </w:p>
              </w:tc>
              <w:tc>
                <w:tcPr>
                  <w:tcW w:w="810" w:type="dxa"/>
                  <w:vMerge w:val="restart"/>
                  <w:noWrap w:val="0"/>
                  <w:vAlign w:val="center"/>
                </w:tcPr>
                <w:p w14:paraId="0859707A">
                  <w:pPr>
                    <w:jc w:val="center"/>
                    <w:rPr>
                      <w:rFonts w:hint="default" w:ascii="Times New Roman" w:hAnsi="Times New Roman" w:cs="Times New Roman"/>
                      <w:color w:val="auto"/>
                    </w:rPr>
                  </w:pPr>
                  <w:r>
                    <w:rPr>
                      <w:rFonts w:hint="default" w:ascii="Times New Roman" w:hAnsi="Times New Roman" w:cs="Times New Roman"/>
                      <w:color w:val="auto"/>
                    </w:rPr>
                    <w:t>淮南市</w:t>
                  </w:r>
                </w:p>
              </w:tc>
              <w:tc>
                <w:tcPr>
                  <w:tcW w:w="915" w:type="dxa"/>
                  <w:noWrap w:val="0"/>
                  <w:vAlign w:val="center"/>
                </w:tcPr>
                <w:p w14:paraId="7551EF92">
                  <w:pPr>
                    <w:jc w:val="center"/>
                    <w:rPr>
                      <w:rFonts w:hint="default" w:ascii="Times New Roman" w:hAnsi="Times New Roman" w:cs="Times New Roman"/>
                      <w:color w:val="auto"/>
                    </w:rPr>
                  </w:pPr>
                  <w:r>
                    <w:rPr>
                      <w:rFonts w:hint="default" w:ascii="Times New Roman" w:hAnsi="Times New Roman" w:cs="Times New Roman"/>
                      <w:color w:val="auto"/>
                    </w:rPr>
                    <w:t>淮南市</w:t>
                  </w:r>
                </w:p>
              </w:tc>
              <w:tc>
                <w:tcPr>
                  <w:tcW w:w="1530" w:type="dxa"/>
                  <w:noWrap w:val="0"/>
                  <w:vAlign w:val="center"/>
                </w:tcPr>
                <w:p w14:paraId="7D888801">
                  <w:pPr>
                    <w:jc w:val="center"/>
                    <w:rPr>
                      <w:rFonts w:hint="default" w:ascii="Times New Roman" w:hAnsi="Times New Roman" w:cs="Times New Roman"/>
                      <w:color w:val="auto"/>
                    </w:rPr>
                  </w:pPr>
                  <w:r>
                    <w:rPr>
                      <w:rFonts w:hint="default" w:ascii="Times New Roman" w:hAnsi="Times New Roman" w:cs="Times New Roman"/>
                      <w:color w:val="auto"/>
                    </w:rPr>
                    <w:t>5532.4</w:t>
                  </w:r>
                </w:p>
              </w:tc>
              <w:tc>
                <w:tcPr>
                  <w:tcW w:w="825" w:type="dxa"/>
                  <w:noWrap w:val="0"/>
                  <w:vAlign w:val="center"/>
                </w:tcPr>
                <w:p w14:paraId="5AB3343B">
                  <w:pPr>
                    <w:jc w:val="center"/>
                    <w:rPr>
                      <w:rFonts w:hint="default" w:ascii="Times New Roman" w:hAnsi="Times New Roman" w:cs="Times New Roman"/>
                      <w:color w:val="auto"/>
                    </w:rPr>
                  </w:pPr>
                  <w:r>
                    <w:rPr>
                      <w:rFonts w:hint="default" w:ascii="Times New Roman" w:hAnsi="Times New Roman" w:cs="Times New Roman"/>
                      <w:color w:val="auto"/>
                    </w:rPr>
                    <w:t>373.98</w:t>
                  </w:r>
                </w:p>
              </w:tc>
              <w:tc>
                <w:tcPr>
                  <w:tcW w:w="915" w:type="dxa"/>
                  <w:noWrap w:val="0"/>
                  <w:vAlign w:val="center"/>
                </w:tcPr>
                <w:p w14:paraId="72066F69">
                  <w:pPr>
                    <w:jc w:val="center"/>
                    <w:rPr>
                      <w:rFonts w:hint="default" w:ascii="Times New Roman" w:hAnsi="Times New Roman" w:cs="Times New Roman"/>
                      <w:color w:val="auto"/>
                    </w:rPr>
                  </w:pPr>
                  <w:r>
                    <w:rPr>
                      <w:rFonts w:hint="default" w:ascii="Times New Roman" w:hAnsi="Times New Roman" w:cs="Times New Roman"/>
                      <w:color w:val="auto"/>
                    </w:rPr>
                    <w:t>6.76%</w:t>
                  </w:r>
                </w:p>
              </w:tc>
              <w:tc>
                <w:tcPr>
                  <w:tcW w:w="931" w:type="dxa"/>
                  <w:noWrap w:val="0"/>
                  <w:vAlign w:val="center"/>
                </w:tcPr>
                <w:p w14:paraId="59B88B61">
                  <w:pPr>
                    <w:jc w:val="center"/>
                    <w:rPr>
                      <w:rFonts w:hint="default" w:ascii="Times New Roman" w:hAnsi="Times New Roman" w:cs="Times New Roman"/>
                      <w:color w:val="auto"/>
                    </w:rPr>
                  </w:pPr>
                </w:p>
              </w:tc>
            </w:tr>
            <w:tr w14:paraId="421E087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970" w:type="dxa"/>
                  <w:noWrap w:val="0"/>
                  <w:vAlign w:val="center"/>
                </w:tcPr>
                <w:p w14:paraId="6F835304">
                  <w:pPr>
                    <w:jc w:val="center"/>
                    <w:rPr>
                      <w:rFonts w:hint="default" w:ascii="Times New Roman" w:hAnsi="Times New Roman" w:cs="Times New Roman"/>
                      <w:color w:val="auto"/>
                    </w:rPr>
                  </w:pPr>
                  <w:r>
                    <w:rPr>
                      <w:rFonts w:hint="default" w:ascii="Times New Roman" w:hAnsi="Times New Roman" w:cs="Times New Roman"/>
                      <w:color w:val="auto"/>
                    </w:rPr>
                    <w:t>340402</w:t>
                  </w:r>
                </w:p>
              </w:tc>
              <w:tc>
                <w:tcPr>
                  <w:tcW w:w="810" w:type="dxa"/>
                  <w:vMerge w:val="continue"/>
                  <w:noWrap w:val="0"/>
                  <w:vAlign w:val="center"/>
                </w:tcPr>
                <w:p w14:paraId="245A01C0">
                  <w:pPr>
                    <w:jc w:val="center"/>
                    <w:rPr>
                      <w:rFonts w:hint="default" w:ascii="Times New Roman" w:hAnsi="Times New Roman" w:cs="Times New Roman"/>
                      <w:color w:val="auto"/>
                    </w:rPr>
                  </w:pPr>
                </w:p>
              </w:tc>
              <w:tc>
                <w:tcPr>
                  <w:tcW w:w="915" w:type="dxa"/>
                  <w:noWrap w:val="0"/>
                  <w:vAlign w:val="center"/>
                </w:tcPr>
                <w:p w14:paraId="100DB1C8">
                  <w:pPr>
                    <w:jc w:val="center"/>
                    <w:rPr>
                      <w:rFonts w:hint="default" w:ascii="Times New Roman" w:hAnsi="Times New Roman" w:cs="Times New Roman"/>
                      <w:color w:val="auto"/>
                    </w:rPr>
                  </w:pPr>
                  <w:r>
                    <w:rPr>
                      <w:rFonts w:hint="default" w:ascii="Times New Roman" w:hAnsi="Times New Roman" w:cs="Times New Roman"/>
                      <w:color w:val="auto"/>
                    </w:rPr>
                    <w:t>大通区</w:t>
                  </w:r>
                </w:p>
              </w:tc>
              <w:tc>
                <w:tcPr>
                  <w:tcW w:w="1530" w:type="dxa"/>
                  <w:noWrap w:val="0"/>
                  <w:vAlign w:val="center"/>
                </w:tcPr>
                <w:p w14:paraId="51200526">
                  <w:pPr>
                    <w:jc w:val="center"/>
                    <w:rPr>
                      <w:rFonts w:hint="default" w:ascii="Times New Roman" w:hAnsi="Times New Roman" w:cs="Times New Roman"/>
                      <w:color w:val="auto"/>
                    </w:rPr>
                  </w:pPr>
                  <w:r>
                    <w:rPr>
                      <w:rFonts w:hint="default" w:ascii="Times New Roman" w:hAnsi="Times New Roman" w:cs="Times New Roman"/>
                      <w:color w:val="auto"/>
                    </w:rPr>
                    <w:t>306.3</w:t>
                  </w:r>
                </w:p>
              </w:tc>
              <w:tc>
                <w:tcPr>
                  <w:tcW w:w="825" w:type="dxa"/>
                  <w:noWrap w:val="0"/>
                  <w:vAlign w:val="center"/>
                </w:tcPr>
                <w:p w14:paraId="55CD395E">
                  <w:pPr>
                    <w:jc w:val="center"/>
                    <w:rPr>
                      <w:rFonts w:hint="default" w:ascii="Times New Roman" w:hAnsi="Times New Roman" w:cs="Times New Roman"/>
                      <w:color w:val="auto"/>
                    </w:rPr>
                  </w:pPr>
                  <w:r>
                    <w:rPr>
                      <w:rFonts w:hint="default" w:ascii="Times New Roman" w:hAnsi="Times New Roman" w:cs="Times New Roman"/>
                      <w:color w:val="auto"/>
                    </w:rPr>
                    <w:t>37.83</w:t>
                  </w:r>
                </w:p>
              </w:tc>
              <w:tc>
                <w:tcPr>
                  <w:tcW w:w="915" w:type="dxa"/>
                  <w:noWrap w:val="0"/>
                  <w:vAlign w:val="center"/>
                </w:tcPr>
                <w:p w14:paraId="69E88F9B">
                  <w:pPr>
                    <w:jc w:val="center"/>
                    <w:rPr>
                      <w:rFonts w:hint="default" w:ascii="Times New Roman" w:hAnsi="Times New Roman" w:cs="Times New Roman"/>
                      <w:color w:val="auto"/>
                    </w:rPr>
                  </w:pPr>
                  <w:r>
                    <w:rPr>
                      <w:rFonts w:hint="default" w:ascii="Times New Roman" w:hAnsi="Times New Roman" w:cs="Times New Roman"/>
                      <w:color w:val="auto"/>
                    </w:rPr>
                    <w:t>12.35%</w:t>
                  </w:r>
                </w:p>
              </w:tc>
              <w:tc>
                <w:tcPr>
                  <w:tcW w:w="931" w:type="dxa"/>
                  <w:noWrap w:val="0"/>
                  <w:vAlign w:val="center"/>
                </w:tcPr>
                <w:p w14:paraId="2D4446CD">
                  <w:pPr>
                    <w:jc w:val="center"/>
                    <w:rPr>
                      <w:rFonts w:hint="default" w:ascii="Times New Roman" w:hAnsi="Times New Roman" w:cs="Times New Roman"/>
                      <w:color w:val="auto"/>
                    </w:rPr>
                  </w:pPr>
                  <w:r>
                    <w:rPr>
                      <w:rFonts w:hint="default" w:ascii="Times New Roman" w:hAnsi="Times New Roman" w:cs="Times New Roman"/>
                      <w:color w:val="auto"/>
                    </w:rPr>
                    <w:t>生多维护</w:t>
                  </w:r>
                </w:p>
              </w:tc>
            </w:tr>
            <w:tr w14:paraId="29A27F5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970" w:type="dxa"/>
                  <w:noWrap w:val="0"/>
                  <w:vAlign w:val="center"/>
                </w:tcPr>
                <w:p w14:paraId="384474E5">
                  <w:pPr>
                    <w:jc w:val="center"/>
                    <w:rPr>
                      <w:rFonts w:hint="default" w:ascii="Times New Roman" w:hAnsi="Times New Roman" w:cs="Times New Roman"/>
                      <w:color w:val="auto"/>
                    </w:rPr>
                  </w:pPr>
                  <w:r>
                    <w:rPr>
                      <w:rFonts w:hint="default" w:ascii="Times New Roman" w:hAnsi="Times New Roman" w:cs="Times New Roman"/>
                      <w:color w:val="auto"/>
                    </w:rPr>
                    <w:t>340403</w:t>
                  </w:r>
                </w:p>
              </w:tc>
              <w:tc>
                <w:tcPr>
                  <w:tcW w:w="810" w:type="dxa"/>
                  <w:vMerge w:val="continue"/>
                  <w:noWrap w:val="0"/>
                  <w:vAlign w:val="center"/>
                </w:tcPr>
                <w:p w14:paraId="5C19CADF">
                  <w:pPr>
                    <w:jc w:val="center"/>
                    <w:rPr>
                      <w:rFonts w:hint="default" w:ascii="Times New Roman" w:hAnsi="Times New Roman" w:cs="Times New Roman"/>
                      <w:color w:val="auto"/>
                    </w:rPr>
                  </w:pPr>
                </w:p>
              </w:tc>
              <w:tc>
                <w:tcPr>
                  <w:tcW w:w="915" w:type="dxa"/>
                  <w:noWrap w:val="0"/>
                  <w:vAlign w:val="center"/>
                </w:tcPr>
                <w:p w14:paraId="3EDDD7A2">
                  <w:pPr>
                    <w:jc w:val="center"/>
                    <w:rPr>
                      <w:rFonts w:hint="default" w:ascii="Times New Roman" w:hAnsi="Times New Roman" w:cs="Times New Roman"/>
                      <w:color w:val="auto"/>
                    </w:rPr>
                  </w:pPr>
                  <w:r>
                    <w:rPr>
                      <w:rFonts w:hint="default" w:ascii="Times New Roman" w:hAnsi="Times New Roman" w:cs="Times New Roman"/>
                      <w:color w:val="auto"/>
                    </w:rPr>
                    <w:t>田家庵区</w:t>
                  </w:r>
                </w:p>
              </w:tc>
              <w:tc>
                <w:tcPr>
                  <w:tcW w:w="1530" w:type="dxa"/>
                  <w:noWrap w:val="0"/>
                  <w:vAlign w:val="center"/>
                </w:tcPr>
                <w:p w14:paraId="73D9FFA2">
                  <w:pPr>
                    <w:jc w:val="center"/>
                    <w:rPr>
                      <w:rFonts w:hint="default" w:ascii="Times New Roman" w:hAnsi="Times New Roman" w:cs="Times New Roman"/>
                      <w:color w:val="auto"/>
                    </w:rPr>
                  </w:pPr>
                  <w:r>
                    <w:rPr>
                      <w:rFonts w:hint="default" w:ascii="Times New Roman" w:hAnsi="Times New Roman" w:cs="Times New Roman"/>
                      <w:color w:val="auto"/>
                    </w:rPr>
                    <w:t>250.0</w:t>
                  </w:r>
                </w:p>
              </w:tc>
              <w:tc>
                <w:tcPr>
                  <w:tcW w:w="825" w:type="dxa"/>
                  <w:noWrap w:val="0"/>
                  <w:vAlign w:val="center"/>
                </w:tcPr>
                <w:p w14:paraId="104B063E">
                  <w:pPr>
                    <w:jc w:val="center"/>
                    <w:rPr>
                      <w:rFonts w:hint="default" w:ascii="Times New Roman" w:hAnsi="Times New Roman" w:cs="Times New Roman"/>
                      <w:color w:val="auto"/>
                    </w:rPr>
                  </w:pPr>
                  <w:r>
                    <w:rPr>
                      <w:rFonts w:hint="default" w:ascii="Times New Roman" w:hAnsi="Times New Roman" w:cs="Times New Roman"/>
                      <w:color w:val="auto"/>
                    </w:rPr>
                    <w:t>11.07</w:t>
                  </w:r>
                </w:p>
              </w:tc>
              <w:tc>
                <w:tcPr>
                  <w:tcW w:w="915" w:type="dxa"/>
                  <w:noWrap w:val="0"/>
                  <w:vAlign w:val="center"/>
                </w:tcPr>
                <w:p w14:paraId="3B5149DC">
                  <w:pPr>
                    <w:jc w:val="center"/>
                    <w:rPr>
                      <w:rFonts w:hint="default" w:ascii="Times New Roman" w:hAnsi="Times New Roman" w:cs="Times New Roman"/>
                      <w:color w:val="auto"/>
                    </w:rPr>
                  </w:pPr>
                  <w:r>
                    <w:rPr>
                      <w:rFonts w:hint="default" w:ascii="Times New Roman" w:hAnsi="Times New Roman" w:cs="Times New Roman"/>
                      <w:color w:val="auto"/>
                    </w:rPr>
                    <w:t>4.43%</w:t>
                  </w:r>
                </w:p>
              </w:tc>
              <w:tc>
                <w:tcPr>
                  <w:tcW w:w="931" w:type="dxa"/>
                  <w:noWrap w:val="0"/>
                  <w:vAlign w:val="center"/>
                </w:tcPr>
                <w:p w14:paraId="2A1AF0E8">
                  <w:pPr>
                    <w:jc w:val="center"/>
                    <w:rPr>
                      <w:rFonts w:hint="default" w:ascii="Times New Roman" w:hAnsi="Times New Roman" w:cs="Times New Roman"/>
                      <w:color w:val="auto"/>
                    </w:rPr>
                  </w:pPr>
                  <w:r>
                    <w:rPr>
                      <w:rFonts w:hint="default" w:ascii="Times New Roman" w:hAnsi="Times New Roman" w:cs="Times New Roman"/>
                      <w:color w:val="auto"/>
                    </w:rPr>
                    <w:t>生多维护</w:t>
                  </w:r>
                </w:p>
              </w:tc>
            </w:tr>
            <w:tr w14:paraId="074EF85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970" w:type="dxa"/>
                  <w:noWrap w:val="0"/>
                  <w:vAlign w:val="center"/>
                </w:tcPr>
                <w:p w14:paraId="3963D9F9">
                  <w:pPr>
                    <w:jc w:val="center"/>
                    <w:rPr>
                      <w:rFonts w:hint="default" w:ascii="Times New Roman" w:hAnsi="Times New Roman" w:cs="Times New Roman"/>
                      <w:color w:val="auto"/>
                    </w:rPr>
                  </w:pPr>
                  <w:r>
                    <w:rPr>
                      <w:rFonts w:hint="default" w:ascii="Times New Roman" w:hAnsi="Times New Roman" w:cs="Times New Roman"/>
                      <w:color w:val="auto"/>
                    </w:rPr>
                    <w:t>340404</w:t>
                  </w:r>
                </w:p>
              </w:tc>
              <w:tc>
                <w:tcPr>
                  <w:tcW w:w="810" w:type="dxa"/>
                  <w:vMerge w:val="continue"/>
                  <w:noWrap w:val="0"/>
                  <w:vAlign w:val="center"/>
                </w:tcPr>
                <w:p w14:paraId="12D35565">
                  <w:pPr>
                    <w:jc w:val="center"/>
                    <w:rPr>
                      <w:rFonts w:hint="default" w:ascii="Times New Roman" w:hAnsi="Times New Roman" w:cs="Times New Roman"/>
                      <w:color w:val="auto"/>
                    </w:rPr>
                  </w:pPr>
                </w:p>
              </w:tc>
              <w:tc>
                <w:tcPr>
                  <w:tcW w:w="915" w:type="dxa"/>
                  <w:noWrap w:val="0"/>
                  <w:vAlign w:val="center"/>
                </w:tcPr>
                <w:p w14:paraId="39296B24">
                  <w:pPr>
                    <w:jc w:val="center"/>
                    <w:rPr>
                      <w:rFonts w:hint="default" w:ascii="Times New Roman" w:hAnsi="Times New Roman" w:cs="Times New Roman"/>
                      <w:color w:val="auto"/>
                    </w:rPr>
                  </w:pPr>
                  <w:r>
                    <w:rPr>
                      <w:rFonts w:hint="default" w:ascii="Times New Roman" w:hAnsi="Times New Roman" w:cs="Times New Roman"/>
                      <w:color w:val="auto"/>
                    </w:rPr>
                    <w:t>谢家集区</w:t>
                  </w:r>
                </w:p>
              </w:tc>
              <w:tc>
                <w:tcPr>
                  <w:tcW w:w="1530" w:type="dxa"/>
                  <w:noWrap w:val="0"/>
                  <w:vAlign w:val="center"/>
                </w:tcPr>
                <w:p w14:paraId="2C43993D">
                  <w:pPr>
                    <w:jc w:val="center"/>
                    <w:rPr>
                      <w:rFonts w:hint="default" w:ascii="Times New Roman" w:hAnsi="Times New Roman" w:cs="Times New Roman"/>
                      <w:color w:val="auto"/>
                    </w:rPr>
                  </w:pPr>
                  <w:r>
                    <w:rPr>
                      <w:rFonts w:hint="default" w:ascii="Times New Roman" w:hAnsi="Times New Roman" w:cs="Times New Roman"/>
                      <w:color w:val="auto"/>
                    </w:rPr>
                    <w:t>270.6</w:t>
                  </w:r>
                </w:p>
              </w:tc>
              <w:tc>
                <w:tcPr>
                  <w:tcW w:w="825" w:type="dxa"/>
                  <w:noWrap w:val="0"/>
                  <w:vAlign w:val="center"/>
                </w:tcPr>
                <w:p w14:paraId="6BCDAC38">
                  <w:pPr>
                    <w:jc w:val="center"/>
                    <w:rPr>
                      <w:rFonts w:hint="default" w:ascii="Times New Roman" w:hAnsi="Times New Roman" w:cs="Times New Roman"/>
                      <w:color w:val="auto"/>
                    </w:rPr>
                  </w:pPr>
                  <w:r>
                    <w:rPr>
                      <w:rFonts w:hint="default" w:ascii="Times New Roman" w:hAnsi="Times New Roman" w:cs="Times New Roman"/>
                      <w:color w:val="auto"/>
                    </w:rPr>
                    <w:t>47.85</w:t>
                  </w:r>
                </w:p>
              </w:tc>
              <w:tc>
                <w:tcPr>
                  <w:tcW w:w="915" w:type="dxa"/>
                  <w:noWrap w:val="0"/>
                  <w:vAlign w:val="center"/>
                </w:tcPr>
                <w:p w14:paraId="5BF3B75E">
                  <w:pPr>
                    <w:jc w:val="center"/>
                    <w:rPr>
                      <w:rFonts w:hint="default" w:ascii="Times New Roman" w:hAnsi="Times New Roman" w:cs="Times New Roman"/>
                      <w:color w:val="auto"/>
                    </w:rPr>
                  </w:pPr>
                  <w:r>
                    <w:rPr>
                      <w:rFonts w:hint="default" w:ascii="Times New Roman" w:hAnsi="Times New Roman" w:cs="Times New Roman"/>
                      <w:color w:val="auto"/>
                    </w:rPr>
                    <w:t>17.68%</w:t>
                  </w:r>
                </w:p>
              </w:tc>
              <w:tc>
                <w:tcPr>
                  <w:tcW w:w="931" w:type="dxa"/>
                  <w:noWrap w:val="0"/>
                  <w:vAlign w:val="center"/>
                </w:tcPr>
                <w:p w14:paraId="71911372">
                  <w:pPr>
                    <w:jc w:val="center"/>
                    <w:rPr>
                      <w:rFonts w:hint="default" w:ascii="Times New Roman" w:hAnsi="Times New Roman" w:cs="Times New Roman"/>
                      <w:color w:val="auto"/>
                    </w:rPr>
                  </w:pPr>
                  <w:r>
                    <w:rPr>
                      <w:rFonts w:hint="default" w:ascii="Times New Roman" w:hAnsi="Times New Roman" w:cs="Times New Roman"/>
                      <w:color w:val="auto"/>
                    </w:rPr>
                    <w:t>生多维护</w:t>
                  </w:r>
                </w:p>
              </w:tc>
            </w:tr>
            <w:tr w14:paraId="3B7E2DF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970" w:type="dxa"/>
                  <w:noWrap w:val="0"/>
                  <w:vAlign w:val="center"/>
                </w:tcPr>
                <w:p w14:paraId="70C50E1A">
                  <w:pPr>
                    <w:jc w:val="center"/>
                    <w:rPr>
                      <w:rFonts w:hint="default" w:ascii="Times New Roman" w:hAnsi="Times New Roman" w:cs="Times New Roman"/>
                      <w:color w:val="auto"/>
                    </w:rPr>
                  </w:pPr>
                  <w:r>
                    <w:rPr>
                      <w:rFonts w:hint="default" w:ascii="Times New Roman" w:hAnsi="Times New Roman" w:cs="Times New Roman"/>
                      <w:color w:val="auto"/>
                    </w:rPr>
                    <w:t>340405</w:t>
                  </w:r>
                </w:p>
              </w:tc>
              <w:tc>
                <w:tcPr>
                  <w:tcW w:w="810" w:type="dxa"/>
                  <w:vMerge w:val="continue"/>
                  <w:noWrap w:val="0"/>
                  <w:vAlign w:val="center"/>
                </w:tcPr>
                <w:p w14:paraId="19A2716C">
                  <w:pPr>
                    <w:jc w:val="center"/>
                    <w:rPr>
                      <w:rFonts w:hint="default" w:ascii="Times New Roman" w:hAnsi="Times New Roman" w:cs="Times New Roman"/>
                      <w:color w:val="auto"/>
                    </w:rPr>
                  </w:pPr>
                </w:p>
              </w:tc>
              <w:tc>
                <w:tcPr>
                  <w:tcW w:w="915" w:type="dxa"/>
                  <w:noWrap w:val="0"/>
                  <w:vAlign w:val="center"/>
                </w:tcPr>
                <w:p w14:paraId="5288C1D2">
                  <w:pPr>
                    <w:jc w:val="center"/>
                    <w:rPr>
                      <w:rFonts w:hint="default" w:ascii="Times New Roman" w:hAnsi="Times New Roman" w:cs="Times New Roman"/>
                      <w:color w:val="auto"/>
                    </w:rPr>
                  </w:pPr>
                  <w:r>
                    <w:rPr>
                      <w:rFonts w:hint="default" w:ascii="Times New Roman" w:hAnsi="Times New Roman" w:cs="Times New Roman"/>
                      <w:color w:val="auto"/>
                    </w:rPr>
                    <w:t>八公山区</w:t>
                  </w:r>
                </w:p>
              </w:tc>
              <w:tc>
                <w:tcPr>
                  <w:tcW w:w="1530" w:type="dxa"/>
                  <w:noWrap w:val="0"/>
                  <w:vAlign w:val="center"/>
                </w:tcPr>
                <w:p w14:paraId="7136773B">
                  <w:pPr>
                    <w:jc w:val="center"/>
                    <w:rPr>
                      <w:rFonts w:hint="default" w:ascii="Times New Roman" w:hAnsi="Times New Roman" w:cs="Times New Roman"/>
                      <w:color w:val="auto"/>
                    </w:rPr>
                  </w:pPr>
                  <w:r>
                    <w:rPr>
                      <w:rFonts w:hint="default" w:ascii="Times New Roman" w:hAnsi="Times New Roman" w:cs="Times New Roman"/>
                      <w:color w:val="auto"/>
                    </w:rPr>
                    <w:t>67.2</w:t>
                  </w:r>
                </w:p>
              </w:tc>
              <w:tc>
                <w:tcPr>
                  <w:tcW w:w="825" w:type="dxa"/>
                  <w:noWrap w:val="0"/>
                  <w:vAlign w:val="center"/>
                </w:tcPr>
                <w:p w14:paraId="1372E90B">
                  <w:pPr>
                    <w:jc w:val="center"/>
                    <w:rPr>
                      <w:rFonts w:hint="default" w:ascii="Times New Roman" w:hAnsi="Times New Roman" w:cs="Times New Roman"/>
                      <w:color w:val="auto"/>
                    </w:rPr>
                  </w:pPr>
                  <w:r>
                    <w:rPr>
                      <w:rFonts w:hint="default" w:ascii="Times New Roman" w:hAnsi="Times New Roman" w:cs="Times New Roman"/>
                      <w:color w:val="auto"/>
                    </w:rPr>
                    <w:t>12.50</w:t>
                  </w:r>
                </w:p>
              </w:tc>
              <w:tc>
                <w:tcPr>
                  <w:tcW w:w="915" w:type="dxa"/>
                  <w:noWrap w:val="0"/>
                  <w:vAlign w:val="center"/>
                </w:tcPr>
                <w:p w14:paraId="42CF0C34">
                  <w:pPr>
                    <w:jc w:val="center"/>
                    <w:rPr>
                      <w:rFonts w:hint="default" w:ascii="Times New Roman" w:hAnsi="Times New Roman" w:cs="Times New Roman"/>
                      <w:color w:val="auto"/>
                    </w:rPr>
                  </w:pPr>
                  <w:r>
                    <w:rPr>
                      <w:rFonts w:hint="default" w:ascii="Times New Roman" w:hAnsi="Times New Roman" w:cs="Times New Roman"/>
                      <w:color w:val="auto"/>
                    </w:rPr>
                    <w:t>18.61%</w:t>
                  </w:r>
                </w:p>
              </w:tc>
              <w:tc>
                <w:tcPr>
                  <w:tcW w:w="931" w:type="dxa"/>
                  <w:noWrap w:val="0"/>
                  <w:vAlign w:val="center"/>
                </w:tcPr>
                <w:p w14:paraId="52F685D0">
                  <w:pPr>
                    <w:jc w:val="center"/>
                    <w:rPr>
                      <w:rFonts w:hint="default" w:ascii="Times New Roman" w:hAnsi="Times New Roman" w:cs="Times New Roman"/>
                      <w:color w:val="auto"/>
                    </w:rPr>
                  </w:pPr>
                  <w:r>
                    <w:rPr>
                      <w:rFonts w:hint="default" w:ascii="Times New Roman" w:hAnsi="Times New Roman" w:cs="Times New Roman"/>
                      <w:color w:val="auto"/>
                    </w:rPr>
                    <w:t>生多维护</w:t>
                  </w:r>
                </w:p>
              </w:tc>
            </w:tr>
            <w:tr w14:paraId="6083493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970" w:type="dxa"/>
                  <w:noWrap w:val="0"/>
                  <w:vAlign w:val="center"/>
                </w:tcPr>
                <w:p w14:paraId="65E9A433">
                  <w:pPr>
                    <w:jc w:val="center"/>
                    <w:rPr>
                      <w:rFonts w:hint="default" w:ascii="Times New Roman" w:hAnsi="Times New Roman" w:cs="Times New Roman"/>
                      <w:color w:val="auto"/>
                    </w:rPr>
                  </w:pPr>
                  <w:r>
                    <w:rPr>
                      <w:rFonts w:hint="default" w:ascii="Times New Roman" w:hAnsi="Times New Roman" w:cs="Times New Roman"/>
                      <w:color w:val="auto"/>
                    </w:rPr>
                    <w:t>340406</w:t>
                  </w:r>
                </w:p>
              </w:tc>
              <w:tc>
                <w:tcPr>
                  <w:tcW w:w="810" w:type="dxa"/>
                  <w:vMerge w:val="continue"/>
                  <w:noWrap w:val="0"/>
                  <w:vAlign w:val="center"/>
                </w:tcPr>
                <w:p w14:paraId="1E51E29E">
                  <w:pPr>
                    <w:jc w:val="center"/>
                    <w:rPr>
                      <w:rFonts w:hint="default" w:ascii="Times New Roman" w:hAnsi="Times New Roman" w:cs="Times New Roman"/>
                      <w:color w:val="auto"/>
                    </w:rPr>
                  </w:pPr>
                </w:p>
              </w:tc>
              <w:tc>
                <w:tcPr>
                  <w:tcW w:w="915" w:type="dxa"/>
                  <w:noWrap w:val="0"/>
                  <w:vAlign w:val="center"/>
                </w:tcPr>
                <w:p w14:paraId="26ADF496">
                  <w:pPr>
                    <w:jc w:val="center"/>
                    <w:rPr>
                      <w:rFonts w:hint="default" w:ascii="Times New Roman" w:hAnsi="Times New Roman" w:cs="Times New Roman"/>
                      <w:color w:val="auto"/>
                    </w:rPr>
                  </w:pPr>
                  <w:r>
                    <w:rPr>
                      <w:rFonts w:hint="default" w:ascii="Times New Roman" w:hAnsi="Times New Roman" w:cs="Times New Roman"/>
                      <w:color w:val="auto"/>
                    </w:rPr>
                    <w:t>潘集区</w:t>
                  </w:r>
                </w:p>
              </w:tc>
              <w:tc>
                <w:tcPr>
                  <w:tcW w:w="1530" w:type="dxa"/>
                  <w:noWrap w:val="0"/>
                  <w:vAlign w:val="center"/>
                </w:tcPr>
                <w:p w14:paraId="7297785D">
                  <w:pPr>
                    <w:jc w:val="center"/>
                    <w:rPr>
                      <w:rFonts w:hint="default" w:ascii="Times New Roman" w:hAnsi="Times New Roman" w:cs="Times New Roman"/>
                      <w:color w:val="auto"/>
                    </w:rPr>
                  </w:pPr>
                  <w:r>
                    <w:rPr>
                      <w:rFonts w:hint="default" w:ascii="Times New Roman" w:hAnsi="Times New Roman" w:cs="Times New Roman"/>
                      <w:color w:val="auto"/>
                    </w:rPr>
                    <w:t>598.3</w:t>
                  </w:r>
                </w:p>
              </w:tc>
              <w:tc>
                <w:tcPr>
                  <w:tcW w:w="825" w:type="dxa"/>
                  <w:noWrap w:val="0"/>
                  <w:vAlign w:val="center"/>
                </w:tcPr>
                <w:p w14:paraId="49859EC8">
                  <w:pPr>
                    <w:jc w:val="center"/>
                    <w:rPr>
                      <w:rFonts w:hint="default" w:ascii="Times New Roman" w:hAnsi="Times New Roman" w:cs="Times New Roman"/>
                      <w:color w:val="auto"/>
                    </w:rPr>
                  </w:pPr>
                  <w:r>
                    <w:rPr>
                      <w:rFonts w:hint="default" w:ascii="Times New Roman" w:hAnsi="Times New Roman" w:cs="Times New Roman"/>
                      <w:color w:val="auto"/>
                    </w:rPr>
                    <w:t>23.55</w:t>
                  </w:r>
                </w:p>
              </w:tc>
              <w:tc>
                <w:tcPr>
                  <w:tcW w:w="915" w:type="dxa"/>
                  <w:noWrap w:val="0"/>
                  <w:vAlign w:val="center"/>
                </w:tcPr>
                <w:p w14:paraId="7B9AD8C6">
                  <w:pPr>
                    <w:jc w:val="center"/>
                    <w:rPr>
                      <w:rFonts w:hint="default" w:ascii="Times New Roman" w:hAnsi="Times New Roman" w:cs="Times New Roman"/>
                      <w:color w:val="auto"/>
                    </w:rPr>
                  </w:pPr>
                  <w:r>
                    <w:rPr>
                      <w:rFonts w:hint="default" w:ascii="Times New Roman" w:hAnsi="Times New Roman" w:cs="Times New Roman"/>
                      <w:color w:val="auto"/>
                    </w:rPr>
                    <w:t>3.94%</w:t>
                  </w:r>
                </w:p>
              </w:tc>
              <w:tc>
                <w:tcPr>
                  <w:tcW w:w="931" w:type="dxa"/>
                  <w:noWrap w:val="0"/>
                  <w:vAlign w:val="center"/>
                </w:tcPr>
                <w:p w14:paraId="05899A68">
                  <w:pPr>
                    <w:jc w:val="center"/>
                    <w:rPr>
                      <w:rFonts w:hint="default" w:ascii="Times New Roman" w:hAnsi="Times New Roman" w:cs="Times New Roman"/>
                      <w:color w:val="auto"/>
                    </w:rPr>
                  </w:pPr>
                  <w:r>
                    <w:rPr>
                      <w:rFonts w:hint="default" w:ascii="Times New Roman" w:hAnsi="Times New Roman" w:cs="Times New Roman"/>
                      <w:color w:val="auto"/>
                    </w:rPr>
                    <w:t>生多维护</w:t>
                  </w:r>
                </w:p>
              </w:tc>
            </w:tr>
            <w:tr w14:paraId="2AAC538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970" w:type="dxa"/>
                  <w:noWrap w:val="0"/>
                  <w:vAlign w:val="center"/>
                </w:tcPr>
                <w:p w14:paraId="7C1516FC">
                  <w:pPr>
                    <w:jc w:val="center"/>
                    <w:rPr>
                      <w:rFonts w:hint="default" w:ascii="Times New Roman" w:hAnsi="Times New Roman" w:cs="Times New Roman"/>
                      <w:color w:val="auto"/>
                    </w:rPr>
                  </w:pPr>
                  <w:r>
                    <w:rPr>
                      <w:rFonts w:hint="default" w:ascii="Times New Roman" w:hAnsi="Times New Roman" w:cs="Times New Roman"/>
                      <w:color w:val="auto"/>
                    </w:rPr>
                    <w:t>340421</w:t>
                  </w:r>
                </w:p>
              </w:tc>
              <w:tc>
                <w:tcPr>
                  <w:tcW w:w="810" w:type="dxa"/>
                  <w:vMerge w:val="continue"/>
                  <w:noWrap w:val="0"/>
                  <w:vAlign w:val="center"/>
                </w:tcPr>
                <w:p w14:paraId="3271C1B9">
                  <w:pPr>
                    <w:jc w:val="center"/>
                    <w:rPr>
                      <w:rFonts w:hint="default" w:ascii="Times New Roman" w:hAnsi="Times New Roman" w:cs="Times New Roman"/>
                      <w:color w:val="auto"/>
                    </w:rPr>
                  </w:pPr>
                </w:p>
              </w:tc>
              <w:tc>
                <w:tcPr>
                  <w:tcW w:w="915" w:type="dxa"/>
                  <w:noWrap w:val="0"/>
                  <w:vAlign w:val="center"/>
                </w:tcPr>
                <w:p w14:paraId="086F531F">
                  <w:pPr>
                    <w:jc w:val="center"/>
                    <w:rPr>
                      <w:rFonts w:hint="default" w:ascii="Times New Roman" w:hAnsi="Times New Roman" w:cs="Times New Roman"/>
                      <w:color w:val="auto"/>
                    </w:rPr>
                  </w:pPr>
                  <w:r>
                    <w:rPr>
                      <w:rFonts w:hint="default" w:ascii="Times New Roman" w:hAnsi="Times New Roman" w:cs="Times New Roman"/>
                      <w:color w:val="auto"/>
                    </w:rPr>
                    <w:t>凤台县</w:t>
                  </w:r>
                </w:p>
              </w:tc>
              <w:tc>
                <w:tcPr>
                  <w:tcW w:w="1530" w:type="dxa"/>
                  <w:noWrap w:val="0"/>
                  <w:vAlign w:val="center"/>
                </w:tcPr>
                <w:p w14:paraId="1E2B63B0">
                  <w:pPr>
                    <w:jc w:val="center"/>
                    <w:rPr>
                      <w:rFonts w:hint="default" w:ascii="Times New Roman" w:hAnsi="Times New Roman" w:cs="Times New Roman"/>
                      <w:color w:val="auto"/>
                    </w:rPr>
                  </w:pPr>
                  <w:r>
                    <w:rPr>
                      <w:rFonts w:hint="default" w:ascii="Times New Roman" w:hAnsi="Times New Roman" w:cs="Times New Roman"/>
                      <w:color w:val="auto"/>
                    </w:rPr>
                    <w:t>1091.7</w:t>
                  </w:r>
                </w:p>
              </w:tc>
              <w:tc>
                <w:tcPr>
                  <w:tcW w:w="825" w:type="dxa"/>
                  <w:noWrap w:val="0"/>
                  <w:vAlign w:val="center"/>
                </w:tcPr>
                <w:p w14:paraId="13CBC3FA">
                  <w:pPr>
                    <w:jc w:val="center"/>
                    <w:rPr>
                      <w:rFonts w:hint="default" w:ascii="Times New Roman" w:hAnsi="Times New Roman" w:cs="Times New Roman"/>
                      <w:color w:val="auto"/>
                    </w:rPr>
                  </w:pPr>
                  <w:r>
                    <w:rPr>
                      <w:rFonts w:hint="default" w:ascii="Times New Roman" w:hAnsi="Times New Roman" w:cs="Times New Roman"/>
                      <w:color w:val="auto"/>
                    </w:rPr>
                    <w:t>66.54</w:t>
                  </w:r>
                </w:p>
              </w:tc>
              <w:tc>
                <w:tcPr>
                  <w:tcW w:w="915" w:type="dxa"/>
                  <w:noWrap w:val="0"/>
                  <w:vAlign w:val="center"/>
                </w:tcPr>
                <w:p w14:paraId="48790DBA">
                  <w:pPr>
                    <w:jc w:val="center"/>
                    <w:rPr>
                      <w:rFonts w:hint="default" w:ascii="Times New Roman" w:hAnsi="Times New Roman" w:cs="Times New Roman"/>
                      <w:color w:val="auto"/>
                    </w:rPr>
                  </w:pPr>
                  <w:r>
                    <w:rPr>
                      <w:rFonts w:hint="default" w:ascii="Times New Roman" w:hAnsi="Times New Roman" w:cs="Times New Roman"/>
                      <w:color w:val="auto"/>
                    </w:rPr>
                    <w:t>6.10%</w:t>
                  </w:r>
                </w:p>
              </w:tc>
              <w:tc>
                <w:tcPr>
                  <w:tcW w:w="931" w:type="dxa"/>
                  <w:noWrap w:val="0"/>
                  <w:vAlign w:val="center"/>
                </w:tcPr>
                <w:p w14:paraId="6ABCC424">
                  <w:pPr>
                    <w:jc w:val="center"/>
                    <w:rPr>
                      <w:rFonts w:hint="default" w:ascii="Times New Roman" w:hAnsi="Times New Roman" w:cs="Times New Roman"/>
                      <w:color w:val="auto"/>
                    </w:rPr>
                  </w:pPr>
                  <w:r>
                    <w:rPr>
                      <w:rFonts w:hint="default" w:ascii="Times New Roman" w:hAnsi="Times New Roman" w:cs="Times New Roman"/>
                      <w:color w:val="auto"/>
                    </w:rPr>
                    <w:t>水土保持</w:t>
                  </w:r>
                </w:p>
              </w:tc>
            </w:tr>
            <w:tr w14:paraId="6483E9D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970" w:type="dxa"/>
                  <w:noWrap w:val="0"/>
                  <w:vAlign w:val="center"/>
                </w:tcPr>
                <w:p w14:paraId="25D61853">
                  <w:pPr>
                    <w:jc w:val="center"/>
                    <w:rPr>
                      <w:rFonts w:hint="default" w:ascii="Times New Roman" w:hAnsi="Times New Roman" w:cs="Times New Roman"/>
                      <w:color w:val="auto"/>
                    </w:rPr>
                  </w:pPr>
                  <w:r>
                    <w:rPr>
                      <w:rFonts w:hint="default" w:ascii="Times New Roman" w:hAnsi="Times New Roman" w:cs="Times New Roman"/>
                      <w:color w:val="auto"/>
                    </w:rPr>
                    <w:t>340422</w:t>
                  </w:r>
                </w:p>
              </w:tc>
              <w:tc>
                <w:tcPr>
                  <w:tcW w:w="810" w:type="dxa"/>
                  <w:vMerge w:val="continue"/>
                  <w:noWrap w:val="0"/>
                  <w:vAlign w:val="center"/>
                </w:tcPr>
                <w:p w14:paraId="21A547AB">
                  <w:pPr>
                    <w:jc w:val="center"/>
                    <w:rPr>
                      <w:rFonts w:hint="default" w:ascii="Times New Roman" w:hAnsi="Times New Roman" w:cs="Times New Roman"/>
                      <w:color w:val="auto"/>
                    </w:rPr>
                  </w:pPr>
                </w:p>
              </w:tc>
              <w:tc>
                <w:tcPr>
                  <w:tcW w:w="915" w:type="dxa"/>
                  <w:noWrap w:val="0"/>
                  <w:vAlign w:val="center"/>
                </w:tcPr>
                <w:p w14:paraId="39FF8CA1">
                  <w:pPr>
                    <w:jc w:val="center"/>
                    <w:rPr>
                      <w:rFonts w:hint="default" w:ascii="Times New Roman" w:hAnsi="Times New Roman" w:cs="Times New Roman"/>
                      <w:color w:val="auto"/>
                    </w:rPr>
                  </w:pPr>
                  <w:r>
                    <w:rPr>
                      <w:rFonts w:hint="default" w:ascii="Times New Roman" w:hAnsi="Times New Roman" w:cs="Times New Roman"/>
                      <w:color w:val="auto"/>
                    </w:rPr>
                    <w:t>寿县</w:t>
                  </w:r>
                </w:p>
              </w:tc>
              <w:tc>
                <w:tcPr>
                  <w:tcW w:w="1530" w:type="dxa"/>
                  <w:noWrap w:val="0"/>
                  <w:vAlign w:val="center"/>
                </w:tcPr>
                <w:p w14:paraId="4D1227C0">
                  <w:pPr>
                    <w:jc w:val="center"/>
                    <w:rPr>
                      <w:rFonts w:hint="default" w:ascii="Times New Roman" w:hAnsi="Times New Roman" w:cs="Times New Roman"/>
                      <w:color w:val="auto"/>
                    </w:rPr>
                  </w:pPr>
                  <w:r>
                    <w:rPr>
                      <w:rFonts w:hint="default" w:ascii="Times New Roman" w:hAnsi="Times New Roman" w:cs="Times New Roman"/>
                      <w:color w:val="auto"/>
                    </w:rPr>
                    <w:t>2948.4</w:t>
                  </w:r>
                </w:p>
              </w:tc>
              <w:tc>
                <w:tcPr>
                  <w:tcW w:w="825" w:type="dxa"/>
                  <w:noWrap w:val="0"/>
                  <w:vAlign w:val="center"/>
                </w:tcPr>
                <w:p w14:paraId="01879E02">
                  <w:pPr>
                    <w:jc w:val="center"/>
                    <w:rPr>
                      <w:rFonts w:hint="default" w:ascii="Times New Roman" w:hAnsi="Times New Roman" w:cs="Times New Roman"/>
                      <w:color w:val="auto"/>
                    </w:rPr>
                  </w:pPr>
                  <w:r>
                    <w:rPr>
                      <w:rFonts w:hint="default" w:ascii="Times New Roman" w:hAnsi="Times New Roman" w:cs="Times New Roman"/>
                      <w:color w:val="auto"/>
                    </w:rPr>
                    <w:t>174.64</w:t>
                  </w:r>
                </w:p>
              </w:tc>
              <w:tc>
                <w:tcPr>
                  <w:tcW w:w="915" w:type="dxa"/>
                  <w:noWrap w:val="0"/>
                  <w:vAlign w:val="center"/>
                </w:tcPr>
                <w:p w14:paraId="678B3829">
                  <w:pPr>
                    <w:jc w:val="center"/>
                    <w:rPr>
                      <w:rFonts w:hint="default" w:ascii="Times New Roman" w:hAnsi="Times New Roman" w:cs="Times New Roman"/>
                      <w:color w:val="auto"/>
                    </w:rPr>
                  </w:pPr>
                  <w:r>
                    <w:rPr>
                      <w:rFonts w:hint="default" w:ascii="Times New Roman" w:hAnsi="Times New Roman" w:cs="Times New Roman"/>
                      <w:color w:val="auto"/>
                    </w:rPr>
                    <w:t>5.92%</w:t>
                  </w:r>
                </w:p>
              </w:tc>
              <w:tc>
                <w:tcPr>
                  <w:tcW w:w="931" w:type="dxa"/>
                  <w:noWrap w:val="0"/>
                  <w:vAlign w:val="center"/>
                </w:tcPr>
                <w:p w14:paraId="41712638">
                  <w:pPr>
                    <w:jc w:val="center"/>
                    <w:rPr>
                      <w:rFonts w:hint="default" w:ascii="Times New Roman" w:hAnsi="Times New Roman" w:cs="Times New Roman"/>
                      <w:color w:val="auto"/>
                    </w:rPr>
                  </w:pPr>
                  <w:r>
                    <w:rPr>
                      <w:rFonts w:hint="default" w:ascii="Times New Roman" w:hAnsi="Times New Roman" w:cs="Times New Roman"/>
                      <w:color w:val="auto"/>
                    </w:rPr>
                    <w:t>水土保持</w:t>
                  </w:r>
                </w:p>
              </w:tc>
            </w:tr>
          </w:tbl>
          <w:p w14:paraId="1524A735">
            <w:pPr>
              <w:autoSpaceDE w:val="0"/>
              <w:autoSpaceDN w:val="0"/>
              <w:adjustRightInd w:val="0"/>
              <w:snapToGrid w:val="0"/>
              <w:spacing w:line="360" w:lineRule="auto"/>
              <w:ind w:firstLine="480" w:firstLineChars="200"/>
              <w:rPr>
                <w:rFonts w:hint="default" w:ascii="Times New Roman" w:hAnsi="Times New Roman" w:cs="Times New Roman"/>
                <w:b/>
                <w:color w:val="auto"/>
                <w:szCs w:val="21"/>
              </w:rPr>
            </w:pPr>
            <w:r>
              <w:rPr>
                <w:rFonts w:hint="default" w:ascii="Times New Roman" w:hAnsi="Times New Roman" w:cs="Times New Roman"/>
                <w:color w:val="auto"/>
                <w:kern w:val="0"/>
                <w:sz w:val="24"/>
              </w:rPr>
              <w:t>本项目位于</w:t>
            </w:r>
            <w:r>
              <w:rPr>
                <w:rFonts w:hint="default" w:ascii="Times New Roman" w:hAnsi="Times New Roman" w:cs="Times New Roman"/>
                <w:color w:val="auto"/>
                <w:sz w:val="24"/>
              </w:rPr>
              <w:t>安徽省淮南市潘集区贺疃镇境内，2025年8月12日，淮南市自然资源和规划局潘集分局出具了本项目临时用地初审意见。</w:t>
            </w:r>
            <w:r>
              <w:rPr>
                <w:rFonts w:hint="default" w:ascii="Times New Roman" w:hAnsi="Times New Roman" w:cs="Times New Roman"/>
                <w:color w:val="auto"/>
                <w:sz w:val="24"/>
                <w:highlight w:val="none"/>
              </w:rPr>
              <w:t>项目涉及的</w:t>
            </w:r>
            <w:r>
              <w:rPr>
                <w:rFonts w:hint="default" w:ascii="Times New Roman" w:hAnsi="Times New Roman" w:cs="Times New Roman"/>
                <w:color w:val="auto"/>
                <w:sz w:val="24"/>
                <w:highlight w:val="none"/>
                <w:lang w:val="en-US" w:eastAsia="zh-CN"/>
              </w:rPr>
              <w:t>十三</w:t>
            </w:r>
            <w:r>
              <w:rPr>
                <w:rFonts w:hint="default" w:ascii="Times New Roman" w:hAnsi="Times New Roman" w:cs="Times New Roman"/>
                <w:color w:val="auto"/>
                <w:sz w:val="24"/>
                <w:highlight w:val="none"/>
              </w:rPr>
              <w:t>个井场均为临时用地，工期</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年，施工结束后全部恢复原貌，完成复垦。</w:t>
            </w:r>
            <w:r>
              <w:rPr>
                <w:rFonts w:hint="default" w:ascii="Times New Roman" w:hAnsi="Times New Roman" w:cs="Times New Roman"/>
                <w:color w:val="auto"/>
                <w:kern w:val="0"/>
                <w:sz w:val="24"/>
                <w:highlight w:val="none"/>
              </w:rPr>
              <w:t>通</w:t>
            </w:r>
            <w:r>
              <w:rPr>
                <w:rFonts w:hint="default" w:ascii="Times New Roman" w:hAnsi="Times New Roman" w:cs="Times New Roman"/>
                <w:color w:val="auto"/>
                <w:kern w:val="0"/>
                <w:sz w:val="24"/>
              </w:rPr>
              <w:t>过与《淮南市生态保护红线分布图》进行对比，本项目所在区域不在淮南市生态保护红线范围内</w:t>
            </w:r>
            <w:r>
              <w:rPr>
                <w:rFonts w:hint="default" w:ascii="Times New Roman" w:hAnsi="Times New Roman" w:cs="Times New Roman"/>
                <w:color w:val="auto"/>
                <w:kern w:val="0"/>
                <w:sz w:val="24"/>
                <w:lang w:bidi="ar"/>
              </w:rPr>
              <w:t>，选址周边其他无自然保</w:t>
            </w:r>
            <w:r>
              <w:rPr>
                <w:rFonts w:hint="default" w:ascii="Times New Roman" w:hAnsi="Times New Roman" w:cs="Times New Roman"/>
                <w:color w:val="auto"/>
                <w:kern w:val="0"/>
                <w:sz w:val="24"/>
              </w:rPr>
              <w:t>护区、风景名胜区、世界文化和自然遗产地、森林公园、地质公园、重要湿地等敏感点存在，因此符合生态保护红线要求，本项目在生态保护红线中的位置图见报告附图</w:t>
            </w:r>
            <w:r>
              <w:rPr>
                <w:rFonts w:hint="eastAsia" w:ascii="Times New Roman" w:hAnsi="Times New Roman" w:cs="Times New Roman"/>
                <w:color w:val="auto"/>
                <w:kern w:val="0"/>
                <w:sz w:val="24"/>
                <w:lang w:val="en-US" w:eastAsia="zh-CN"/>
              </w:rPr>
              <w:t>5</w:t>
            </w:r>
            <w:r>
              <w:rPr>
                <w:rFonts w:hint="default" w:ascii="Times New Roman" w:hAnsi="Times New Roman" w:cs="Times New Roman"/>
                <w:color w:val="auto"/>
                <w:kern w:val="0"/>
                <w:sz w:val="24"/>
              </w:rPr>
              <w:t>。</w:t>
            </w:r>
          </w:p>
          <w:p w14:paraId="686ACC77">
            <w:pPr>
              <w:autoSpaceDE w:val="0"/>
              <w:autoSpaceDN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（2）分区管控要求</w:t>
            </w:r>
          </w:p>
          <w:p w14:paraId="1EDDC976">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①水环境管控分区管控要求</w:t>
            </w:r>
          </w:p>
          <w:p w14:paraId="2A547D75">
            <w:pPr>
              <w:autoSpaceDE w:val="0"/>
              <w:autoSpaceDN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对照《淮南市水环境分区管控图》，本项目所在区域属于一般管控区，</w:t>
            </w:r>
          </w:p>
          <w:p w14:paraId="32EDFEB1">
            <w:pPr>
              <w:autoSpaceDE w:val="0"/>
              <w:autoSpaceDN w:val="0"/>
              <w:spacing w:line="360" w:lineRule="auto"/>
              <w:rPr>
                <w:rFonts w:hint="default" w:ascii="Times New Roman" w:hAnsi="Times New Roman" w:cs="Times New Roman"/>
                <w:color w:val="auto"/>
                <w:kern w:val="0"/>
                <w:sz w:val="24"/>
              </w:rPr>
            </w:pPr>
            <w:r>
              <w:rPr>
                <w:rFonts w:hint="default" w:ascii="Times New Roman" w:hAnsi="Times New Roman" w:cs="Times New Roman"/>
                <w:color w:val="auto"/>
                <w:kern w:val="0"/>
                <w:sz w:val="24"/>
                <w:highlight w:val="none"/>
              </w:rPr>
              <w:t>项目在淮南市水环境分区图中的位置图见报告附图</w:t>
            </w:r>
            <w:r>
              <w:rPr>
                <w:rFonts w:hint="eastAsia" w:ascii="Times New Roman" w:hAnsi="Times New Roman" w:cs="Times New Roman"/>
                <w:color w:val="auto"/>
                <w:kern w:val="0"/>
                <w:sz w:val="24"/>
                <w:highlight w:val="none"/>
                <w:lang w:val="en-US" w:eastAsia="zh-CN"/>
              </w:rPr>
              <w:t>6</w:t>
            </w:r>
            <w:r>
              <w:rPr>
                <w:rFonts w:hint="default" w:ascii="Times New Roman" w:hAnsi="Times New Roman" w:cs="Times New Roman"/>
                <w:color w:val="auto"/>
                <w:kern w:val="0"/>
                <w:sz w:val="24"/>
                <w:highlight w:val="none"/>
              </w:rPr>
              <w:t>。一般</w:t>
            </w:r>
            <w:r>
              <w:rPr>
                <w:rFonts w:hint="default" w:ascii="Times New Roman" w:hAnsi="Times New Roman" w:cs="Times New Roman"/>
                <w:color w:val="auto"/>
                <w:kern w:val="0"/>
                <w:sz w:val="24"/>
              </w:rPr>
              <w:t>管控区分区管控要求如下：依据《中华人民共和国水污染防治法》《水污染防治行动计划》《安徽省水污染防治工作方案》及各市水污染防治工作方案对一般管控区实施管控；依据《安徽省淮河流域水污染防治条例》对淮河流域实施管控。本项目施工期无废水外排，项目区不设置员工食宿，员工食宿依托附近村庄，生活污水经化粪池处理后定期清掏用于当地农作物施肥。项目实施钻井仅为施工期，每个井场</w:t>
            </w:r>
            <w:r>
              <w:rPr>
                <w:rFonts w:hint="default" w:ascii="Times New Roman" w:hAnsi="Times New Roman" w:cs="Times New Roman"/>
                <w:color w:val="auto"/>
                <w:kern w:val="0"/>
                <w:sz w:val="24"/>
                <w:lang w:val="en-US" w:eastAsia="zh-CN"/>
              </w:rPr>
              <w:t>需要对</w:t>
            </w:r>
            <w:r>
              <w:rPr>
                <w:rFonts w:hint="default" w:ascii="Times New Roman" w:hAnsi="Times New Roman" w:cs="Times New Roman"/>
                <w:color w:val="auto"/>
                <w:kern w:val="0"/>
                <w:sz w:val="24"/>
              </w:rPr>
              <w:t>车辆冲洗，配套建设容积10m</w:t>
            </w:r>
            <w:r>
              <w:rPr>
                <w:rFonts w:hint="default" w:ascii="Times New Roman" w:hAnsi="Times New Roman" w:cs="Times New Roman"/>
                <w:color w:val="auto"/>
                <w:kern w:val="0"/>
                <w:sz w:val="24"/>
                <w:vertAlign w:val="superscript"/>
              </w:rPr>
              <w:t>3</w:t>
            </w:r>
            <w:r>
              <w:rPr>
                <w:rFonts w:hint="default" w:ascii="Times New Roman" w:hAnsi="Times New Roman" w:cs="Times New Roman"/>
                <w:color w:val="auto"/>
                <w:kern w:val="0"/>
                <w:sz w:val="24"/>
              </w:rPr>
              <w:t>循环沉淀池，车辆清洗废水经沉淀池沉淀后循环使用，不外排；每个井场钻探废水设置设1个废</w:t>
            </w:r>
            <w:r>
              <w:rPr>
                <w:rFonts w:hint="default" w:ascii="Times New Roman" w:hAnsi="Times New Roman" w:cs="Times New Roman"/>
                <w:color w:val="auto"/>
                <w:kern w:val="0"/>
                <w:sz w:val="24"/>
                <w:lang w:val="en-US" w:eastAsia="zh-CN"/>
              </w:rPr>
              <w:t>浆</w:t>
            </w:r>
            <w:r>
              <w:rPr>
                <w:rFonts w:hint="default" w:ascii="Times New Roman" w:hAnsi="Times New Roman" w:cs="Times New Roman"/>
                <w:color w:val="auto"/>
                <w:kern w:val="0"/>
                <w:sz w:val="24"/>
              </w:rPr>
              <w:t>池，容积40m</w:t>
            </w:r>
            <w:r>
              <w:rPr>
                <w:rFonts w:hint="default" w:ascii="Times New Roman" w:hAnsi="Times New Roman" w:cs="Times New Roman"/>
                <w:color w:val="auto"/>
                <w:kern w:val="0"/>
                <w:sz w:val="24"/>
                <w:vertAlign w:val="superscript"/>
              </w:rPr>
              <w:t>3</w:t>
            </w:r>
            <w:r>
              <w:rPr>
                <w:rFonts w:hint="default" w:ascii="Times New Roman" w:hAnsi="Times New Roman" w:cs="Times New Roman"/>
                <w:color w:val="auto"/>
                <w:kern w:val="0"/>
                <w:sz w:val="24"/>
              </w:rPr>
              <w:t>，设置设1个干化池，容积40m</w:t>
            </w:r>
            <w:r>
              <w:rPr>
                <w:rFonts w:hint="default" w:ascii="Times New Roman" w:hAnsi="Times New Roman" w:cs="Times New Roman"/>
                <w:color w:val="auto"/>
                <w:kern w:val="0"/>
                <w:sz w:val="24"/>
                <w:vertAlign w:val="superscript"/>
              </w:rPr>
              <w:t>3</w:t>
            </w:r>
            <w:r>
              <w:rPr>
                <w:rFonts w:hint="default" w:ascii="Times New Roman" w:hAnsi="Times New Roman" w:cs="Times New Roman"/>
                <w:color w:val="auto"/>
                <w:kern w:val="0"/>
                <w:sz w:val="24"/>
              </w:rPr>
              <w:t>，钻探废水经沉淀后回用于钻探</w:t>
            </w:r>
            <w:r>
              <w:rPr>
                <w:rFonts w:hint="eastAsia" w:ascii="Times New Roman" w:hAnsi="Times New Roman" w:cs="Times New Roman"/>
                <w:color w:val="auto"/>
                <w:kern w:val="0"/>
                <w:sz w:val="24"/>
                <w:lang w:val="en-US" w:eastAsia="zh-CN"/>
              </w:rPr>
              <w:t>工序</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不直接排入地表水环境，符合《中华人民共和国水污染防治法》《水污染防治行动计划》《安徽省水污染防治工作方案》以及《安徽省淮河流域水污染防治条例》中要求，符合分区管控要求。</w:t>
            </w:r>
          </w:p>
          <w:p w14:paraId="596650A1">
            <w:pPr>
              <w:autoSpaceDE w:val="0"/>
              <w:autoSpaceDN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②大气环境分区管控要求</w:t>
            </w:r>
          </w:p>
          <w:p w14:paraId="1892EECE">
            <w:pPr>
              <w:autoSpaceDE w:val="0"/>
              <w:autoSpaceDN w:val="0"/>
              <w:spacing w:line="360" w:lineRule="auto"/>
              <w:ind w:firstLine="480" w:firstLineChars="200"/>
              <w:rPr>
                <w:rFonts w:hint="default" w:ascii="Times New Roman" w:hAnsi="Times New Roman" w:cs="Times New Roman"/>
                <w:b/>
                <w:color w:val="auto"/>
                <w:szCs w:val="21"/>
              </w:rPr>
            </w:pPr>
            <w:r>
              <w:rPr>
                <w:rFonts w:hint="default" w:ascii="Times New Roman" w:hAnsi="Times New Roman" w:cs="Times New Roman"/>
                <w:color w:val="auto"/>
                <w:kern w:val="0"/>
                <w:sz w:val="24"/>
              </w:rPr>
              <w:t>对照《淮南市大气环境分区管控图》，本项目所在区域属于大气环境一般管控区，项目在淮南市大气环境分区图中的位置图见报</w:t>
            </w:r>
            <w:r>
              <w:rPr>
                <w:rFonts w:hint="default" w:ascii="Times New Roman" w:hAnsi="Times New Roman" w:cs="Times New Roman"/>
                <w:color w:val="auto"/>
                <w:kern w:val="0"/>
                <w:sz w:val="24"/>
                <w:highlight w:val="none"/>
              </w:rPr>
              <w:t>告附图</w:t>
            </w:r>
            <w:r>
              <w:rPr>
                <w:rFonts w:hint="eastAsia" w:ascii="Times New Roman" w:hAnsi="Times New Roman" w:cs="Times New Roman"/>
                <w:color w:val="auto"/>
                <w:kern w:val="0"/>
                <w:sz w:val="24"/>
                <w:highlight w:val="none"/>
                <w:lang w:val="en-US" w:eastAsia="zh-CN"/>
              </w:rPr>
              <w:t>7</w:t>
            </w:r>
            <w:r>
              <w:rPr>
                <w:rFonts w:hint="default" w:ascii="Times New Roman" w:hAnsi="Times New Roman" w:cs="Times New Roman"/>
                <w:color w:val="auto"/>
                <w:kern w:val="0"/>
                <w:sz w:val="24"/>
                <w:highlight w:val="none"/>
                <w:lang w:val="en-US" w:eastAsia="zh-CN"/>
              </w:rPr>
              <w:t>。</w:t>
            </w:r>
            <w:r>
              <w:rPr>
                <w:rFonts w:hint="default" w:ascii="Times New Roman" w:hAnsi="Times New Roman" w:cs="Times New Roman"/>
                <w:color w:val="auto"/>
                <w:kern w:val="0"/>
                <w:sz w:val="24"/>
              </w:rPr>
              <w:t>根据《淮南市“三线一单”文本》，本项目所在区域属于大气环境一般管控区。依据《中华人民共和国大气污染防治法》等法律法规和规章对一般管控区实施管控。上年度PM</w:t>
            </w:r>
            <w:r>
              <w:rPr>
                <w:rFonts w:hint="default" w:ascii="Times New Roman" w:hAnsi="Times New Roman" w:cs="Times New Roman"/>
                <w:color w:val="auto"/>
                <w:kern w:val="0"/>
                <w:sz w:val="24"/>
                <w:vertAlign w:val="subscript"/>
              </w:rPr>
              <w:t>2.5</w:t>
            </w:r>
            <w:r>
              <w:rPr>
                <w:rFonts w:hint="default" w:ascii="Times New Roman" w:hAnsi="Times New Roman" w:cs="Times New Roman"/>
                <w:color w:val="auto"/>
                <w:kern w:val="0"/>
                <w:sz w:val="24"/>
              </w:rPr>
              <w:t>不达标城市新建、改建和扩建项目大气污染物实施“倍量替代”，执行特别排放标准的行业实施提标升级改造。本项目仅施工期产生少量颗粒物，通过洒水抑尘等方式减小</w:t>
            </w:r>
            <w:r>
              <w:rPr>
                <w:rFonts w:hint="eastAsia" w:ascii="Times New Roman" w:hAnsi="Times New Roman" w:cs="Times New Roman"/>
                <w:color w:val="auto"/>
                <w:kern w:val="0"/>
                <w:sz w:val="24"/>
                <w:lang w:val="en-US" w:eastAsia="zh-CN"/>
              </w:rPr>
              <w:t>颗粒物</w:t>
            </w:r>
            <w:r>
              <w:rPr>
                <w:rFonts w:hint="default" w:ascii="Times New Roman" w:hAnsi="Times New Roman" w:cs="Times New Roman"/>
                <w:color w:val="auto"/>
                <w:kern w:val="0"/>
                <w:sz w:val="24"/>
              </w:rPr>
              <w:t>影响</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rPr>
              <w:t>符合分区管控要求。</w:t>
            </w:r>
          </w:p>
          <w:p w14:paraId="68A5273E">
            <w:pPr>
              <w:autoSpaceDE w:val="0"/>
              <w:autoSpaceDN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③土壤环境分区管控要求</w:t>
            </w:r>
          </w:p>
          <w:p w14:paraId="5E438449">
            <w:pPr>
              <w:autoSpaceDE w:val="0"/>
              <w:autoSpaceDN w:val="0"/>
              <w:spacing w:line="360" w:lineRule="auto"/>
              <w:ind w:firstLine="480" w:firstLineChars="200"/>
              <w:rPr>
                <w:rFonts w:hint="default" w:ascii="Times New Roman" w:hAnsi="Times New Roman" w:eastAsia="宋体" w:cs="Times New Roman"/>
                <w:b/>
                <w:color w:val="auto"/>
                <w:szCs w:val="21"/>
                <w:lang w:eastAsia="zh-CN"/>
              </w:rPr>
            </w:pPr>
            <w:r>
              <w:rPr>
                <w:rFonts w:hint="default" w:ascii="Times New Roman" w:hAnsi="Times New Roman" w:cs="Times New Roman"/>
                <w:color w:val="auto"/>
                <w:kern w:val="0"/>
                <w:sz w:val="24"/>
                <w:highlight w:val="none"/>
              </w:rPr>
              <w:t>对照《淮南市土壤环境分区管控图》，本项目属于土壤环境优先保护区，项目在淮南市土壤污染风险分区图中的位置图见报告附图</w:t>
            </w:r>
            <w:r>
              <w:rPr>
                <w:rFonts w:hint="eastAsia" w:ascii="Times New Roman" w:hAnsi="Times New Roman" w:cs="Times New Roman"/>
                <w:color w:val="auto"/>
                <w:kern w:val="0"/>
                <w:sz w:val="24"/>
                <w:highlight w:val="none"/>
                <w:lang w:val="en-US" w:eastAsia="zh-CN"/>
              </w:rPr>
              <w:t>8</w:t>
            </w:r>
            <w:r>
              <w:rPr>
                <w:rFonts w:hint="default" w:ascii="Times New Roman" w:hAnsi="Times New Roman" w:cs="Times New Roman"/>
                <w:color w:val="auto"/>
                <w:kern w:val="0"/>
                <w:sz w:val="24"/>
                <w:highlight w:val="none"/>
              </w:rPr>
              <w:t>。依</w:t>
            </w:r>
            <w:r>
              <w:rPr>
                <w:rFonts w:hint="default" w:ascii="Times New Roman" w:hAnsi="Times New Roman" w:cs="Times New Roman"/>
                <w:color w:val="auto"/>
                <w:kern w:val="0"/>
                <w:sz w:val="24"/>
              </w:rPr>
              <w:t>据《中华人民共和国土壤污染防治法》《土壤污染防治行动计划》《安徽省土壤污染防治工作方案》《安徽省“十四五”生态环境保护规划》等要求及各市土壤污染防治工作方案对土壤环境优先保护区管控。本项目施工时使用的泥浆添加剂不含有毒有害成分，固井用</w:t>
            </w:r>
            <w:r>
              <w:rPr>
                <w:rFonts w:hint="eastAsia" w:ascii="Times New Roman" w:hAnsi="Times New Roman" w:cs="Times New Roman"/>
                <w:color w:val="auto"/>
                <w:kern w:val="0"/>
                <w:sz w:val="24"/>
                <w:lang w:val="en-US" w:eastAsia="zh-CN"/>
              </w:rPr>
              <w:t>商品混凝土</w:t>
            </w:r>
            <w:r>
              <w:rPr>
                <w:rFonts w:hint="default" w:ascii="Times New Roman" w:hAnsi="Times New Roman" w:cs="Times New Roman"/>
                <w:color w:val="auto"/>
                <w:kern w:val="0"/>
                <w:sz w:val="24"/>
              </w:rPr>
              <w:t>为普通/复合硅酸盐水泥，质量符合国家标准</w:t>
            </w:r>
            <w:r>
              <w:rPr>
                <w:rFonts w:hint="default" w:ascii="Times New Roman" w:hAnsi="Times New Roman" w:cs="Times New Roman"/>
                <w:color w:val="auto"/>
                <w:kern w:val="0"/>
                <w:sz w:val="24"/>
                <w:lang w:eastAsia="zh-CN"/>
              </w:rPr>
              <w:t>，因此不存在土壤污染风险，符合分区管控措施。</w:t>
            </w:r>
          </w:p>
          <w:p w14:paraId="3FE18A61">
            <w:pPr>
              <w:autoSpaceDE w:val="0"/>
              <w:autoSpaceDN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（3）环境质量底线</w:t>
            </w:r>
          </w:p>
          <w:p w14:paraId="16C3442C">
            <w:pPr>
              <w:pStyle w:val="27"/>
              <w:adjustRightInd/>
              <w:snapToGrid/>
              <w:ind w:firstLine="48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①环境空气质量</w:t>
            </w:r>
          </w:p>
          <w:p w14:paraId="5BCA9BE5">
            <w:pPr>
              <w:pStyle w:val="27"/>
              <w:adjustRightInd/>
              <w:snapToGrid/>
              <w:ind w:firstLine="48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根据淮南市生态环境局发布的《2024年淮南市生态环境质量状况公报》，淮南市市区环境空气中的主要污染物二氧化硫（SO</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）年均浓度、二氧化氮（NO</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）年均浓度、可吸入颗粒物（PM</w:t>
            </w:r>
            <w:r>
              <w:rPr>
                <w:rFonts w:hint="default" w:ascii="Times New Roman" w:hAnsi="Times New Roman" w:cs="Times New Roman"/>
                <w:color w:val="auto"/>
                <w:sz w:val="24"/>
                <w:highlight w:val="none"/>
                <w:vertAlign w:val="subscript"/>
              </w:rPr>
              <w:t>10</w:t>
            </w:r>
            <w:r>
              <w:rPr>
                <w:rFonts w:hint="default" w:ascii="Times New Roman" w:hAnsi="Times New Roman" w:cs="Times New Roman"/>
                <w:color w:val="auto"/>
                <w:sz w:val="24"/>
                <w:highlight w:val="none"/>
              </w:rPr>
              <w:t>）年均浓度、细颗粒物（PM</w:t>
            </w:r>
            <w:r>
              <w:rPr>
                <w:rFonts w:hint="default" w:ascii="Times New Roman" w:hAnsi="Times New Roman" w:cs="Times New Roman"/>
                <w:color w:val="auto"/>
                <w:sz w:val="24"/>
                <w:highlight w:val="none"/>
                <w:vertAlign w:val="subscript"/>
              </w:rPr>
              <w:t>2.5</w:t>
            </w:r>
            <w:r>
              <w:rPr>
                <w:rFonts w:hint="default" w:ascii="Times New Roman" w:hAnsi="Times New Roman" w:cs="Times New Roman"/>
                <w:color w:val="auto"/>
                <w:sz w:val="24"/>
                <w:highlight w:val="none"/>
              </w:rPr>
              <w:t>）年均浓度、一氧化碳（CO）日均值第95百分位浓度、臭氧（O</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）日最大8小时平均第90百分位浓度分别为7微克/立方米、19微克/立方米、65微克/立方米、40微克/立方米、0.8毫克/立方米和160微克/立方米，二氧化硫（SO</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）、二氧化氮（NO</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）、可吸入颗粒物（PM</w:t>
            </w:r>
            <w:r>
              <w:rPr>
                <w:rFonts w:hint="default" w:ascii="Times New Roman" w:hAnsi="Times New Roman" w:cs="Times New Roman"/>
                <w:color w:val="auto"/>
                <w:sz w:val="24"/>
                <w:highlight w:val="none"/>
                <w:vertAlign w:val="subscript"/>
              </w:rPr>
              <w:t>10</w:t>
            </w:r>
            <w:r>
              <w:rPr>
                <w:rFonts w:hint="default" w:ascii="Times New Roman" w:hAnsi="Times New Roman" w:cs="Times New Roman"/>
                <w:color w:val="auto"/>
                <w:sz w:val="24"/>
                <w:highlight w:val="none"/>
              </w:rPr>
              <w:t>）年均浓度、臭氧（O</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）和一氧化碳（CO）均符合《环境空气质量标准》（GB3095-2012）二级标准，细颗粒物（PM</w:t>
            </w:r>
            <w:r>
              <w:rPr>
                <w:rFonts w:hint="default" w:ascii="Times New Roman" w:hAnsi="Times New Roman" w:cs="Times New Roman"/>
                <w:color w:val="auto"/>
                <w:sz w:val="24"/>
                <w:highlight w:val="none"/>
                <w:vertAlign w:val="subscript"/>
              </w:rPr>
              <w:t>2.5</w:t>
            </w:r>
            <w:r>
              <w:rPr>
                <w:rFonts w:hint="default" w:ascii="Times New Roman" w:hAnsi="Times New Roman" w:cs="Times New Roman"/>
                <w:color w:val="auto"/>
                <w:sz w:val="24"/>
                <w:highlight w:val="none"/>
              </w:rPr>
              <w:t>）年均浓度超过《环境空气质量标准》（GB3095-2012）二级标准。项目仅施工期废气，主要有施工扬尘</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车辆和施工机械尾气</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通过洒水抑尘等方式减小</w:t>
            </w:r>
            <w:r>
              <w:rPr>
                <w:rFonts w:hint="eastAsia" w:cs="Times New Roman"/>
                <w:color w:val="auto"/>
                <w:sz w:val="24"/>
                <w:highlight w:val="none"/>
                <w:lang w:val="en-US" w:eastAsia="zh-CN"/>
              </w:rPr>
              <w:t>扬尘</w:t>
            </w:r>
            <w:r>
              <w:rPr>
                <w:rFonts w:hint="default" w:ascii="Times New Roman" w:hAnsi="Times New Roman" w:cs="Times New Roman"/>
                <w:color w:val="auto"/>
                <w:sz w:val="24"/>
                <w:highlight w:val="none"/>
              </w:rPr>
              <w:t>影响</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本项目在采用相应的污染防治措施后各污染物均能达标排放，对周围环境影响较小，本项目的建设不会恶化区域环境质量功能，不会触碰区域环境质量底线。</w:t>
            </w:r>
          </w:p>
          <w:p w14:paraId="06823AEB">
            <w:pPr>
              <w:pStyle w:val="27"/>
              <w:adjustRightInd/>
              <w:snapToGrid/>
              <w:ind w:firstLine="48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②地表水环境</w:t>
            </w:r>
          </w:p>
          <w:p w14:paraId="7D7163AE">
            <w:pPr>
              <w:pStyle w:val="27"/>
              <w:adjustRightInd/>
              <w:snapToGrid/>
              <w:ind w:firstLine="48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根据淮南市生态环境局发布的《2024年淮南市生态环境质量状况公报》，2024年淮南市地表水24个监测断面中优良水质比例为91.7%，比上年下降了4.1个百分点，Ⅳ类水质比例8.3%，总体水质状况优。</w:t>
            </w:r>
          </w:p>
          <w:p w14:paraId="38A2F367">
            <w:pPr>
              <w:pStyle w:val="27"/>
              <w:adjustRightInd/>
              <w:snapToGrid/>
              <w:ind w:firstLine="480"/>
              <w:jc w:val="both"/>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河流：全市辖区内淮河干流水质状况为优，永幸河和丁家沟水质状况为优，西淝河、东淝河、架河、泥河、万小河、瓦西干渠、陡涧河和便民沟水质状况为良好。20个监测断面中优良水质比例为100%，与去年持平。其中黄圩和丁家沟河口断面水质均有所好转（Ⅲ类→Ⅱ类），五里闸（II类→Ⅲ类）和西淝河闸下（II类→Ⅲ类）水质均有所下降，其他断面水质保持稳定。本项目施工期无废水外排，项目区不设置员工食宿，员工食宿依托附近村庄，生活污水经化粪池处理后定期清掏用于当地农作物施肥。项目实施钻井仅为施工期，每个井场需要对车辆冲洗</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车辆清洗废水经沉淀池沉淀后循环使用，不外排；每个井场钻探废水经沉淀后回用于钻探</w:t>
            </w:r>
            <w:r>
              <w:rPr>
                <w:rFonts w:hint="eastAsia" w:cs="Times New Roman"/>
                <w:color w:val="auto"/>
                <w:sz w:val="24"/>
                <w:highlight w:val="none"/>
                <w:lang w:val="en-US" w:eastAsia="zh-CN"/>
              </w:rPr>
              <w:t>工序，</w:t>
            </w:r>
            <w:r>
              <w:rPr>
                <w:rFonts w:hint="default" w:ascii="Times New Roman" w:hAnsi="Times New Roman" w:cs="Times New Roman"/>
                <w:color w:val="auto"/>
                <w:sz w:val="24"/>
                <w:highlight w:val="none"/>
              </w:rPr>
              <w:t>不直接排入地表水环境</w:t>
            </w:r>
            <w:r>
              <w:rPr>
                <w:rFonts w:hint="eastAsia" w:cs="Times New Roman"/>
                <w:color w:val="auto"/>
                <w:sz w:val="24"/>
                <w:highlight w:val="none"/>
                <w:lang w:eastAsia="zh-CN"/>
              </w:rPr>
              <w:t>。</w:t>
            </w:r>
          </w:p>
          <w:p w14:paraId="324174AF">
            <w:pPr>
              <w:pStyle w:val="27"/>
              <w:adjustRightInd/>
              <w:snapToGrid/>
              <w:ind w:firstLine="48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综上</w:t>
            </w:r>
            <w:r>
              <w:rPr>
                <w:rFonts w:hint="default" w:ascii="Times New Roman" w:hAnsi="Times New Roman" w:cs="Times New Roman"/>
                <w:color w:val="auto"/>
                <w:sz w:val="24"/>
                <w:highlight w:val="none"/>
                <w:lang w:val="en-US" w:eastAsia="zh-CN"/>
              </w:rPr>
              <w:t>所述</w:t>
            </w:r>
            <w:r>
              <w:rPr>
                <w:rFonts w:hint="default" w:ascii="Times New Roman" w:hAnsi="Times New Roman" w:cs="Times New Roman"/>
                <w:color w:val="auto"/>
                <w:sz w:val="24"/>
                <w:highlight w:val="none"/>
              </w:rPr>
              <w:t>，项目废气</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废水在采取报告表提出的治理措施后，能够达到相应的标准要求，对周边环境影响较小。因此本项目符合环境质量底线要求。</w:t>
            </w:r>
          </w:p>
          <w:p w14:paraId="26547770">
            <w:pPr>
              <w:autoSpaceDE w:val="0"/>
              <w:autoSpaceDN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（4）资源利用上线</w:t>
            </w:r>
          </w:p>
          <w:p w14:paraId="2F9E594C">
            <w:pPr>
              <w:autoSpaceDE w:val="0"/>
              <w:autoSpaceDN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项目</w:t>
            </w:r>
            <w:r>
              <w:rPr>
                <w:rFonts w:hint="eastAsia" w:ascii="Times New Roman" w:hAnsi="Times New Roman" w:cs="Times New Roman"/>
                <w:color w:val="auto"/>
                <w:kern w:val="0"/>
                <w:sz w:val="24"/>
                <w:lang w:val="en-US" w:eastAsia="zh-CN"/>
              </w:rPr>
              <w:t>施工用水依托井场周边村庄，采用罐车拉运生产用水，生活用水为桶装纯净水</w:t>
            </w:r>
            <w:r>
              <w:rPr>
                <w:rFonts w:hint="default" w:ascii="Times New Roman" w:hAnsi="Times New Roman" w:cs="Times New Roman"/>
                <w:color w:val="auto"/>
                <w:kern w:val="0"/>
                <w:sz w:val="24"/>
              </w:rPr>
              <w:t>，</w:t>
            </w:r>
            <w:r>
              <w:rPr>
                <w:rFonts w:hint="eastAsia" w:ascii="Times New Roman" w:hAnsi="Times New Roman" w:cs="Times New Roman"/>
                <w:color w:val="auto"/>
                <w:kern w:val="0"/>
                <w:sz w:val="24"/>
                <w:lang w:val="en-US" w:eastAsia="zh-CN"/>
              </w:rPr>
              <w:t>用电依托当地供电系统</w:t>
            </w:r>
            <w:r>
              <w:rPr>
                <w:rFonts w:hint="default" w:ascii="Times New Roman" w:hAnsi="Times New Roman" w:cs="Times New Roman"/>
                <w:color w:val="auto"/>
                <w:kern w:val="0"/>
                <w:sz w:val="24"/>
              </w:rPr>
              <w:t>，项目不会突破当地资源利用上线；符合当地规划要求，亦不会达到资源利用上线。</w:t>
            </w:r>
          </w:p>
          <w:p w14:paraId="21F93531">
            <w:pPr>
              <w:spacing w:line="360" w:lineRule="auto"/>
              <w:ind w:firstLine="482"/>
              <w:rPr>
                <w:rFonts w:hint="default" w:ascii="Times New Roman" w:hAnsi="Times New Roman" w:cs="Times New Roman"/>
                <w:color w:val="auto"/>
                <w:sz w:val="24"/>
              </w:rPr>
            </w:pPr>
            <w:r>
              <w:rPr>
                <w:rFonts w:hint="default" w:ascii="Times New Roman" w:hAnsi="Times New Roman" w:cs="Times New Roman"/>
                <w:color w:val="auto"/>
                <w:sz w:val="24"/>
              </w:rPr>
              <w:t>（5）生态环境准入清单</w:t>
            </w:r>
          </w:p>
          <w:p w14:paraId="747CFD14">
            <w:pPr>
              <w:pStyle w:val="9"/>
              <w:snapToGrid/>
              <w:spacing w:before="0" w:after="0" w:line="360" w:lineRule="auto"/>
              <w:ind w:right="0"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本项目位于淮南市</w:t>
            </w:r>
            <w:r>
              <w:rPr>
                <w:rFonts w:hint="eastAsia" w:ascii="Times New Roman" w:hAnsi="Times New Roman" w:cs="Times New Roman"/>
                <w:color w:val="auto"/>
                <w:sz w:val="24"/>
                <w:szCs w:val="24"/>
                <w:lang w:val="en-US" w:eastAsia="zh-CN"/>
              </w:rPr>
              <w:t>潘集区贺疃镇</w:t>
            </w:r>
            <w:r>
              <w:rPr>
                <w:rFonts w:hint="default" w:ascii="Times New Roman" w:hAnsi="Times New Roman" w:cs="Times New Roman"/>
                <w:color w:val="auto"/>
                <w:sz w:val="24"/>
                <w:szCs w:val="24"/>
                <w:lang w:val="en-US" w:eastAsia="zh-CN"/>
              </w:rPr>
              <w:t>境内，经与安徽省“三线一单”公众服务平台查询分析可知，本项目</w:t>
            </w:r>
            <w:r>
              <w:rPr>
                <w:rFonts w:hint="eastAsia" w:ascii="Times New Roman" w:hAnsi="Times New Roman" w:cs="Times New Roman"/>
                <w:color w:val="auto"/>
                <w:sz w:val="24"/>
                <w:szCs w:val="24"/>
                <w:lang w:val="en-US" w:eastAsia="zh-CN"/>
              </w:rPr>
              <w:t>13个井场均</w:t>
            </w:r>
            <w:r>
              <w:rPr>
                <w:rFonts w:hint="default" w:ascii="Times New Roman" w:hAnsi="Times New Roman" w:cs="Times New Roman"/>
                <w:color w:val="auto"/>
                <w:sz w:val="24"/>
                <w:szCs w:val="24"/>
                <w:lang w:val="en-US" w:eastAsia="zh-CN"/>
              </w:rPr>
              <w:t>与1个环境管控单元存在交叠（环境管控单元编码ZH34040630004），其中优先保护类0个，重点管控类0个，一般管控类1个，属于一般管控单元</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lang w:val="en-US" w:eastAsia="zh-CN"/>
              </w:rPr>
              <w:t>。</w:t>
            </w:r>
          </w:p>
          <w:p w14:paraId="7D4D7944">
            <w:pPr>
              <w:pStyle w:val="28"/>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表1-6 环境准入负面清单分析对照</w:t>
            </w:r>
          </w:p>
          <w:tbl>
            <w:tblPr>
              <w:tblStyle w:val="1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750"/>
              <w:gridCol w:w="723"/>
              <w:gridCol w:w="532"/>
              <w:gridCol w:w="2550"/>
              <w:gridCol w:w="1786"/>
              <w:gridCol w:w="745"/>
            </w:tblGrid>
            <w:tr w14:paraId="2E974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 w:type="pct"/>
                  <w:vAlign w:val="center"/>
                </w:tcPr>
                <w:p w14:paraId="440B35C7">
                  <w:pPr>
                    <w:spacing w:line="240" w:lineRule="auto"/>
                    <w:jc w:val="center"/>
                    <w:rPr>
                      <w:rFonts w:hint="eastAsia" w:ascii="Times New Roman" w:hAnsi="Times New Roman" w:eastAsia="宋体" w:cs="Times New Roman"/>
                      <w:color w:val="auto"/>
                      <w:szCs w:val="21"/>
                      <w:highlight w:val="none"/>
                      <w:lang w:val="zh-CN" w:eastAsia="zh-CN"/>
                    </w:rPr>
                  </w:pPr>
                  <w:r>
                    <w:rPr>
                      <w:rFonts w:hint="eastAsia" w:ascii="Times New Roman" w:hAnsi="Times New Roman" w:eastAsia="宋体" w:cs="Times New Roman"/>
                      <w:color w:val="auto"/>
                      <w:szCs w:val="21"/>
                      <w:highlight w:val="none"/>
                      <w:lang w:val="zh-CN" w:eastAsia="zh-CN"/>
                    </w:rPr>
                    <w:t>环境管控单元编码</w:t>
                  </w:r>
                </w:p>
              </w:tc>
              <w:tc>
                <w:tcPr>
                  <w:tcW w:w="485" w:type="pct"/>
                  <w:vAlign w:val="center"/>
                </w:tcPr>
                <w:p w14:paraId="62B98F93">
                  <w:pPr>
                    <w:spacing w:line="240" w:lineRule="auto"/>
                    <w:jc w:val="center"/>
                    <w:rPr>
                      <w:rFonts w:hint="eastAsia" w:ascii="Times New Roman" w:hAnsi="Times New Roman" w:eastAsia="宋体" w:cs="Times New Roman"/>
                      <w:color w:val="auto"/>
                      <w:szCs w:val="21"/>
                      <w:highlight w:val="none"/>
                      <w:lang w:val="zh-CN" w:eastAsia="zh-CN"/>
                    </w:rPr>
                  </w:pPr>
                  <w:r>
                    <w:rPr>
                      <w:rFonts w:hint="eastAsia" w:ascii="Times New Roman" w:hAnsi="Times New Roman" w:eastAsia="宋体" w:cs="Times New Roman"/>
                      <w:color w:val="auto"/>
                      <w:szCs w:val="21"/>
                      <w:highlight w:val="none"/>
                      <w:lang w:val="zh-CN" w:eastAsia="zh-CN"/>
                    </w:rPr>
                    <w:t>环境管控单元名称</w:t>
                  </w:r>
                </w:p>
              </w:tc>
              <w:tc>
                <w:tcPr>
                  <w:tcW w:w="467" w:type="pct"/>
                  <w:vAlign w:val="center"/>
                </w:tcPr>
                <w:p w14:paraId="24E244DE">
                  <w:pPr>
                    <w:spacing w:line="240" w:lineRule="auto"/>
                    <w:jc w:val="center"/>
                    <w:rPr>
                      <w:rFonts w:hint="eastAsia" w:ascii="Times New Roman" w:hAnsi="Times New Roman" w:eastAsia="宋体" w:cs="Times New Roman"/>
                      <w:color w:val="auto"/>
                      <w:szCs w:val="21"/>
                      <w:highlight w:val="none"/>
                      <w:lang w:val="zh-CN" w:eastAsia="zh-CN"/>
                    </w:rPr>
                  </w:pPr>
                  <w:r>
                    <w:rPr>
                      <w:rFonts w:hint="eastAsia" w:ascii="Times New Roman" w:hAnsi="Times New Roman" w:eastAsia="宋体" w:cs="Times New Roman"/>
                      <w:color w:val="auto"/>
                      <w:szCs w:val="21"/>
                      <w:highlight w:val="none"/>
                      <w:lang w:val="zh-CN" w:eastAsia="zh-CN"/>
                    </w:rPr>
                    <w:t>环境管控单元分类</w:t>
                  </w:r>
                </w:p>
              </w:tc>
              <w:tc>
                <w:tcPr>
                  <w:tcW w:w="344" w:type="pct"/>
                  <w:vAlign w:val="center"/>
                </w:tcPr>
                <w:p w14:paraId="4B7A87F3">
                  <w:pPr>
                    <w:spacing w:line="240" w:lineRule="auto"/>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管控类别</w:t>
                  </w:r>
                </w:p>
              </w:tc>
              <w:tc>
                <w:tcPr>
                  <w:tcW w:w="1649" w:type="pct"/>
                  <w:vAlign w:val="center"/>
                </w:tcPr>
                <w:p w14:paraId="606FB27E">
                  <w:pPr>
                    <w:spacing w:line="240" w:lineRule="auto"/>
                    <w:jc w:val="center"/>
                    <w:rPr>
                      <w:rFonts w:hint="eastAsia" w:ascii="Times New Roman" w:hAnsi="Times New Roman" w:eastAsia="宋体" w:cs="Times New Roman"/>
                      <w:color w:val="auto"/>
                      <w:szCs w:val="21"/>
                      <w:highlight w:val="none"/>
                      <w:lang w:val="zh-CN" w:eastAsia="zh-CN"/>
                    </w:rPr>
                  </w:pPr>
                  <w:r>
                    <w:rPr>
                      <w:rFonts w:hint="eastAsia" w:ascii="Times New Roman" w:hAnsi="Times New Roman" w:eastAsia="宋体" w:cs="Times New Roman"/>
                      <w:color w:val="auto"/>
                      <w:szCs w:val="21"/>
                      <w:highlight w:val="none"/>
                      <w:lang w:val="zh-CN" w:eastAsia="zh-CN"/>
                    </w:rPr>
                    <w:t>管控要求</w:t>
                  </w:r>
                </w:p>
              </w:tc>
              <w:tc>
                <w:tcPr>
                  <w:tcW w:w="1155" w:type="pct"/>
                  <w:vAlign w:val="center"/>
                </w:tcPr>
                <w:p w14:paraId="122CB50E">
                  <w:pPr>
                    <w:spacing w:line="240" w:lineRule="auto"/>
                    <w:jc w:val="center"/>
                    <w:rPr>
                      <w:rFonts w:hint="eastAsia" w:ascii="Times New Roman" w:hAnsi="Times New Roman" w:eastAsia="宋体" w:cs="Times New Roman"/>
                      <w:color w:val="auto"/>
                      <w:szCs w:val="21"/>
                      <w:highlight w:val="none"/>
                      <w:lang w:val="zh-CN" w:eastAsia="zh-CN"/>
                    </w:rPr>
                  </w:pPr>
                  <w:r>
                    <w:rPr>
                      <w:rFonts w:hint="eastAsia" w:ascii="Times New Roman" w:hAnsi="Times New Roman" w:eastAsia="宋体" w:cs="Times New Roman"/>
                      <w:color w:val="auto"/>
                      <w:szCs w:val="21"/>
                      <w:highlight w:val="none"/>
                      <w:lang w:val="zh-CN" w:eastAsia="zh-CN"/>
                    </w:rPr>
                    <w:t>本项目情况</w:t>
                  </w:r>
                </w:p>
              </w:tc>
              <w:tc>
                <w:tcPr>
                  <w:tcW w:w="482" w:type="pct"/>
                  <w:vAlign w:val="center"/>
                </w:tcPr>
                <w:p w14:paraId="7AF0E115">
                  <w:pPr>
                    <w:spacing w:line="240" w:lineRule="auto"/>
                    <w:jc w:val="center"/>
                    <w:rPr>
                      <w:rFonts w:hint="eastAsia" w:ascii="Times New Roman" w:hAnsi="Times New Roman" w:eastAsia="宋体" w:cs="Times New Roman"/>
                      <w:color w:val="auto"/>
                      <w:szCs w:val="21"/>
                      <w:highlight w:val="none"/>
                      <w:lang w:val="zh-CN" w:eastAsia="zh-CN"/>
                    </w:rPr>
                  </w:pPr>
                  <w:r>
                    <w:rPr>
                      <w:rFonts w:hint="eastAsia" w:ascii="Times New Roman" w:hAnsi="Times New Roman" w:eastAsia="宋体" w:cs="Times New Roman"/>
                      <w:color w:val="auto"/>
                      <w:szCs w:val="21"/>
                      <w:highlight w:val="none"/>
                      <w:lang w:val="zh-CN" w:eastAsia="zh-CN"/>
                    </w:rPr>
                    <w:t>符合性分析</w:t>
                  </w:r>
                </w:p>
              </w:tc>
            </w:tr>
            <w:tr w14:paraId="50F3B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2" w:hRule="atLeast"/>
              </w:trPr>
              <w:tc>
                <w:tcPr>
                  <w:tcW w:w="415" w:type="pct"/>
                  <w:vMerge w:val="restart"/>
                  <w:vAlign w:val="center"/>
                </w:tcPr>
                <w:p w14:paraId="3D72C846">
                  <w:pPr>
                    <w:spacing w:line="240" w:lineRule="auto"/>
                    <w:jc w:val="center"/>
                    <w:rPr>
                      <w:rFonts w:hint="eastAsia" w:ascii="Times New Roman" w:hAnsi="Times New Roman" w:eastAsia="宋体" w:cs="Times New Roman"/>
                      <w:color w:val="auto"/>
                      <w:szCs w:val="21"/>
                      <w:highlight w:val="none"/>
                      <w:lang w:val="zh-CN"/>
                    </w:rPr>
                  </w:pPr>
                  <w:r>
                    <w:rPr>
                      <w:rFonts w:hint="eastAsia" w:ascii="Times New Roman" w:hAnsi="Times New Roman" w:eastAsia="宋体" w:cs="Times New Roman"/>
                      <w:color w:val="auto"/>
                      <w:szCs w:val="21"/>
                      <w:highlight w:val="none"/>
                      <w:lang w:val="zh-CN"/>
                    </w:rPr>
                    <w:t>ZH340</w:t>
                  </w:r>
                  <w:r>
                    <w:rPr>
                      <w:rFonts w:hint="eastAsia" w:ascii="Times New Roman" w:hAnsi="Times New Roman" w:eastAsia="宋体" w:cs="Times New Roman"/>
                      <w:color w:val="auto"/>
                      <w:szCs w:val="21"/>
                      <w:highlight w:val="none"/>
                      <w:lang w:val="en-US" w:eastAsia="zh-CN"/>
                    </w:rPr>
                    <w:t>406</w:t>
                  </w:r>
                  <w:r>
                    <w:rPr>
                      <w:rFonts w:hint="eastAsia" w:ascii="Times New Roman" w:hAnsi="Times New Roman" w:eastAsia="宋体" w:cs="Times New Roman"/>
                      <w:color w:val="auto"/>
                      <w:szCs w:val="21"/>
                      <w:highlight w:val="none"/>
                      <w:lang w:val="zh-CN"/>
                    </w:rPr>
                    <w:t>3000</w:t>
                  </w:r>
                  <w:r>
                    <w:rPr>
                      <w:rFonts w:hint="eastAsia" w:ascii="Times New Roman" w:hAnsi="Times New Roman" w:eastAsia="宋体" w:cs="Times New Roman"/>
                      <w:color w:val="auto"/>
                      <w:szCs w:val="21"/>
                      <w:highlight w:val="none"/>
                      <w:lang w:val="en-US" w:eastAsia="zh-CN"/>
                    </w:rPr>
                    <w:t>4</w:t>
                  </w:r>
                </w:p>
              </w:tc>
              <w:tc>
                <w:tcPr>
                  <w:tcW w:w="485" w:type="pct"/>
                  <w:vMerge w:val="restart"/>
                  <w:vAlign w:val="center"/>
                </w:tcPr>
                <w:p w14:paraId="56C01F82">
                  <w:pPr>
                    <w:spacing w:line="240" w:lineRule="auto"/>
                    <w:jc w:val="center"/>
                    <w:rPr>
                      <w:rFonts w:hint="eastAsia" w:ascii="Times New Roman" w:hAnsi="Times New Roman" w:eastAsia="宋体" w:cs="Times New Roman"/>
                      <w:color w:val="auto"/>
                      <w:szCs w:val="21"/>
                      <w:highlight w:val="none"/>
                      <w:lang w:val="zh-CN" w:eastAsia="zh-CN"/>
                    </w:rPr>
                  </w:pPr>
                  <w:r>
                    <w:rPr>
                      <w:rFonts w:hint="eastAsia" w:ascii="Times New Roman" w:hAnsi="Times New Roman" w:eastAsia="宋体" w:cs="Times New Roman"/>
                      <w:color w:val="auto"/>
                      <w:szCs w:val="21"/>
                      <w:highlight w:val="none"/>
                      <w:lang w:val="zh-CN"/>
                    </w:rPr>
                    <w:t>一般管控单元</w:t>
                  </w:r>
                  <w:r>
                    <w:rPr>
                      <w:rFonts w:hint="eastAsia" w:ascii="Times New Roman" w:hAnsi="Times New Roman" w:eastAsia="宋体" w:cs="Times New Roman"/>
                      <w:color w:val="auto"/>
                      <w:szCs w:val="21"/>
                      <w:highlight w:val="none"/>
                      <w:lang w:val="en-US" w:eastAsia="zh-CN"/>
                    </w:rPr>
                    <w:t>5</w:t>
                  </w:r>
                </w:p>
              </w:tc>
              <w:tc>
                <w:tcPr>
                  <w:tcW w:w="467" w:type="pct"/>
                  <w:vMerge w:val="restart"/>
                  <w:vAlign w:val="center"/>
                </w:tcPr>
                <w:p w14:paraId="0EEA5FBF">
                  <w:pPr>
                    <w:spacing w:line="240" w:lineRule="auto"/>
                    <w:jc w:val="center"/>
                    <w:rPr>
                      <w:rFonts w:hint="eastAsia" w:ascii="Times New Roman" w:hAnsi="Times New Roman" w:eastAsia="宋体" w:cs="Times New Roman"/>
                      <w:color w:val="auto"/>
                      <w:szCs w:val="21"/>
                      <w:highlight w:val="none"/>
                      <w:lang w:val="zh-CN" w:eastAsia="zh-CN"/>
                    </w:rPr>
                  </w:pPr>
                  <w:r>
                    <w:rPr>
                      <w:rFonts w:hint="eastAsia" w:ascii="Times New Roman" w:hAnsi="Times New Roman" w:eastAsia="宋体" w:cs="Times New Roman"/>
                      <w:color w:val="auto"/>
                      <w:szCs w:val="21"/>
                      <w:highlight w:val="none"/>
                      <w:lang w:val="zh-CN"/>
                    </w:rPr>
                    <w:t>一般管控单元</w:t>
                  </w:r>
                </w:p>
              </w:tc>
              <w:tc>
                <w:tcPr>
                  <w:tcW w:w="344" w:type="pct"/>
                  <w:vAlign w:val="center"/>
                </w:tcPr>
                <w:p w14:paraId="5CBFA371">
                  <w:pPr>
                    <w:spacing w:line="240" w:lineRule="auto"/>
                    <w:jc w:val="center"/>
                    <w:rPr>
                      <w:rFonts w:hint="eastAsia" w:ascii="Times New Roman" w:hAnsi="Times New Roman" w:eastAsia="宋体" w:cs="Times New Roman"/>
                      <w:color w:val="auto"/>
                      <w:szCs w:val="21"/>
                      <w:highlight w:val="none"/>
                      <w:lang w:val="zh-CN" w:eastAsia="zh-CN"/>
                    </w:rPr>
                  </w:pPr>
                  <w:r>
                    <w:rPr>
                      <w:rFonts w:hint="eastAsia" w:ascii="Times New Roman" w:hAnsi="Times New Roman" w:eastAsia="宋体" w:cs="Times New Roman"/>
                      <w:color w:val="auto"/>
                      <w:szCs w:val="21"/>
                      <w:highlight w:val="none"/>
                      <w:lang w:val="zh-CN" w:eastAsia="zh-CN"/>
                    </w:rPr>
                    <w:t>空间布局约束</w:t>
                  </w:r>
                </w:p>
              </w:tc>
              <w:tc>
                <w:tcPr>
                  <w:tcW w:w="1649" w:type="pct"/>
                  <w:vAlign w:val="center"/>
                </w:tcPr>
                <w:p w14:paraId="4445E342">
                  <w:pPr>
                    <w:spacing w:line="240" w:lineRule="auto"/>
                    <w:jc w:val="center"/>
                    <w:rPr>
                      <w:rFonts w:hint="eastAsia" w:ascii="Times New Roman" w:hAnsi="Times New Roman" w:eastAsia="宋体" w:cs="Times New Roman"/>
                      <w:color w:val="auto"/>
                      <w:szCs w:val="21"/>
                      <w:highlight w:val="none"/>
                      <w:lang w:val="zh-CN" w:eastAsia="zh-CN"/>
                    </w:rPr>
                  </w:pPr>
                  <w:r>
                    <w:rPr>
                      <w:rFonts w:hint="eastAsia" w:ascii="Times New Roman" w:hAnsi="Times New Roman" w:eastAsia="宋体" w:cs="Times New Roman"/>
                      <w:color w:val="auto"/>
                      <w:szCs w:val="21"/>
                      <w:highlight w:val="none"/>
                      <w:lang w:val="zh-CN" w:eastAsia="zh-CN"/>
                    </w:rPr>
                    <w:t>1、禁止任何单位和个人在基本农田保护区内建窑、建房、建坟、挖砂、采石、采矿、取土、堆放固体废弃物或者进行其他破坏基本农田的活动；2、在永久基本农田集中区域，不得规划新建可能造成土壤污染的建设项目；3、实行耕地保护补偿激励制度，具体按照国家和省有关规定执行。加大优先保护类耕地保护力度，综合采取占补数量和质量平衡、高标准农田建设、周边污染企业搬迁整治等措施；4、优先保护类耕地集中区域现有可能造成土壤污染的相关行业企业应当按照有关规定采取措施，防止对耕地造成污染。</w:t>
                  </w:r>
                </w:p>
              </w:tc>
              <w:tc>
                <w:tcPr>
                  <w:tcW w:w="1155" w:type="pct"/>
                  <w:vAlign w:val="center"/>
                </w:tcPr>
                <w:p w14:paraId="7E1FB6DB">
                  <w:pPr>
                    <w:pStyle w:val="49"/>
                    <w:spacing w:line="240" w:lineRule="auto"/>
                    <w:ind w:left="0" w:leftChars="0" w:firstLine="0" w:firstLineChars="0"/>
                    <w:jc w:val="center"/>
                    <w:rPr>
                      <w:rFonts w:hint="eastAsia"/>
                      <w:color w:val="auto"/>
                      <w:vertAlign w:val="baseline"/>
                      <w:lang w:eastAsia="zh-CN"/>
                    </w:rPr>
                  </w:pPr>
                  <w:r>
                    <w:rPr>
                      <w:rFonts w:hint="eastAsia" w:ascii="Times New Roman" w:hAnsi="Times New Roman" w:eastAsia="宋体" w:cs="Times New Roman"/>
                      <w:color w:val="auto"/>
                      <w:kern w:val="2"/>
                      <w:sz w:val="21"/>
                      <w:szCs w:val="21"/>
                      <w:highlight w:val="none"/>
                      <w:lang w:val="zh-CN" w:eastAsia="zh-CN" w:bidi="ar-SA"/>
                    </w:rPr>
                    <w:t>本项目临时占用永久基本农田进行固体资源矿产地质勘查工作，占地不涉及生态保护红线)，项目已按照临时用地相关政策要求编制完成复垦方案并取得了淮南市自然资源和规划局潘集分局出具了本项目临时用地初审意见。本项目施工完成后将按照已批复的土地复垦方案进行土地复垦，及时恢复种植条件。</w:t>
                  </w:r>
                </w:p>
              </w:tc>
              <w:tc>
                <w:tcPr>
                  <w:tcW w:w="482" w:type="pct"/>
                  <w:vAlign w:val="center"/>
                </w:tcPr>
                <w:p w14:paraId="5210008E">
                  <w:pPr>
                    <w:pStyle w:val="49"/>
                    <w:spacing w:line="240" w:lineRule="auto"/>
                    <w:ind w:left="0" w:leftChars="0" w:firstLine="0" w:firstLineChars="0"/>
                    <w:jc w:val="center"/>
                    <w:rPr>
                      <w:rFonts w:hint="eastAsia"/>
                      <w:color w:val="auto"/>
                      <w:vertAlign w:val="baseline"/>
                      <w:lang w:eastAsia="zh-CN"/>
                    </w:rPr>
                  </w:pPr>
                  <w:r>
                    <w:rPr>
                      <w:rFonts w:hint="eastAsia"/>
                      <w:color w:val="auto"/>
                      <w:vertAlign w:val="baseline"/>
                      <w:lang w:eastAsia="zh-CN"/>
                    </w:rPr>
                    <w:t>符合</w:t>
                  </w:r>
                </w:p>
              </w:tc>
            </w:tr>
            <w:tr w14:paraId="254FB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3" w:hRule="atLeast"/>
              </w:trPr>
              <w:tc>
                <w:tcPr>
                  <w:tcW w:w="415" w:type="pct"/>
                  <w:vMerge w:val="continue"/>
                  <w:vAlign w:val="center"/>
                </w:tcPr>
                <w:p w14:paraId="652F35D8">
                  <w:pPr>
                    <w:spacing w:line="240" w:lineRule="auto"/>
                    <w:jc w:val="center"/>
                    <w:rPr>
                      <w:rFonts w:hint="eastAsia"/>
                      <w:color w:val="auto"/>
                      <w:sz w:val="24"/>
                      <w:szCs w:val="24"/>
                    </w:rPr>
                  </w:pPr>
                </w:p>
              </w:tc>
              <w:tc>
                <w:tcPr>
                  <w:tcW w:w="485" w:type="pct"/>
                  <w:vMerge w:val="continue"/>
                  <w:vAlign w:val="center"/>
                </w:tcPr>
                <w:p w14:paraId="7DB1623A">
                  <w:pPr>
                    <w:spacing w:line="240" w:lineRule="auto"/>
                    <w:jc w:val="center"/>
                    <w:rPr>
                      <w:rFonts w:hint="eastAsia" w:ascii="Times New Roman" w:hAnsi="Times New Roman" w:eastAsia="宋体" w:cs="Times New Roman"/>
                      <w:color w:val="auto"/>
                      <w:szCs w:val="21"/>
                      <w:highlight w:val="none"/>
                      <w:lang w:val="zh-CN"/>
                    </w:rPr>
                  </w:pPr>
                </w:p>
              </w:tc>
              <w:tc>
                <w:tcPr>
                  <w:tcW w:w="467" w:type="pct"/>
                  <w:vMerge w:val="continue"/>
                  <w:vAlign w:val="center"/>
                </w:tcPr>
                <w:p w14:paraId="09476E50">
                  <w:pPr>
                    <w:spacing w:line="240" w:lineRule="auto"/>
                    <w:jc w:val="center"/>
                    <w:rPr>
                      <w:rFonts w:hint="eastAsia" w:ascii="Times New Roman" w:hAnsi="Times New Roman" w:eastAsia="宋体" w:cs="Times New Roman"/>
                      <w:color w:val="auto"/>
                      <w:szCs w:val="21"/>
                      <w:highlight w:val="none"/>
                      <w:lang w:val="zh-CN"/>
                    </w:rPr>
                  </w:pPr>
                </w:p>
              </w:tc>
              <w:tc>
                <w:tcPr>
                  <w:tcW w:w="344" w:type="pct"/>
                  <w:vAlign w:val="center"/>
                </w:tcPr>
                <w:p w14:paraId="78E0FD3F">
                  <w:pPr>
                    <w:spacing w:line="240"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rPr>
                    <w:t>污染物排放管控</w:t>
                  </w:r>
                </w:p>
              </w:tc>
              <w:tc>
                <w:tcPr>
                  <w:tcW w:w="1649" w:type="pct"/>
                  <w:vAlign w:val="center"/>
                </w:tcPr>
                <w:p w14:paraId="562D949F">
                  <w:pPr>
                    <w:spacing w:line="240" w:lineRule="auto"/>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c>
                <w:tcPr>
                  <w:tcW w:w="1155" w:type="pct"/>
                  <w:vAlign w:val="center"/>
                </w:tcPr>
                <w:p w14:paraId="492D8073">
                  <w:pPr>
                    <w:pStyle w:val="49"/>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482" w:type="pct"/>
                  <w:vAlign w:val="center"/>
                </w:tcPr>
                <w:p w14:paraId="17912228">
                  <w:pPr>
                    <w:pStyle w:val="49"/>
                    <w:spacing w:line="240" w:lineRule="auto"/>
                    <w:ind w:left="0" w:leftChars="0" w:firstLine="0" w:firstLineChars="0"/>
                    <w:jc w:val="center"/>
                    <w:rPr>
                      <w:rFonts w:hint="default"/>
                      <w:color w:val="auto"/>
                      <w:vertAlign w:val="baseline"/>
                      <w:lang w:val="en-US" w:eastAsia="zh-CN"/>
                    </w:rPr>
                  </w:pPr>
                  <w:r>
                    <w:rPr>
                      <w:rFonts w:hint="eastAsia"/>
                      <w:color w:val="auto"/>
                      <w:vertAlign w:val="baseline"/>
                      <w:lang w:val="en-US" w:eastAsia="zh-CN"/>
                    </w:rPr>
                    <w:t>/</w:t>
                  </w:r>
                </w:p>
              </w:tc>
            </w:tr>
            <w:tr w14:paraId="5648F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2" w:hRule="atLeast"/>
              </w:trPr>
              <w:tc>
                <w:tcPr>
                  <w:tcW w:w="415" w:type="pct"/>
                  <w:vMerge w:val="continue"/>
                  <w:vAlign w:val="center"/>
                </w:tcPr>
                <w:p w14:paraId="5BD47D80">
                  <w:pPr>
                    <w:spacing w:line="240" w:lineRule="auto"/>
                    <w:jc w:val="center"/>
                    <w:rPr>
                      <w:rFonts w:hint="eastAsia"/>
                      <w:color w:val="auto"/>
                      <w:sz w:val="24"/>
                      <w:szCs w:val="24"/>
                    </w:rPr>
                  </w:pPr>
                </w:p>
              </w:tc>
              <w:tc>
                <w:tcPr>
                  <w:tcW w:w="485" w:type="pct"/>
                  <w:vMerge w:val="continue"/>
                  <w:vAlign w:val="center"/>
                </w:tcPr>
                <w:p w14:paraId="131B3CDC">
                  <w:pPr>
                    <w:spacing w:line="240" w:lineRule="auto"/>
                    <w:jc w:val="center"/>
                    <w:rPr>
                      <w:rFonts w:hint="eastAsia" w:ascii="Times New Roman" w:hAnsi="Times New Roman" w:eastAsia="宋体" w:cs="Times New Roman"/>
                      <w:color w:val="auto"/>
                      <w:szCs w:val="21"/>
                      <w:highlight w:val="none"/>
                      <w:lang w:val="zh-CN"/>
                    </w:rPr>
                  </w:pPr>
                </w:p>
              </w:tc>
              <w:tc>
                <w:tcPr>
                  <w:tcW w:w="467" w:type="pct"/>
                  <w:vMerge w:val="continue"/>
                  <w:vAlign w:val="center"/>
                </w:tcPr>
                <w:p w14:paraId="16E3EB7B">
                  <w:pPr>
                    <w:spacing w:line="240" w:lineRule="auto"/>
                    <w:jc w:val="center"/>
                    <w:rPr>
                      <w:rFonts w:hint="eastAsia" w:ascii="Times New Roman" w:hAnsi="Times New Roman" w:eastAsia="宋体" w:cs="Times New Roman"/>
                      <w:color w:val="auto"/>
                      <w:szCs w:val="21"/>
                      <w:highlight w:val="none"/>
                      <w:lang w:val="zh-CN"/>
                    </w:rPr>
                  </w:pPr>
                </w:p>
              </w:tc>
              <w:tc>
                <w:tcPr>
                  <w:tcW w:w="344" w:type="pct"/>
                  <w:vAlign w:val="center"/>
                </w:tcPr>
                <w:p w14:paraId="0FCA729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资源开发效率要求</w:t>
                  </w:r>
                </w:p>
              </w:tc>
              <w:tc>
                <w:tcPr>
                  <w:tcW w:w="1649" w:type="pct"/>
                  <w:vAlign w:val="center"/>
                </w:tcPr>
                <w:p w14:paraId="0571EDE5">
                  <w:pPr>
                    <w:spacing w:line="240" w:lineRule="auto"/>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上年度PM2.5不达标城市新建、改建和扩建项目大气污染物实施“倍量替代”，执行特别排放标准的行业实施提标升级改造；2、资源利用部分落实《安徽省煤炭消费减量替代工作方案（2018-2020年）》要求；3、水环境部分依据《中华人民共和国水污染防治法》《水污染防治行动计划》《安徽省水污染防治工作方案》及各市水污染防治工作方案对一般管控区实施管控；4、土壤环境部分依据《中华人民共和国土壤污染防治法》《土壤污染防治行动计划》《安徽省土壤污染防治工作方案》等要求及各市土壤污染防治工作方案对一般管控区实施管控。</w:t>
                  </w:r>
                </w:p>
              </w:tc>
              <w:tc>
                <w:tcPr>
                  <w:tcW w:w="1155" w:type="pct"/>
                  <w:vAlign w:val="center"/>
                </w:tcPr>
                <w:p w14:paraId="1B047E78">
                  <w:pPr>
                    <w:pStyle w:val="49"/>
                    <w:spacing w:line="240" w:lineRule="auto"/>
                    <w:ind w:left="0" w:leftChars="0" w:firstLine="0" w:firstLineChars="0"/>
                    <w:jc w:val="center"/>
                    <w:rPr>
                      <w:rFonts w:hint="eastAsia"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项目位于淮南市潘集区，所在评价区域为不达标区，本项目仅施工期废气，施工期影响主要为施工扬尘、机械尾气等。通过加强施工机械、车辆管理，进行物料覆盖，对施工道路进行固化、洒水处理等措施，施工期结束后环境污染立即消失对大气环境影响较小；2、本项目属于M7475地质勘查技术服务，不涉及煤炭资源使用；3、项目水环境严格按照《中华人民共和国水污染防治法》《水污染防治行动计划》《安徽省水污染防治工作方案》要求落实；4、项目土壤环境严格按照《中华人民共和国土壤污染防治法》《土壤污染防治行动计划》《安徽省土壤污染防治工作方案》等要求落实。</w:t>
                  </w:r>
                </w:p>
              </w:tc>
              <w:tc>
                <w:tcPr>
                  <w:tcW w:w="482" w:type="pct"/>
                  <w:vAlign w:val="center"/>
                </w:tcPr>
                <w:p w14:paraId="2DFE4D6B">
                  <w:pPr>
                    <w:pStyle w:val="49"/>
                    <w:spacing w:line="240" w:lineRule="auto"/>
                    <w:ind w:left="0" w:leftChars="0" w:firstLine="0" w:firstLineChars="0"/>
                    <w:jc w:val="center"/>
                    <w:rPr>
                      <w:rFonts w:hint="default"/>
                      <w:color w:val="auto"/>
                      <w:vertAlign w:val="baseline"/>
                      <w:lang w:val="en-US" w:eastAsia="zh-CN"/>
                    </w:rPr>
                  </w:pPr>
                  <w:r>
                    <w:rPr>
                      <w:rFonts w:hint="eastAsia"/>
                      <w:color w:val="auto"/>
                      <w:vertAlign w:val="baseline"/>
                      <w:lang w:val="en-US" w:eastAsia="zh-CN"/>
                    </w:rPr>
                    <w:t>符合</w:t>
                  </w:r>
                </w:p>
              </w:tc>
            </w:tr>
          </w:tbl>
          <w:p w14:paraId="2BF41538">
            <w:pPr>
              <w:pStyle w:val="9"/>
              <w:snapToGrid/>
              <w:spacing w:before="0" w:after="0" w:line="360" w:lineRule="auto"/>
              <w:ind w:right="0"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对照《市场准入负面清单（202</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lang w:val="en-US" w:eastAsia="zh-CN"/>
              </w:rPr>
              <w:t>年版）》（发改体改规〔2025〕466号）相关文件的相符性进行分析，经对照分析，本项目不属于负面清单中所禁止或限制类的项目，符合相关准入要求。</w:t>
            </w:r>
          </w:p>
          <w:p w14:paraId="74052799">
            <w:pPr>
              <w:pStyle w:val="28"/>
              <w:spacing w:line="360" w:lineRule="auto"/>
              <w:rPr>
                <w:rFonts w:hint="default" w:ascii="Times New Roman" w:hAnsi="Times New Roman" w:cs="Times New Roman"/>
                <w:color w:val="auto"/>
              </w:rPr>
            </w:pPr>
            <w:r>
              <w:rPr>
                <w:rFonts w:hint="default" w:ascii="Times New Roman" w:hAnsi="Times New Roman" w:cs="Times New Roman"/>
                <w:color w:val="auto"/>
              </w:rPr>
              <w:t>表1-</w:t>
            </w:r>
            <w:r>
              <w:rPr>
                <w:rFonts w:hint="eastAsia" w:cs="Times New Roman"/>
                <w:color w:val="auto"/>
                <w:lang w:val="en-US" w:eastAsia="zh-CN"/>
              </w:rPr>
              <w:t>7</w:t>
            </w:r>
            <w:r>
              <w:rPr>
                <w:rFonts w:hint="default" w:ascii="Times New Roman" w:hAnsi="Times New Roman" w:cs="Times New Roman"/>
                <w:color w:val="auto"/>
              </w:rPr>
              <w:t xml:space="preserve"> 环境准入负面清单分析对照表</w:t>
            </w:r>
          </w:p>
          <w:tbl>
            <w:tblPr>
              <w:tblStyle w:val="17"/>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42"/>
              <w:gridCol w:w="4093"/>
              <w:gridCol w:w="2893"/>
            </w:tblGrid>
            <w:tr w14:paraId="63FA6F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0" w:type="pct"/>
                  <w:noWrap w:val="0"/>
                  <w:vAlign w:val="center"/>
                </w:tcPr>
                <w:p w14:paraId="3FB2FB09">
                  <w:pPr>
                    <w:pStyle w:val="29"/>
                    <w:spacing w:before="0"/>
                    <w:rPr>
                      <w:rFonts w:hint="default" w:ascii="Times New Roman" w:hAnsi="Times New Roman" w:cs="Times New Roman"/>
                      <w:b/>
                      <w:bCs/>
                      <w:color w:val="auto"/>
                      <w:sz w:val="21"/>
                    </w:rPr>
                  </w:pPr>
                  <w:r>
                    <w:rPr>
                      <w:rFonts w:hint="default" w:ascii="Times New Roman" w:hAnsi="Times New Roman" w:cs="Times New Roman"/>
                      <w:b/>
                      <w:bCs/>
                      <w:color w:val="auto"/>
                      <w:sz w:val="21"/>
                    </w:rPr>
                    <w:t>序号</w:t>
                  </w:r>
                </w:p>
              </w:tc>
              <w:tc>
                <w:tcPr>
                  <w:tcW w:w="2648" w:type="pct"/>
                  <w:noWrap w:val="0"/>
                  <w:vAlign w:val="center"/>
                </w:tcPr>
                <w:p w14:paraId="58C3ABC3">
                  <w:pPr>
                    <w:pStyle w:val="29"/>
                    <w:spacing w:before="0"/>
                    <w:rPr>
                      <w:rFonts w:hint="default" w:ascii="Times New Roman" w:hAnsi="Times New Roman" w:cs="Times New Roman"/>
                      <w:b/>
                      <w:bCs/>
                      <w:color w:val="auto"/>
                      <w:sz w:val="21"/>
                    </w:rPr>
                  </w:pPr>
                  <w:r>
                    <w:rPr>
                      <w:rFonts w:hint="default" w:ascii="Times New Roman" w:hAnsi="Times New Roman" w:cs="Times New Roman"/>
                      <w:b/>
                      <w:bCs/>
                      <w:color w:val="auto"/>
                      <w:sz w:val="21"/>
                    </w:rPr>
                    <w:t>文件</w:t>
                  </w:r>
                </w:p>
              </w:tc>
              <w:tc>
                <w:tcPr>
                  <w:tcW w:w="1872" w:type="pct"/>
                  <w:noWrap w:val="0"/>
                  <w:vAlign w:val="center"/>
                </w:tcPr>
                <w:p w14:paraId="7AA94A9C">
                  <w:pPr>
                    <w:pStyle w:val="29"/>
                    <w:spacing w:before="0"/>
                    <w:rPr>
                      <w:rFonts w:hint="default" w:ascii="Times New Roman" w:hAnsi="Times New Roman" w:cs="Times New Roman"/>
                      <w:b/>
                      <w:bCs/>
                      <w:color w:val="auto"/>
                      <w:sz w:val="21"/>
                    </w:rPr>
                  </w:pPr>
                  <w:r>
                    <w:rPr>
                      <w:rFonts w:hint="default" w:ascii="Times New Roman" w:hAnsi="Times New Roman" w:cs="Times New Roman"/>
                      <w:b/>
                      <w:bCs/>
                      <w:color w:val="auto"/>
                      <w:sz w:val="21"/>
                    </w:rPr>
                    <w:t>相符性分析</w:t>
                  </w:r>
                </w:p>
              </w:tc>
            </w:tr>
            <w:tr w14:paraId="242FBD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0" w:type="pct"/>
                  <w:noWrap w:val="0"/>
                  <w:vAlign w:val="center"/>
                </w:tcPr>
                <w:p w14:paraId="5C325989">
                  <w:pPr>
                    <w:pStyle w:val="29"/>
                    <w:spacing w:before="0"/>
                    <w:rPr>
                      <w:rFonts w:hint="default" w:ascii="Times New Roman" w:hAnsi="Times New Roman" w:cs="Times New Roman"/>
                      <w:color w:val="auto"/>
                      <w:sz w:val="21"/>
                    </w:rPr>
                  </w:pPr>
                  <w:r>
                    <w:rPr>
                      <w:rFonts w:hint="default" w:ascii="Times New Roman" w:hAnsi="Times New Roman" w:cs="Times New Roman"/>
                      <w:color w:val="auto"/>
                      <w:sz w:val="21"/>
                    </w:rPr>
                    <w:t>1</w:t>
                  </w:r>
                </w:p>
              </w:tc>
              <w:tc>
                <w:tcPr>
                  <w:tcW w:w="2648" w:type="pct"/>
                  <w:noWrap w:val="0"/>
                  <w:vAlign w:val="center"/>
                </w:tcPr>
                <w:p w14:paraId="1F0688B3">
                  <w:pPr>
                    <w:pStyle w:val="29"/>
                    <w:spacing w:before="0"/>
                    <w:rPr>
                      <w:rFonts w:hint="default" w:ascii="Times New Roman" w:hAnsi="Times New Roman" w:cs="Times New Roman"/>
                      <w:color w:val="auto"/>
                      <w:sz w:val="21"/>
                    </w:rPr>
                  </w:pPr>
                  <w:r>
                    <w:rPr>
                      <w:rFonts w:hint="default" w:ascii="Times New Roman" w:hAnsi="Times New Roman" w:cs="Times New Roman"/>
                      <w:color w:val="auto"/>
                      <w:sz w:val="21"/>
                    </w:rPr>
                    <w:t>《市场准入负面清单》（202</w:t>
                  </w:r>
                  <w:r>
                    <w:rPr>
                      <w:rFonts w:hint="eastAsia" w:ascii="Times New Roman" w:hAnsi="Times New Roman" w:cs="Times New Roman"/>
                      <w:color w:val="auto"/>
                      <w:sz w:val="21"/>
                      <w:lang w:val="en-US" w:eastAsia="zh-CN"/>
                    </w:rPr>
                    <w:t>5</w:t>
                  </w:r>
                  <w:r>
                    <w:rPr>
                      <w:rFonts w:hint="default" w:ascii="Times New Roman" w:hAnsi="Times New Roman" w:cs="Times New Roman"/>
                      <w:color w:val="auto"/>
                      <w:sz w:val="21"/>
                    </w:rPr>
                    <w:t>年版）</w:t>
                  </w:r>
                </w:p>
              </w:tc>
              <w:tc>
                <w:tcPr>
                  <w:tcW w:w="1872" w:type="pct"/>
                  <w:noWrap w:val="0"/>
                  <w:vAlign w:val="center"/>
                </w:tcPr>
                <w:p w14:paraId="2B6F93B9">
                  <w:pPr>
                    <w:widowControl/>
                    <w:jc w:val="left"/>
                    <w:rPr>
                      <w:rFonts w:hint="default" w:ascii="Times New Roman" w:hAnsi="Times New Roman" w:cs="Times New Roman"/>
                      <w:color w:val="auto"/>
                      <w:szCs w:val="21"/>
                    </w:rPr>
                  </w:pPr>
                  <w:r>
                    <w:rPr>
                      <w:rFonts w:hint="default" w:ascii="Times New Roman" w:hAnsi="Times New Roman" w:cs="Times New Roman"/>
                      <w:color w:val="auto"/>
                      <w:szCs w:val="21"/>
                    </w:rPr>
                    <w:t>不属于禁止准入类项目</w:t>
                  </w:r>
                </w:p>
              </w:tc>
            </w:tr>
            <w:tr w14:paraId="5F9886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0" w:type="pct"/>
                  <w:noWrap w:val="0"/>
                  <w:vAlign w:val="center"/>
                </w:tcPr>
                <w:p w14:paraId="4287621C">
                  <w:pPr>
                    <w:pStyle w:val="29"/>
                    <w:spacing w:before="0"/>
                    <w:rPr>
                      <w:rFonts w:hint="default" w:ascii="Times New Roman" w:hAnsi="Times New Roman" w:cs="Times New Roman"/>
                      <w:color w:val="auto"/>
                      <w:sz w:val="21"/>
                    </w:rPr>
                  </w:pPr>
                  <w:r>
                    <w:rPr>
                      <w:rFonts w:hint="default" w:ascii="Times New Roman" w:hAnsi="Times New Roman" w:cs="Times New Roman"/>
                      <w:color w:val="auto"/>
                      <w:sz w:val="21"/>
                    </w:rPr>
                    <w:t>2</w:t>
                  </w:r>
                </w:p>
              </w:tc>
              <w:tc>
                <w:tcPr>
                  <w:tcW w:w="2648" w:type="pct"/>
                  <w:noWrap w:val="0"/>
                  <w:vAlign w:val="center"/>
                </w:tcPr>
                <w:p w14:paraId="77346608">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《产业结构调整指导目录（</w:t>
                  </w:r>
                  <w:r>
                    <w:rPr>
                      <w:rFonts w:hint="default" w:ascii="Times New Roman" w:hAnsi="Times New Roman" w:cs="Times New Roman"/>
                      <w:color w:val="auto"/>
                      <w:szCs w:val="21"/>
                      <w:lang w:val="en-US" w:eastAsia="zh-CN"/>
                    </w:rPr>
                    <w:t>2024</w:t>
                  </w:r>
                  <w:r>
                    <w:rPr>
                      <w:rFonts w:hint="default" w:ascii="Times New Roman" w:hAnsi="Times New Roman" w:cs="Times New Roman"/>
                      <w:color w:val="auto"/>
                      <w:szCs w:val="21"/>
                    </w:rPr>
                    <w:t>年本）》</w:t>
                  </w:r>
                </w:p>
              </w:tc>
              <w:tc>
                <w:tcPr>
                  <w:tcW w:w="1872" w:type="pct"/>
                  <w:noWrap w:val="0"/>
                  <w:vAlign w:val="center"/>
                </w:tcPr>
                <w:p w14:paraId="63C6C097">
                  <w:pPr>
                    <w:widowControl/>
                    <w:jc w:val="left"/>
                    <w:rPr>
                      <w:rFonts w:hint="default" w:ascii="Times New Roman" w:hAnsi="Times New Roman" w:cs="Times New Roman"/>
                      <w:color w:val="auto"/>
                      <w:szCs w:val="21"/>
                    </w:rPr>
                  </w:pPr>
                  <w:r>
                    <w:rPr>
                      <w:rFonts w:hint="default" w:ascii="Times New Roman" w:hAnsi="Times New Roman" w:cs="Times New Roman"/>
                      <w:color w:val="auto"/>
                      <w:szCs w:val="21"/>
                    </w:rPr>
                    <w:t>不属于限制类和淘汰类项目</w:t>
                  </w:r>
                </w:p>
              </w:tc>
            </w:tr>
            <w:tr w14:paraId="4042E4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0" w:type="pct"/>
                  <w:noWrap w:val="0"/>
                  <w:vAlign w:val="center"/>
                </w:tcPr>
                <w:p w14:paraId="062C61F3">
                  <w:pPr>
                    <w:pStyle w:val="29"/>
                    <w:spacing w:before="0"/>
                    <w:rPr>
                      <w:rFonts w:hint="default" w:ascii="Times New Roman" w:hAnsi="Times New Roman" w:cs="Times New Roman"/>
                      <w:color w:val="auto"/>
                      <w:sz w:val="21"/>
                    </w:rPr>
                  </w:pPr>
                  <w:r>
                    <w:rPr>
                      <w:rFonts w:hint="default" w:ascii="Times New Roman" w:hAnsi="Times New Roman" w:cs="Times New Roman"/>
                      <w:color w:val="auto"/>
                      <w:sz w:val="21"/>
                    </w:rPr>
                    <w:t>3</w:t>
                  </w:r>
                </w:p>
              </w:tc>
              <w:tc>
                <w:tcPr>
                  <w:tcW w:w="2648" w:type="pct"/>
                  <w:noWrap w:val="0"/>
                  <w:vAlign w:val="center"/>
                </w:tcPr>
                <w:p w14:paraId="15FB3E4C">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《限制用地项目目录（2012年本）》、</w:t>
                  </w:r>
                </w:p>
                <w:p w14:paraId="4219A8BA">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《禁止用地项目目录（2012年本）》</w:t>
                  </w:r>
                </w:p>
              </w:tc>
              <w:tc>
                <w:tcPr>
                  <w:tcW w:w="1872" w:type="pct"/>
                  <w:noWrap w:val="0"/>
                  <w:vAlign w:val="center"/>
                </w:tcPr>
                <w:p w14:paraId="6406753B">
                  <w:pPr>
                    <w:widowControl/>
                    <w:jc w:val="left"/>
                    <w:rPr>
                      <w:rFonts w:hint="default" w:ascii="Times New Roman" w:hAnsi="Times New Roman" w:cs="Times New Roman"/>
                      <w:color w:val="auto"/>
                      <w:szCs w:val="21"/>
                    </w:rPr>
                  </w:pPr>
                  <w:r>
                    <w:rPr>
                      <w:rFonts w:hint="default" w:ascii="Times New Roman" w:hAnsi="Times New Roman" w:cs="Times New Roman"/>
                      <w:color w:val="auto"/>
                      <w:szCs w:val="21"/>
                    </w:rPr>
                    <w:t>不属于限制和禁止用地</w:t>
                  </w:r>
                </w:p>
              </w:tc>
            </w:tr>
          </w:tbl>
          <w:p w14:paraId="4E1F2A6F">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综上，本项目符合《关于以改善环境质量为核心加强环境影响评价管理的通知》（环环评</w:t>
            </w:r>
            <w:r>
              <w:rPr>
                <w:rFonts w:hint="default" w:ascii="Times New Roman" w:hAnsi="Times New Roman" w:cs="Times New Roman"/>
                <w:color w:val="auto"/>
                <w:sz w:val="24"/>
                <w:szCs w:val="24"/>
                <w:lang w:val="en-US" w:eastAsia="zh-CN"/>
              </w:rPr>
              <w:t>〔20</w:t>
            </w:r>
            <w:r>
              <w:rPr>
                <w:rFonts w:hint="eastAsia" w:ascii="Times New Roman" w:hAnsi="Times New Roman" w:cs="Times New Roman"/>
                <w:color w:val="auto"/>
                <w:sz w:val="24"/>
                <w:szCs w:val="24"/>
                <w:lang w:val="en-US" w:eastAsia="zh-CN"/>
              </w:rPr>
              <w:t>16</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rPr>
              <w:t>150号）中“三线一单”相关要求。</w:t>
            </w:r>
          </w:p>
          <w:p w14:paraId="13C9BE04">
            <w:pPr>
              <w:spacing w:line="360" w:lineRule="auto"/>
              <w:ind w:firstLine="482" w:firstLineChars="200"/>
              <w:rPr>
                <w:rFonts w:hint="default" w:ascii="Times New Roman" w:hAnsi="Times New Roman" w:cs="Times New Roman"/>
                <w:b/>
                <w:bCs/>
                <w:color w:val="auto"/>
                <w:sz w:val="24"/>
              </w:rPr>
            </w:pPr>
            <w:r>
              <w:rPr>
                <w:rFonts w:hint="eastAsia" w:ascii="Times New Roman" w:hAnsi="Times New Roman" w:cs="Times New Roman"/>
                <w:b/>
                <w:bCs/>
                <w:color w:val="auto"/>
                <w:sz w:val="24"/>
                <w:lang w:val="en-US" w:eastAsia="zh-CN"/>
              </w:rPr>
              <w:t>6</w:t>
            </w:r>
            <w:r>
              <w:rPr>
                <w:rFonts w:hint="default" w:ascii="Times New Roman" w:hAnsi="Times New Roman" w:cs="Times New Roman"/>
                <w:b/>
                <w:bCs/>
                <w:color w:val="auto"/>
                <w:sz w:val="24"/>
              </w:rPr>
              <w:t>、与《安徽省淮河流域水污染防治条例》符合性分析</w:t>
            </w:r>
          </w:p>
          <w:p w14:paraId="4DD532D4">
            <w:pPr>
              <w:pStyle w:val="16"/>
              <w:spacing w:before="0" w:beforeAutospacing="0" w:after="0" w:afterAutospacing="0" w:line="360" w:lineRule="auto"/>
              <w:ind w:firstLine="480" w:firstLineChars="200"/>
              <w:jc w:val="both"/>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根据《</w:t>
            </w:r>
            <w:r>
              <w:rPr>
                <w:rFonts w:hint="default" w:ascii="Times New Roman" w:hAnsi="Times New Roman" w:cs="Times New Roman"/>
                <w:bCs/>
                <w:color w:val="auto"/>
                <w:szCs w:val="24"/>
                <w:lang w:val="en-US" w:eastAsia="zh-CN"/>
              </w:rPr>
              <w:t>安徽省淮河流域水污染防治条例</w:t>
            </w:r>
            <w:r>
              <w:rPr>
                <w:rFonts w:hint="default" w:ascii="Times New Roman" w:hAnsi="Times New Roman" w:cs="Times New Roman"/>
                <w:color w:val="auto"/>
                <w:szCs w:val="24"/>
                <w:lang w:val="en-US" w:eastAsia="zh-CN"/>
              </w:rPr>
              <w:t>》中相关内容，禁止在淮河流域新建化学制浆造纸企业。禁止在淮河流域新建制革、化工、印染、电镀、酿造等污染严重的小型企业。严格限制在淮河流域新建前款所列大中型项目或者其他污染严重的项目；建设该类项目的，必须事先征得有关省人民政府环境保护行政主管部门的同意，并报国务院环境保护行政主管部门备案。禁止和严格限制的产业、产品名录，由国务院环境保护行政主管部门商国务院有关行业主管部门拟订，经领导小组审核同意，报国务院批准后公布施行。</w:t>
            </w:r>
          </w:p>
          <w:p w14:paraId="184ABEC7">
            <w:pPr>
              <w:pStyle w:val="23"/>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综上分析，项目建设地点位于安徽省淮南市潘集区贺疃镇境内，本项目为了后期煤矿瓦斯安全抽采、消除煤与瓦斯突出危险所实施的钻井工程，属于地</w:t>
            </w:r>
            <w:r>
              <w:rPr>
                <w:rFonts w:hint="default" w:ascii="Times New Roman" w:hAnsi="Times New Roman" w:cs="Times New Roman"/>
                <w:color w:val="auto"/>
                <w:highlight w:val="none"/>
              </w:rPr>
              <w:t>质勘查技术服务项目，临时用地面积为</w:t>
            </w:r>
            <w:r>
              <w:rPr>
                <w:rFonts w:hint="default" w:ascii="Times New Roman" w:hAnsi="Times New Roman" w:cs="Times New Roman"/>
                <w:color w:val="auto"/>
                <w:highlight w:val="none"/>
                <w:lang w:val="en-US" w:eastAsia="zh-CN"/>
              </w:rPr>
              <w:t>20784</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，用地时间预计为</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年。中安联合煤化有限责任公司办理了项目临时用地相关手续。项目租用安徽省淮南市潘集区贺疃镇境内的土地作为本项目的临时建设用地</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2025年8月12日，淮南市自然资源和规划局潘集分局出具了本项目临时用地初审意见。项目距离淮河岸线1</w:t>
            </w:r>
            <w:r>
              <w:rPr>
                <w:rFonts w:hint="default" w:ascii="Times New Roman" w:hAnsi="Times New Roman" w:cs="Times New Roman"/>
                <w:color w:val="auto"/>
                <w:highlight w:val="none"/>
                <w:lang w:val="en-US" w:eastAsia="zh-CN"/>
              </w:rPr>
              <w:t>5.725</w:t>
            </w:r>
            <w:r>
              <w:rPr>
                <w:rFonts w:hint="default" w:ascii="Times New Roman" w:hAnsi="Times New Roman" w:cs="Times New Roman"/>
                <w:color w:val="auto"/>
                <w:highlight w:val="none"/>
              </w:rPr>
              <w:t>km，不在淮河岸线1公里范围内。项目不属于中华人民共和国国家发展和改革委员会颁布的《产业结构调整指导目录》(20</w:t>
            </w:r>
            <w:r>
              <w:rPr>
                <w:rFonts w:hint="eastAsia" w:ascii="Times New Roman" w:hAnsi="Times New Roman" w:cs="Times New Roman"/>
                <w:color w:val="auto"/>
                <w:highlight w:val="none"/>
                <w:lang w:val="en-US" w:eastAsia="zh-CN"/>
              </w:rPr>
              <w:t>24</w:t>
            </w:r>
            <w:r>
              <w:rPr>
                <w:rFonts w:hint="default" w:ascii="Times New Roman" w:hAnsi="Times New Roman" w:cs="Times New Roman"/>
                <w:color w:val="auto"/>
                <w:highlight w:val="none"/>
              </w:rPr>
              <w:t>年本)中限制类和淘汰类项目；不属于环境保护部发布《环境保护综合目录（20</w:t>
            </w:r>
            <w:r>
              <w:rPr>
                <w:rFonts w:hint="eastAsia" w:ascii="Times New Roman" w:hAnsi="Times New Roman" w:cs="Times New Roman"/>
                <w:color w:val="auto"/>
                <w:highlight w:val="none"/>
                <w:lang w:val="en-US" w:eastAsia="zh-CN"/>
              </w:rPr>
              <w:t>21</w:t>
            </w:r>
            <w:r>
              <w:rPr>
                <w:rFonts w:hint="default" w:ascii="Times New Roman" w:hAnsi="Times New Roman" w:cs="Times New Roman"/>
                <w:color w:val="auto"/>
                <w:highlight w:val="none"/>
              </w:rPr>
              <w:t>年版）》中高污染、高环境风险产品。项目符合《</w:t>
            </w:r>
            <w:r>
              <w:rPr>
                <w:rFonts w:hint="default" w:ascii="Times New Roman" w:hAnsi="Times New Roman" w:cs="Times New Roman"/>
                <w:bCs/>
                <w:color w:val="auto"/>
                <w:highlight w:val="none"/>
              </w:rPr>
              <w:t>安徽省淮河流域水污染防治条例</w:t>
            </w:r>
            <w:r>
              <w:rPr>
                <w:rFonts w:hint="default" w:ascii="Times New Roman" w:hAnsi="Times New Roman" w:cs="Times New Roman"/>
                <w:color w:val="auto"/>
                <w:highlight w:val="none"/>
              </w:rPr>
              <w:t>》中的相关要求。</w:t>
            </w:r>
          </w:p>
          <w:p w14:paraId="45D9000D">
            <w:pPr>
              <w:spacing w:line="360" w:lineRule="auto"/>
              <w:ind w:firstLine="482" w:firstLineChars="200"/>
              <w:rPr>
                <w:rFonts w:hint="default" w:ascii="Times New Roman" w:hAnsi="Times New Roman" w:cs="Times New Roman"/>
                <w:color w:val="auto"/>
                <w:sz w:val="24"/>
              </w:rPr>
            </w:pPr>
            <w:r>
              <w:rPr>
                <w:rFonts w:hint="eastAsia" w:ascii="Times New Roman" w:hAnsi="Times New Roman" w:cs="Times New Roman"/>
                <w:b/>
                <w:bCs/>
                <w:color w:val="auto"/>
                <w:sz w:val="24"/>
                <w:lang w:val="en-US" w:eastAsia="zh-CN"/>
              </w:rPr>
              <w:t>7</w:t>
            </w:r>
            <w:r>
              <w:rPr>
                <w:rFonts w:hint="default" w:ascii="Times New Roman" w:hAnsi="Times New Roman" w:cs="Times New Roman"/>
                <w:b/>
                <w:bCs/>
                <w:color w:val="auto"/>
                <w:sz w:val="24"/>
              </w:rPr>
              <w:t>、与“水十条”和“土十条”的符合性分析</w:t>
            </w:r>
          </w:p>
          <w:p w14:paraId="510E0617">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结合本项目特性，此次仅选取“水十条”和“土十条”中与本项目有关的内容进行对比分析。</w:t>
            </w:r>
          </w:p>
          <w:p w14:paraId="06AB08D6">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本项目与《水污染防治行动计划》符合性内容详见下表。</w:t>
            </w:r>
          </w:p>
          <w:p w14:paraId="56EA2C0C">
            <w:pPr>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表1-</w:t>
            </w:r>
            <w:r>
              <w:rPr>
                <w:rFonts w:hint="eastAsia" w:ascii="Times New Roman" w:hAnsi="Times New Roman" w:cs="Times New Roman"/>
                <w:b/>
                <w:color w:val="auto"/>
                <w:szCs w:val="21"/>
                <w:lang w:val="en-US" w:eastAsia="zh-CN"/>
              </w:rPr>
              <w:t>8</w:t>
            </w:r>
            <w:r>
              <w:rPr>
                <w:rFonts w:hint="default" w:ascii="Times New Roman" w:hAnsi="Times New Roman" w:cs="Times New Roman"/>
                <w:b/>
                <w:color w:val="auto"/>
                <w:szCs w:val="21"/>
              </w:rPr>
              <w:t xml:space="preserve"> 项目与《水污染防治行动计划》符合性分析</w:t>
            </w:r>
          </w:p>
          <w:tbl>
            <w:tblPr>
              <w:tblStyle w:val="17"/>
              <w:tblW w:w="77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9"/>
              <w:gridCol w:w="3888"/>
              <w:gridCol w:w="1307"/>
            </w:tblGrid>
            <w:tr w14:paraId="7B69B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9" w:type="dxa"/>
                  <w:noWrap w:val="0"/>
                  <w:vAlign w:val="center"/>
                </w:tcPr>
                <w:p w14:paraId="6E094924">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文件要求</w:t>
                  </w:r>
                </w:p>
              </w:tc>
              <w:tc>
                <w:tcPr>
                  <w:tcW w:w="3888" w:type="dxa"/>
                  <w:noWrap w:val="0"/>
                  <w:vAlign w:val="center"/>
                </w:tcPr>
                <w:p w14:paraId="64C6B534">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项目情况</w:t>
                  </w:r>
                </w:p>
              </w:tc>
              <w:tc>
                <w:tcPr>
                  <w:tcW w:w="1307" w:type="dxa"/>
                  <w:noWrap w:val="0"/>
                  <w:vAlign w:val="center"/>
                </w:tcPr>
                <w:p w14:paraId="734F6D23">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符合情况</w:t>
                  </w:r>
                </w:p>
              </w:tc>
            </w:tr>
            <w:tr w14:paraId="1EF0A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4" w:type="dxa"/>
                  <w:gridSpan w:val="3"/>
                  <w:noWrap w:val="0"/>
                  <w:vAlign w:val="center"/>
                </w:tcPr>
                <w:p w14:paraId="0C2CA390">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一、全面控制污染物排放</w:t>
                  </w:r>
                </w:p>
              </w:tc>
            </w:tr>
            <w:tr w14:paraId="414F8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9" w:type="dxa"/>
                  <w:noWrap w:val="0"/>
                  <w:vAlign w:val="center"/>
                </w:tcPr>
                <w:p w14:paraId="214D7618">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狠抓工业污染防治</w:t>
                  </w:r>
                </w:p>
              </w:tc>
              <w:tc>
                <w:tcPr>
                  <w:tcW w:w="3888" w:type="dxa"/>
                  <w:noWrap w:val="0"/>
                  <w:vAlign w:val="center"/>
                </w:tcPr>
                <w:p w14:paraId="7CB65190">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本项目不属于专项整治十大重点行业范畴。</w:t>
                  </w:r>
                </w:p>
              </w:tc>
              <w:tc>
                <w:tcPr>
                  <w:tcW w:w="1307" w:type="dxa"/>
                  <w:noWrap w:val="0"/>
                  <w:vAlign w:val="center"/>
                </w:tcPr>
                <w:p w14:paraId="5F794FB1">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658A3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4" w:type="dxa"/>
                  <w:gridSpan w:val="3"/>
                  <w:noWrap w:val="0"/>
                  <w:vAlign w:val="center"/>
                </w:tcPr>
                <w:p w14:paraId="5F17D34C">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二、推动经济结构转型升级</w:t>
                  </w:r>
                </w:p>
              </w:tc>
            </w:tr>
            <w:tr w14:paraId="6A544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9" w:type="dxa"/>
                  <w:noWrap w:val="0"/>
                  <w:vAlign w:val="center"/>
                </w:tcPr>
                <w:p w14:paraId="47BB3D16">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调整产业结构</w:t>
                  </w:r>
                </w:p>
              </w:tc>
              <w:tc>
                <w:tcPr>
                  <w:tcW w:w="3888" w:type="dxa"/>
                  <w:noWrap w:val="0"/>
                  <w:vAlign w:val="center"/>
                </w:tcPr>
                <w:p w14:paraId="2ACCD836">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根据《产业结构调整指导目录》（20</w:t>
                  </w:r>
                  <w:r>
                    <w:rPr>
                      <w:rFonts w:hint="eastAsia" w:ascii="Times New Roman" w:hAnsi="Times New Roman" w:cs="Times New Roman"/>
                      <w:color w:val="auto"/>
                      <w:sz w:val="21"/>
                      <w:szCs w:val="21"/>
                      <w:lang w:val="en-US" w:eastAsia="zh-CN"/>
                    </w:rPr>
                    <w:t>24</w:t>
                  </w:r>
                  <w:r>
                    <w:rPr>
                      <w:rFonts w:hint="default" w:ascii="Times New Roman" w:hAnsi="Times New Roman" w:cs="Times New Roman"/>
                      <w:color w:val="auto"/>
                      <w:sz w:val="21"/>
                      <w:szCs w:val="21"/>
                    </w:rPr>
                    <w:t>本），本项目不在过剩产能和淘汰落后工艺范围内。</w:t>
                  </w:r>
                </w:p>
              </w:tc>
              <w:tc>
                <w:tcPr>
                  <w:tcW w:w="1307" w:type="dxa"/>
                  <w:noWrap w:val="0"/>
                  <w:vAlign w:val="center"/>
                </w:tcPr>
                <w:p w14:paraId="5C37DF8F">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559F8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4" w:type="dxa"/>
                  <w:gridSpan w:val="3"/>
                  <w:noWrap w:val="0"/>
                  <w:vAlign w:val="center"/>
                </w:tcPr>
                <w:p w14:paraId="5AB27E12">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三、着力节约保护水资源</w:t>
                  </w:r>
                </w:p>
              </w:tc>
            </w:tr>
            <w:tr w14:paraId="73F32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9" w:type="dxa"/>
                  <w:noWrap w:val="0"/>
                  <w:vAlign w:val="center"/>
                </w:tcPr>
                <w:p w14:paraId="77251DE1">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控制用水总量</w:t>
                  </w:r>
                </w:p>
              </w:tc>
              <w:tc>
                <w:tcPr>
                  <w:tcW w:w="3888" w:type="dxa"/>
                  <w:noWrap w:val="0"/>
                  <w:vAlign w:val="center"/>
                </w:tcPr>
                <w:p w14:paraId="13BF2482">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项目用水为员工生活用水和钻井用水。</w:t>
                  </w:r>
                </w:p>
              </w:tc>
              <w:tc>
                <w:tcPr>
                  <w:tcW w:w="1307" w:type="dxa"/>
                  <w:noWrap w:val="0"/>
                  <w:vAlign w:val="center"/>
                </w:tcPr>
                <w:p w14:paraId="26F99E12">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5D989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9" w:type="dxa"/>
                  <w:noWrap w:val="0"/>
                  <w:vAlign w:val="center"/>
                </w:tcPr>
                <w:p w14:paraId="67BDE949">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提高用水效率</w:t>
                  </w:r>
                </w:p>
              </w:tc>
              <w:tc>
                <w:tcPr>
                  <w:tcW w:w="3888" w:type="dxa"/>
                  <w:noWrap w:val="0"/>
                  <w:vAlign w:val="center"/>
                </w:tcPr>
                <w:p w14:paraId="19DBA350">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本项目钻井废水全部循环使用，不外排，</w:t>
                  </w:r>
                  <w:r>
                    <w:rPr>
                      <w:rFonts w:hint="eastAsia" w:ascii="Times New Roman" w:hAnsi="Times New Roman" w:cs="Times New Roman"/>
                      <w:color w:val="auto"/>
                      <w:sz w:val="21"/>
                      <w:szCs w:val="21"/>
                      <w:lang w:val="en-US" w:eastAsia="zh-CN"/>
                    </w:rPr>
                    <w:t>生活污水</w:t>
                  </w:r>
                  <w:r>
                    <w:rPr>
                      <w:rFonts w:hint="default" w:ascii="Times New Roman" w:hAnsi="Times New Roman" w:cs="Times New Roman"/>
                      <w:color w:val="auto"/>
                      <w:sz w:val="21"/>
                      <w:szCs w:val="21"/>
                    </w:rPr>
                    <w:t>经化粪池处理后，定期清掏用于当地农灌</w:t>
                  </w:r>
                </w:p>
              </w:tc>
              <w:tc>
                <w:tcPr>
                  <w:tcW w:w="1307" w:type="dxa"/>
                  <w:noWrap w:val="0"/>
                  <w:vAlign w:val="center"/>
                </w:tcPr>
                <w:p w14:paraId="65AD0617">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3FB4D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9" w:type="dxa"/>
                  <w:noWrap w:val="0"/>
                  <w:vAlign w:val="center"/>
                </w:tcPr>
                <w:p w14:paraId="3D0E4A5D">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科学保护水资源</w:t>
                  </w:r>
                </w:p>
              </w:tc>
              <w:tc>
                <w:tcPr>
                  <w:tcW w:w="3888" w:type="dxa"/>
                  <w:noWrap w:val="0"/>
                  <w:vAlign w:val="center"/>
                </w:tcPr>
                <w:p w14:paraId="02642FB6">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项目所在地无废水排放，全部回用或外运处置，不会对周围水域</w:t>
                  </w:r>
                  <w:r>
                    <w:rPr>
                      <w:rFonts w:hint="eastAsia" w:ascii="Times New Roman" w:hAnsi="Times New Roman" w:cs="Times New Roman"/>
                      <w:color w:val="auto"/>
                      <w:sz w:val="21"/>
                      <w:szCs w:val="21"/>
                      <w:lang w:val="en-US" w:eastAsia="zh-CN"/>
                    </w:rPr>
                    <w:t>造成</w:t>
                  </w:r>
                  <w:r>
                    <w:rPr>
                      <w:rFonts w:hint="default" w:ascii="Times New Roman" w:hAnsi="Times New Roman" w:cs="Times New Roman"/>
                      <w:color w:val="auto"/>
                      <w:sz w:val="21"/>
                      <w:szCs w:val="21"/>
                    </w:rPr>
                    <w:t>污染</w:t>
                  </w:r>
                </w:p>
              </w:tc>
              <w:tc>
                <w:tcPr>
                  <w:tcW w:w="1307" w:type="dxa"/>
                  <w:noWrap w:val="0"/>
                  <w:vAlign w:val="center"/>
                </w:tcPr>
                <w:p w14:paraId="44323A37">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bl>
          <w:p w14:paraId="6BE968B7">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本项目与《土壤污染防治行动计划》符合性分析内容详见下表。</w:t>
            </w:r>
          </w:p>
          <w:p w14:paraId="37610BE3">
            <w:pPr>
              <w:spacing w:line="360" w:lineRule="auto"/>
              <w:jc w:val="center"/>
              <w:rPr>
                <w:rFonts w:hint="default" w:ascii="Times New Roman" w:hAnsi="Times New Roman" w:cs="Times New Roman"/>
                <w:b/>
                <w:color w:val="auto"/>
                <w:sz w:val="24"/>
              </w:rPr>
            </w:pPr>
            <w:r>
              <w:rPr>
                <w:rFonts w:hint="default" w:ascii="Times New Roman" w:hAnsi="Times New Roman" w:cs="Times New Roman"/>
                <w:b/>
                <w:color w:val="auto"/>
                <w:szCs w:val="21"/>
              </w:rPr>
              <w:t>表1-</w:t>
            </w:r>
            <w:r>
              <w:rPr>
                <w:rFonts w:hint="eastAsia" w:ascii="Times New Roman" w:hAnsi="Times New Roman" w:cs="Times New Roman"/>
                <w:b/>
                <w:color w:val="auto"/>
                <w:szCs w:val="21"/>
                <w:lang w:val="en-US" w:eastAsia="zh-CN"/>
              </w:rPr>
              <w:t>9</w:t>
            </w:r>
            <w:r>
              <w:rPr>
                <w:rFonts w:hint="default" w:ascii="Times New Roman" w:hAnsi="Times New Roman" w:cs="Times New Roman"/>
                <w:b/>
                <w:color w:val="auto"/>
                <w:szCs w:val="21"/>
              </w:rPr>
              <w:t xml:space="preserve">  项目与《土壤污染防治行动计划》符合性分析</w:t>
            </w:r>
          </w:p>
          <w:tbl>
            <w:tblPr>
              <w:tblStyle w:val="17"/>
              <w:tblW w:w="77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2"/>
              <w:gridCol w:w="3855"/>
              <w:gridCol w:w="1307"/>
            </w:tblGrid>
            <w:tr w14:paraId="04D98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2" w:type="dxa"/>
                  <w:noWrap w:val="0"/>
                  <w:vAlign w:val="center"/>
                </w:tcPr>
                <w:p w14:paraId="4E89D973">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文件要求</w:t>
                  </w:r>
                </w:p>
              </w:tc>
              <w:tc>
                <w:tcPr>
                  <w:tcW w:w="3855" w:type="dxa"/>
                  <w:noWrap w:val="0"/>
                  <w:vAlign w:val="center"/>
                </w:tcPr>
                <w:p w14:paraId="036F6CE5">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项目情况</w:t>
                  </w:r>
                </w:p>
              </w:tc>
              <w:tc>
                <w:tcPr>
                  <w:tcW w:w="1307" w:type="dxa"/>
                  <w:noWrap w:val="0"/>
                  <w:vAlign w:val="center"/>
                </w:tcPr>
                <w:p w14:paraId="657E59B8">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符合情况</w:t>
                  </w:r>
                </w:p>
              </w:tc>
            </w:tr>
            <w:tr w14:paraId="34026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4" w:type="dxa"/>
                  <w:gridSpan w:val="3"/>
                  <w:noWrap w:val="0"/>
                  <w:vAlign w:val="center"/>
                </w:tcPr>
                <w:p w14:paraId="29DFDF12">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五、强化未污染土壤保护，严控新增土壤污染</w:t>
                  </w:r>
                </w:p>
              </w:tc>
            </w:tr>
            <w:tr w14:paraId="31602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2" w:type="dxa"/>
                  <w:noWrap w:val="0"/>
                  <w:vAlign w:val="center"/>
                </w:tcPr>
                <w:p w14:paraId="6D59EDC7">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加强未利用地环境管理</w:t>
                  </w:r>
                </w:p>
              </w:tc>
              <w:tc>
                <w:tcPr>
                  <w:tcW w:w="3855" w:type="dxa"/>
                  <w:noWrap w:val="0"/>
                  <w:vAlign w:val="center"/>
                </w:tcPr>
                <w:p w14:paraId="0E007874">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项目实施结束进行复垦</w:t>
                  </w:r>
                </w:p>
              </w:tc>
              <w:tc>
                <w:tcPr>
                  <w:tcW w:w="1307" w:type="dxa"/>
                  <w:noWrap w:val="0"/>
                  <w:vAlign w:val="center"/>
                </w:tcPr>
                <w:p w14:paraId="2C736107">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72EC3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2" w:type="dxa"/>
                  <w:noWrap w:val="0"/>
                  <w:vAlign w:val="center"/>
                </w:tcPr>
                <w:p w14:paraId="409A3893">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防范建设用地新增污染</w:t>
                  </w:r>
                </w:p>
              </w:tc>
              <w:tc>
                <w:tcPr>
                  <w:tcW w:w="3855" w:type="dxa"/>
                  <w:noWrap w:val="0"/>
                  <w:vAlign w:val="center"/>
                </w:tcPr>
                <w:p w14:paraId="6DFD529C">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r>
                    <w:rPr>
                      <w:rFonts w:hint="eastAsia" w:ascii="Times New Roman" w:hAnsi="Times New Roman" w:cs="Times New Roman"/>
                      <w:color w:val="auto"/>
                      <w:sz w:val="21"/>
                      <w:szCs w:val="21"/>
                      <w:lang w:val="en-US" w:eastAsia="zh-CN"/>
                    </w:rPr>
                    <w:t>环境影响评价</w:t>
                  </w:r>
                  <w:r>
                    <w:rPr>
                      <w:rFonts w:hint="default" w:ascii="Times New Roman" w:hAnsi="Times New Roman" w:cs="Times New Roman"/>
                      <w:color w:val="auto"/>
                      <w:sz w:val="21"/>
                      <w:szCs w:val="21"/>
                    </w:rPr>
                    <w:t>严格遵守相关法律法规及相关导则，确定该项目在采取相关措施后对项目所在地及周围土壤不造成污染</w:t>
                  </w:r>
                </w:p>
              </w:tc>
              <w:tc>
                <w:tcPr>
                  <w:tcW w:w="1307" w:type="dxa"/>
                  <w:noWrap w:val="0"/>
                  <w:vAlign w:val="center"/>
                </w:tcPr>
                <w:p w14:paraId="5055EC5C">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586F0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2" w:type="dxa"/>
                  <w:noWrap w:val="0"/>
                  <w:vAlign w:val="center"/>
                </w:tcPr>
                <w:p w14:paraId="513021C9">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强化空间布局管控</w:t>
                  </w:r>
                </w:p>
              </w:tc>
              <w:tc>
                <w:tcPr>
                  <w:tcW w:w="3855" w:type="dxa"/>
                  <w:noWrap w:val="0"/>
                  <w:vAlign w:val="center"/>
                </w:tcPr>
                <w:p w14:paraId="6DB687DD">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项目布局选址</w:t>
                  </w:r>
                  <w:r>
                    <w:rPr>
                      <w:rFonts w:hint="eastAsia" w:ascii="Times New Roman" w:hAnsi="Times New Roman" w:cs="Times New Roman"/>
                      <w:color w:val="auto"/>
                      <w:sz w:val="21"/>
                      <w:szCs w:val="21"/>
                      <w:lang w:val="en-US" w:eastAsia="zh-CN"/>
                    </w:rPr>
                    <w:t>合理</w:t>
                  </w:r>
                  <w:r>
                    <w:rPr>
                      <w:rFonts w:hint="default" w:ascii="Times New Roman" w:hAnsi="Times New Roman" w:cs="Times New Roman"/>
                      <w:color w:val="auto"/>
                      <w:sz w:val="21"/>
                      <w:szCs w:val="21"/>
                    </w:rPr>
                    <w:t>，各类污染物均有相应收集</w:t>
                  </w:r>
                  <w:r>
                    <w:rPr>
                      <w:rFonts w:hint="eastAsia" w:ascii="Times New Roman" w:hAnsi="Times New Roman" w:cs="Times New Roman"/>
                      <w:color w:val="auto"/>
                      <w:sz w:val="21"/>
                      <w:szCs w:val="21"/>
                      <w:lang w:val="en-US" w:eastAsia="zh-CN"/>
                    </w:rPr>
                    <w:t>处理设施</w:t>
                  </w:r>
                  <w:r>
                    <w:rPr>
                      <w:rFonts w:hint="default" w:ascii="Times New Roman" w:hAnsi="Times New Roman" w:cs="Times New Roman"/>
                      <w:color w:val="auto"/>
                      <w:sz w:val="21"/>
                      <w:szCs w:val="21"/>
                    </w:rPr>
                    <w:t>，不会对周围土壤造成污染</w:t>
                  </w:r>
                </w:p>
              </w:tc>
              <w:tc>
                <w:tcPr>
                  <w:tcW w:w="1307" w:type="dxa"/>
                  <w:noWrap w:val="0"/>
                  <w:vAlign w:val="center"/>
                </w:tcPr>
                <w:p w14:paraId="38EAE2D3">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33786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4" w:type="dxa"/>
                  <w:gridSpan w:val="3"/>
                  <w:noWrap w:val="0"/>
                  <w:vAlign w:val="center"/>
                </w:tcPr>
                <w:p w14:paraId="11B1442D">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六、加强污染源监管，做好土壤污染预防工作</w:t>
                  </w:r>
                </w:p>
              </w:tc>
            </w:tr>
            <w:tr w14:paraId="16CEB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2" w:type="dxa"/>
                  <w:noWrap w:val="0"/>
                  <w:vAlign w:val="center"/>
                </w:tcPr>
                <w:p w14:paraId="2F5A1CD6">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严控工矿污染</w:t>
                  </w:r>
                </w:p>
              </w:tc>
              <w:tc>
                <w:tcPr>
                  <w:tcW w:w="3855" w:type="dxa"/>
                  <w:noWrap w:val="0"/>
                  <w:vAlign w:val="center"/>
                </w:tcPr>
                <w:p w14:paraId="6F222789">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项目各项污染物排放在采取本评价相关</w:t>
                  </w:r>
                  <w:r>
                    <w:rPr>
                      <w:rFonts w:hint="eastAsia" w:ascii="Times New Roman" w:hAnsi="Times New Roman" w:cs="Times New Roman"/>
                      <w:color w:val="auto"/>
                      <w:sz w:val="21"/>
                      <w:szCs w:val="21"/>
                      <w:lang w:val="en-US" w:eastAsia="zh-CN"/>
                    </w:rPr>
                    <w:t>要求</w:t>
                  </w:r>
                  <w:r>
                    <w:rPr>
                      <w:rFonts w:hint="default" w:ascii="Times New Roman" w:hAnsi="Times New Roman" w:cs="Times New Roman"/>
                      <w:color w:val="auto"/>
                      <w:sz w:val="21"/>
                      <w:szCs w:val="21"/>
                    </w:rPr>
                    <w:t>后，均可达标排放</w:t>
                  </w:r>
                </w:p>
              </w:tc>
              <w:tc>
                <w:tcPr>
                  <w:tcW w:w="1307" w:type="dxa"/>
                  <w:noWrap w:val="0"/>
                  <w:vAlign w:val="center"/>
                </w:tcPr>
                <w:p w14:paraId="245EACFF">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10019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2" w:type="dxa"/>
                  <w:noWrap w:val="0"/>
                  <w:vAlign w:val="center"/>
                </w:tcPr>
                <w:p w14:paraId="43149EBF">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减少生活污染</w:t>
                  </w:r>
                </w:p>
              </w:tc>
              <w:tc>
                <w:tcPr>
                  <w:tcW w:w="3855" w:type="dxa"/>
                  <w:noWrap w:val="0"/>
                  <w:vAlign w:val="center"/>
                </w:tcPr>
                <w:p w14:paraId="43834DAF">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生活垃圾分类收集，可达到垃圾的减量化、资源化、无害化</w:t>
                  </w:r>
                </w:p>
              </w:tc>
              <w:tc>
                <w:tcPr>
                  <w:tcW w:w="1307" w:type="dxa"/>
                  <w:noWrap w:val="0"/>
                  <w:vAlign w:val="center"/>
                </w:tcPr>
                <w:p w14:paraId="33D71EA7">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67358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4" w:type="dxa"/>
                  <w:gridSpan w:val="3"/>
                  <w:noWrap w:val="0"/>
                  <w:vAlign w:val="center"/>
                </w:tcPr>
                <w:p w14:paraId="4E55DA5D">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七、开展污染治理与修复，改善区域土壤环境质量</w:t>
                  </w:r>
                </w:p>
              </w:tc>
            </w:tr>
            <w:tr w14:paraId="4A06E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2" w:type="dxa"/>
                  <w:noWrap w:val="0"/>
                  <w:vAlign w:val="center"/>
                </w:tcPr>
                <w:p w14:paraId="4D7C9402">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明确治理与修复主体</w:t>
                  </w:r>
                </w:p>
              </w:tc>
              <w:tc>
                <w:tcPr>
                  <w:tcW w:w="3855" w:type="dxa"/>
                  <w:noWrap w:val="0"/>
                  <w:vAlign w:val="center"/>
                </w:tcPr>
                <w:p w14:paraId="3A517C65">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本项目秉承“谁污染，谁治理”的原则，环境责任主体明确</w:t>
                  </w:r>
                </w:p>
              </w:tc>
              <w:tc>
                <w:tcPr>
                  <w:tcW w:w="1307" w:type="dxa"/>
                  <w:noWrap w:val="0"/>
                  <w:vAlign w:val="center"/>
                </w:tcPr>
                <w:p w14:paraId="7C14D0BF">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621EE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4" w:type="dxa"/>
                  <w:gridSpan w:val="3"/>
                  <w:noWrap w:val="0"/>
                  <w:vAlign w:val="center"/>
                </w:tcPr>
                <w:p w14:paraId="759668A5">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九、发挥政府主导作用，构建土壤环境治理体系</w:t>
                  </w:r>
                </w:p>
              </w:tc>
            </w:tr>
            <w:tr w14:paraId="4DEED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2" w:type="dxa"/>
                  <w:noWrap w:val="0"/>
                  <w:vAlign w:val="center"/>
                </w:tcPr>
                <w:p w14:paraId="4CF98FC8">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加强社会监督</w:t>
                  </w:r>
                </w:p>
              </w:tc>
              <w:tc>
                <w:tcPr>
                  <w:tcW w:w="3855" w:type="dxa"/>
                  <w:noWrap w:val="0"/>
                  <w:vAlign w:val="center"/>
                </w:tcPr>
                <w:p w14:paraId="6A40F372">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本项目信息均向社会公开，且积极接受广大群众和相关部门的监督</w:t>
                  </w:r>
                </w:p>
              </w:tc>
              <w:tc>
                <w:tcPr>
                  <w:tcW w:w="1307" w:type="dxa"/>
                  <w:noWrap w:val="0"/>
                  <w:vAlign w:val="center"/>
                </w:tcPr>
                <w:p w14:paraId="57F2BF5D">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67461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4" w:type="dxa"/>
                  <w:gridSpan w:val="3"/>
                  <w:noWrap w:val="0"/>
                  <w:vAlign w:val="center"/>
                </w:tcPr>
                <w:p w14:paraId="2EED5348">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十、加强目标考核，严格责任追究</w:t>
                  </w:r>
                </w:p>
              </w:tc>
            </w:tr>
            <w:tr w14:paraId="0EBB0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2" w:type="dxa"/>
                  <w:noWrap w:val="0"/>
                  <w:vAlign w:val="center"/>
                </w:tcPr>
                <w:p w14:paraId="703D04FA">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落实企业责任</w:t>
                  </w:r>
                </w:p>
              </w:tc>
              <w:tc>
                <w:tcPr>
                  <w:tcW w:w="3855" w:type="dxa"/>
                  <w:noWrap w:val="0"/>
                  <w:vAlign w:val="center"/>
                </w:tcPr>
                <w:p w14:paraId="0064B3EE">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本项目加强内部管理，严格依法依规建设和运营污染治理设施，确定相关污染物达标排放</w:t>
                  </w:r>
                </w:p>
              </w:tc>
              <w:tc>
                <w:tcPr>
                  <w:tcW w:w="1307" w:type="dxa"/>
                  <w:noWrap w:val="0"/>
                  <w:vAlign w:val="center"/>
                </w:tcPr>
                <w:p w14:paraId="3B636CE3">
                  <w:pPr>
                    <w:pStyle w:val="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bl>
          <w:p w14:paraId="23F84E9E">
            <w:pPr>
              <w:pStyle w:val="23"/>
              <w:adjustRightInd/>
              <w:spacing w:line="360" w:lineRule="auto"/>
              <w:ind w:firstLine="482" w:firstLineChars="200"/>
              <w:jc w:val="both"/>
              <w:rPr>
                <w:rFonts w:hint="default" w:ascii="Times New Roman" w:hAnsi="Times New Roman" w:cs="Times New Roman"/>
                <w:b/>
                <w:bCs/>
                <w:color w:val="auto"/>
              </w:rPr>
            </w:pPr>
            <w:r>
              <w:rPr>
                <w:rFonts w:hint="eastAsia" w:ascii="Times New Roman" w:hAnsi="Times New Roman" w:cs="Times New Roman"/>
                <w:b/>
                <w:bCs/>
                <w:color w:val="auto"/>
                <w:lang w:val="en-US" w:eastAsia="zh-CN"/>
              </w:rPr>
              <w:t>8</w:t>
            </w:r>
            <w:r>
              <w:rPr>
                <w:rFonts w:hint="default" w:ascii="Times New Roman" w:hAnsi="Times New Roman" w:cs="Times New Roman"/>
                <w:b/>
                <w:bCs/>
                <w:color w:val="auto"/>
              </w:rPr>
              <w:t>、与《基本农田保护条例》符合性分析</w:t>
            </w:r>
          </w:p>
          <w:p w14:paraId="24A4DAF2">
            <w:pPr>
              <w:pStyle w:val="23"/>
              <w:adjustRightInd/>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基本农田保护条例》（国务院第257号）中第十五条提到，基本农田保护区经依法划定后，任何单位和个人不得改变或者占用。国家能源、交通、水利、军事设施等重点建设项目选址确实无法避开基本农田，需要占用基本农田，涉及用地转用或者征收土地的，必须经国务院批准。占用基本农田的单位应当按照县级以上地方人民政府的要求，将所占用基本农田耕作层的土壤用于新开垦耕地劣质地或者其他耕地的土壤改良。</w:t>
            </w:r>
          </w:p>
          <w:p w14:paraId="236413BD">
            <w:pPr>
              <w:pStyle w:val="23"/>
              <w:adjustRightInd/>
              <w:spacing w:line="360" w:lineRule="auto"/>
              <w:ind w:firstLine="480" w:firstLineChars="200"/>
              <w:jc w:val="both"/>
              <w:rPr>
                <w:rFonts w:hint="default" w:ascii="Times New Roman" w:hAnsi="Times New Roman" w:cs="Times New Roman"/>
                <w:color w:val="auto"/>
              </w:rPr>
            </w:pPr>
            <w:r>
              <w:rPr>
                <w:rFonts w:hint="eastAsia" w:ascii="Times New Roman" w:hAnsi="Times New Roman" w:cs="Times New Roman"/>
                <w:color w:val="auto"/>
                <w:lang w:val="en-US" w:eastAsia="zh-CN"/>
              </w:rPr>
              <w:t>本项目临时占地面积为20784m</w:t>
            </w:r>
            <w:r>
              <w:rPr>
                <w:rFonts w:hint="eastAsia" w:ascii="Times New Roman" w:hAnsi="Times New Roman" w:cs="Times New Roman"/>
                <w:color w:val="auto"/>
                <w:vertAlign w:val="superscript"/>
                <w:lang w:val="en-US" w:eastAsia="zh-CN"/>
              </w:rPr>
              <w:t>2</w:t>
            </w:r>
            <w:r>
              <w:rPr>
                <w:rFonts w:hint="eastAsia" w:ascii="Times New Roman" w:hAnsi="Times New Roman" w:cs="Times New Roman"/>
                <w:color w:val="auto"/>
                <w:lang w:val="en-US" w:eastAsia="zh-CN"/>
              </w:rPr>
              <w:t>，占地类型为农用地，</w:t>
            </w:r>
            <w:r>
              <w:rPr>
                <w:rFonts w:hint="eastAsia" w:ascii="Times New Roman" w:hAnsi="Times New Roman" w:eastAsia="宋体" w:cs="Times New Roman"/>
                <w:color w:val="auto"/>
                <w:kern w:val="21"/>
                <w:highlight w:val="none"/>
              </w:rPr>
              <w:t>占用已划定永久基本农田</w:t>
            </w:r>
            <w:r>
              <w:rPr>
                <w:rFonts w:hint="eastAsia" w:ascii="Times New Roman" w:hAnsi="Times New Roman" w:eastAsia="宋体" w:cs="Times New Roman"/>
                <w:color w:val="auto"/>
                <w:kern w:val="21"/>
                <w:highlight w:val="none"/>
                <w:lang w:val="en-US" w:eastAsia="zh-CN"/>
              </w:rPr>
              <w:t>20579</w:t>
            </w: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2</w:t>
            </w:r>
            <w:r>
              <w:rPr>
                <w:rFonts w:hint="eastAsia" w:ascii="Times New Roman" w:hAnsi="Times New Roman" w:cs="Times New Roman"/>
                <w:color w:val="auto"/>
                <w:lang w:val="en-US" w:eastAsia="zh-CN"/>
              </w:rPr>
              <w:t>，占地不涉及生态保护红线。本项目为煤矿开采过程中一项辅助性工程，根据井田布局及开采需要项目施工无法避让基本农田，建设单位已按照相关要求取得了淮南市自然资源和规划局潘集分局出具了本项目临时用地初审意见，根据临时用地相关政策要求本次批复的用地时间为1年。</w:t>
            </w:r>
            <w:r>
              <w:rPr>
                <w:rFonts w:hint="default" w:ascii="Times New Roman" w:hAnsi="Times New Roman" w:cs="Times New Roman"/>
                <w:color w:val="auto"/>
              </w:rPr>
              <w:t>在施工过程中，建设单位采取土方开挖、分层开挖、分区堆放等措施减少基本农田破坏；在施工结束后，除补偿因临时占地对农田产量的直接损失外，还将考虑施工结束后因土壤结构破坏、养分流失而成的影响，对农作物产量的间接损失以及土壤恢复进行补偿，并依据分层回填的原则、严格按照《土地复垦方案》对临时用地进行耕作层土恢复。</w:t>
            </w:r>
          </w:p>
          <w:p w14:paraId="60718DFC">
            <w:pPr>
              <w:pStyle w:val="23"/>
              <w:adjustRightInd/>
              <w:spacing w:line="360" w:lineRule="auto"/>
              <w:ind w:firstLine="482" w:firstLineChars="200"/>
              <w:jc w:val="both"/>
              <w:rPr>
                <w:rFonts w:hint="default" w:ascii="Times New Roman" w:hAnsi="Times New Roman" w:cs="Times New Roman"/>
                <w:b/>
                <w:bCs/>
                <w:color w:val="auto"/>
              </w:rPr>
            </w:pPr>
            <w:r>
              <w:rPr>
                <w:rFonts w:hint="eastAsia" w:ascii="Times New Roman" w:hAnsi="Times New Roman" w:cs="Times New Roman"/>
                <w:b/>
                <w:bCs/>
                <w:color w:val="auto"/>
                <w:lang w:val="en-US" w:eastAsia="zh-CN"/>
              </w:rPr>
              <w:t>9</w:t>
            </w:r>
            <w:r>
              <w:rPr>
                <w:rFonts w:hint="default" w:ascii="Times New Roman" w:hAnsi="Times New Roman" w:cs="Times New Roman"/>
                <w:b/>
                <w:bCs/>
                <w:color w:val="auto"/>
              </w:rPr>
              <w:t>、</w:t>
            </w:r>
            <w:r>
              <w:rPr>
                <w:rFonts w:hint="eastAsia" w:ascii="Times New Roman" w:hAnsi="Times New Roman" w:cs="Times New Roman"/>
                <w:b/>
                <w:bCs/>
                <w:color w:val="auto"/>
                <w:lang w:val="en-US" w:eastAsia="zh-CN"/>
              </w:rPr>
              <w:t>与《关于加强和改进永久基本农田保护工作的通知》（自然资规</w:t>
            </w:r>
            <w:r>
              <w:rPr>
                <w:rFonts w:hint="default" w:ascii="Times New Roman" w:hAnsi="Times New Roman" w:cs="Times New Roman"/>
                <w:b/>
                <w:bCs/>
                <w:color w:val="auto"/>
                <w:sz w:val="24"/>
                <w:szCs w:val="24"/>
                <w:lang w:val="en-US" w:eastAsia="zh-CN"/>
              </w:rPr>
              <w:t>〔20</w:t>
            </w:r>
            <w:r>
              <w:rPr>
                <w:rFonts w:hint="eastAsia" w:ascii="Times New Roman" w:hAnsi="Times New Roman" w:cs="Times New Roman"/>
                <w:b/>
                <w:bCs/>
                <w:color w:val="auto"/>
                <w:sz w:val="24"/>
                <w:szCs w:val="24"/>
                <w:lang w:val="en-US" w:eastAsia="zh-CN"/>
              </w:rPr>
              <w:t>19</w:t>
            </w:r>
            <w:r>
              <w:rPr>
                <w:rFonts w:hint="default" w:ascii="Times New Roman" w:hAnsi="Times New Roman" w:cs="Times New Roman"/>
                <w:b/>
                <w:bCs/>
                <w:color w:val="auto"/>
                <w:sz w:val="24"/>
                <w:szCs w:val="24"/>
                <w:lang w:val="en-US" w:eastAsia="zh-CN"/>
              </w:rPr>
              <w:t>〕</w:t>
            </w:r>
            <w:r>
              <w:rPr>
                <w:rFonts w:hint="eastAsia" w:ascii="Times New Roman" w:hAnsi="Times New Roman" w:cs="Times New Roman"/>
                <w:b/>
                <w:bCs/>
                <w:color w:val="auto"/>
                <w:lang w:val="en-US" w:eastAsia="zh-CN"/>
              </w:rPr>
              <w:t>1号）符合性分析</w:t>
            </w:r>
          </w:p>
          <w:p w14:paraId="2482B017">
            <w:pPr>
              <w:pStyle w:val="23"/>
              <w:adjustRightInd/>
              <w:spacing w:line="360" w:lineRule="auto"/>
              <w:ind w:firstLine="480" w:firstLineChars="200"/>
              <w:jc w:val="both"/>
              <w:rPr>
                <w:rFonts w:hint="default" w:ascii="Times New Roman" w:hAnsi="Times New Roman" w:cs="Times New Roman"/>
                <w:color w:val="auto"/>
                <w:highlight w:val="none"/>
              </w:rPr>
            </w:pPr>
            <w:r>
              <w:rPr>
                <w:rFonts w:hint="eastAsia" w:ascii="Times New Roman" w:hAnsi="Times New Roman" w:cs="Times New Roman"/>
                <w:color w:val="auto"/>
                <w:lang w:val="en-US" w:eastAsia="zh-CN"/>
              </w:rPr>
              <w:t>根据</w:t>
            </w:r>
            <w:r>
              <w:rPr>
                <w:rFonts w:hint="default" w:ascii="Times New Roman" w:hAnsi="Times New Roman" w:cs="Times New Roman"/>
                <w:color w:val="auto"/>
              </w:rPr>
              <w:t>自然资源部、农业农村部印发《关于加强和改进永久基本农田保护工作的通知》（自然资规</w:t>
            </w:r>
            <w:r>
              <w:rPr>
                <w:rFonts w:hint="default" w:ascii="Times New Roman" w:hAnsi="Times New Roman" w:cs="Times New Roman"/>
                <w:b/>
                <w:bCs/>
                <w:color w:val="auto"/>
                <w:sz w:val="24"/>
                <w:szCs w:val="24"/>
                <w:lang w:val="en-US" w:eastAsia="zh-CN"/>
              </w:rPr>
              <w:t>〔20</w:t>
            </w:r>
            <w:r>
              <w:rPr>
                <w:rFonts w:hint="eastAsia" w:ascii="Times New Roman" w:hAnsi="Times New Roman" w:cs="Times New Roman"/>
                <w:b/>
                <w:bCs/>
                <w:color w:val="auto"/>
                <w:sz w:val="24"/>
                <w:szCs w:val="24"/>
                <w:lang w:val="en-US" w:eastAsia="zh-CN"/>
              </w:rPr>
              <w:t>19</w:t>
            </w:r>
            <w:r>
              <w:rPr>
                <w:rFonts w:hint="default" w:ascii="Times New Roman" w:hAnsi="Times New Roman" w:cs="Times New Roman"/>
                <w:b/>
                <w:bCs/>
                <w:color w:val="auto"/>
                <w:sz w:val="24"/>
                <w:szCs w:val="24"/>
                <w:lang w:val="en-US" w:eastAsia="zh-CN"/>
              </w:rPr>
              <w:t>〕</w:t>
            </w:r>
            <w:r>
              <w:rPr>
                <w:rFonts w:hint="eastAsia" w:ascii="Times New Roman" w:hAnsi="Times New Roman" w:cs="Times New Roman"/>
                <w:b/>
                <w:bCs/>
                <w:color w:val="auto"/>
                <w:lang w:val="en-US" w:eastAsia="zh-CN"/>
              </w:rPr>
              <w:t>1号</w:t>
            </w:r>
            <w:r>
              <w:rPr>
                <w:rFonts w:hint="default" w:ascii="Times New Roman" w:hAnsi="Times New Roman" w:cs="Times New Roman"/>
                <w:color w:val="auto"/>
              </w:rPr>
              <w:t>）中相关规定，“临时用地一般不得占用永久基本农田，建设项目施工和地质勘查需要临时用地、选址确实难以避让永久基本农田的，在不修建永久性建（构）筑物、经复垦能恢复原种植条件的前提下，土地使用者按法定程序申请临时用地并编制土地复垦方案，经县级自然资源主管部门批准可临时占用，并在市级自然资源主管部门备案，一般不超过两年。同时，通过耕地耕作层土壤剥离再利用等工程技术措施，减少对耕作层的破坏。</w:t>
            </w:r>
            <w:r>
              <w:rPr>
                <w:rFonts w:hint="default" w:ascii="Times New Roman" w:hAnsi="Times New Roman" w:cs="Times New Roman"/>
                <w:color w:val="auto"/>
                <w:highlight w:val="none"/>
              </w:rPr>
              <w:t>临时用地到期后土地使用者应及时复垦恢复原种植条件，自然资源主管部门会同农业农村等相关主管部门开展土地复垦验收，验收合格的，继续按照永久基本农田保护和管理；验收不合格的，责令土地使用者进行整改，经整改仍不合格的，按照《土地复垦条例》规定由自然资源主管部门使用缴纳的土地复垦费代为组织复垦，并由自然资源主管部门会同农业农村等相关主管部门开展土地复垦验收。自然资源主管部门要切实履行职责，对在临时用地上修建永久性建（构）筑物或其他造成无法恢复原种植条件的行为依法进行处理；市级自然资源主管部门负责临时用地使用情况的监督管理，通过日常检查、年度卫片执法检查等，及时发现并纠正临时用地中存在的问题。”</w:t>
            </w:r>
          </w:p>
          <w:p w14:paraId="4EF4DEFB">
            <w:pPr>
              <w:pStyle w:val="23"/>
              <w:adjustRightInd/>
              <w:spacing w:line="360" w:lineRule="auto"/>
              <w:ind w:firstLine="480" w:firstLineChars="200"/>
              <w:jc w:val="both"/>
              <w:rPr>
                <w:rFonts w:hint="default" w:ascii="Times New Roman" w:hAnsi="Times New Roman" w:cs="Times New Roman"/>
                <w:color w:val="auto"/>
                <w:highlight w:val="none"/>
                <w:lang w:val="en-US" w:eastAsia="zh-CN"/>
              </w:rPr>
            </w:pPr>
            <w:r>
              <w:rPr>
                <w:rFonts w:hint="default" w:ascii="Times New Roman" w:hAnsi="Times New Roman" w:cs="Times New Roman"/>
                <w:color w:val="auto"/>
              </w:rPr>
              <w:t>本项目为了后期煤矿瓦斯安全抽采、消除煤与瓦斯突出危险所实施的钻井工程，属于地质勘查技术服务项目，</w:t>
            </w:r>
            <w:r>
              <w:rPr>
                <w:rFonts w:hint="default" w:ascii="Times New Roman" w:hAnsi="Times New Roman" w:cs="Times New Roman"/>
                <w:color w:val="auto"/>
                <w:highlight w:val="none"/>
              </w:rPr>
              <w:t>临时用地面积为</w:t>
            </w:r>
            <w:r>
              <w:rPr>
                <w:rFonts w:hint="default" w:ascii="Times New Roman" w:hAnsi="Times New Roman" w:cs="Times New Roman"/>
                <w:color w:val="auto"/>
                <w:highlight w:val="none"/>
                <w:lang w:val="en-US" w:eastAsia="zh-CN"/>
              </w:rPr>
              <w:t>20784</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，用地时间预计为</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年。中安联合煤化有限责任公司委托施工单位中国煤炭地质总局地球物理勘探研究院办理了项目临时用地相关手续。项目租用安徽省淮南市潘集区贺疃镇境内的土地作为本项目的临时建设用地</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2025年8月12日，淮南市自然资源和规划局潘集分局出具了本项目临时用地初审意见。</w:t>
            </w:r>
          </w:p>
          <w:p w14:paraId="6EFEBDDC">
            <w:pPr>
              <w:pStyle w:val="23"/>
              <w:adjustRightInd/>
              <w:spacing w:line="360" w:lineRule="auto"/>
              <w:ind w:firstLine="482" w:firstLineChars="200"/>
              <w:rPr>
                <w:rFonts w:hint="default" w:ascii="Times New Roman" w:hAnsi="Times New Roman" w:cs="Times New Roman"/>
                <w:color w:val="auto"/>
              </w:rPr>
            </w:pPr>
            <w:r>
              <w:rPr>
                <w:rFonts w:hint="eastAsia" w:ascii="Times New Roman" w:hAnsi="Times New Roman" w:cs="Times New Roman"/>
                <w:b/>
                <w:bCs/>
                <w:color w:val="auto"/>
                <w:lang w:val="en-US" w:eastAsia="zh-CN"/>
              </w:rPr>
              <w:t>10</w:t>
            </w:r>
            <w:r>
              <w:rPr>
                <w:rFonts w:hint="default" w:ascii="Times New Roman" w:hAnsi="Times New Roman" w:cs="Times New Roman"/>
                <w:b/>
                <w:bCs/>
                <w:color w:val="auto"/>
              </w:rPr>
              <w:t>、项目选址合理性分析</w:t>
            </w:r>
          </w:p>
          <w:p w14:paraId="5D2D271B">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本项目所在地区以农业生态环境为主，少有珍稀野生动植物分布、无自然保护区及风景名胜区等环境制约因素。</w:t>
            </w:r>
            <w:r>
              <w:rPr>
                <w:rFonts w:hint="default" w:ascii="Times New Roman" w:hAnsi="Times New Roman" w:cs="Times New Roman"/>
                <w:color w:val="auto"/>
                <w:sz w:val="24"/>
                <w:highlight w:val="none"/>
              </w:rPr>
              <w:t>项目临时用地面积为2</w:t>
            </w:r>
            <w:r>
              <w:rPr>
                <w:rFonts w:hint="default" w:ascii="Times New Roman" w:hAnsi="Times New Roman" w:cs="Times New Roman"/>
                <w:color w:val="auto"/>
                <w:sz w:val="24"/>
                <w:highlight w:val="none"/>
                <w:lang w:val="en-US" w:eastAsia="zh-CN"/>
              </w:rPr>
              <w:t>0784</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w:t>
            </w:r>
            <w:r>
              <w:rPr>
                <w:rFonts w:hint="default" w:ascii="Times New Roman" w:hAnsi="Times New Roman" w:cs="Times New Roman"/>
                <w:color w:val="auto"/>
                <w:sz w:val="24"/>
              </w:rPr>
              <w:t>根据《土地复垦条例》和《土地复垦条例实施办法》中有关要求，是指对生产建设活动和自然灾害损毁的土地，采取整治措施，使其达到可供利用状态的活动。按照“谁损毁，谁复垦”的原则，由生产建设单位或者个人负责复垦，以恢复其原有使用功能予以合理利用。为保护和合理利用耕作层土壤，施工前将耕作层土壤取出集中堆置贮存，用作本项目土地复垦后的表层土壤，改良复垦土地的土壤，使其尽快熟化以利于农业耕作，恢复原有使用功能。</w:t>
            </w:r>
          </w:p>
          <w:p w14:paraId="72676C6B">
            <w:pPr>
              <w:pStyle w:val="23"/>
              <w:adjustRightInd/>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经现场调查，项目施工场地周边主要为农田和村庄。项目区范围内无自然保护区、风景名胜区、世界文化和自然遗产、饮用水水源保护区；也没有以医疗卫生、</w:t>
            </w:r>
            <w:r>
              <w:rPr>
                <w:rFonts w:hint="default" w:ascii="Times New Roman" w:hAnsi="Times New Roman" w:eastAsia="宋体" w:cs="Times New Roman"/>
                <w:color w:val="auto"/>
              </w:rPr>
              <w:t>文化教育</w:t>
            </w:r>
            <w:r>
              <w:rPr>
                <w:rFonts w:hint="default" w:ascii="Times New Roman" w:hAnsi="Times New Roman" w:cs="Times New Roman"/>
                <w:color w:val="auto"/>
              </w:rPr>
              <w:t>、科研、行政办公等为主要功能的区域，无文物保护单位，无具有特殊历史、文化、科学、民族意义的保护地等环境敏感区，因此本项目选址合理可行。</w:t>
            </w:r>
          </w:p>
          <w:p w14:paraId="7454A506">
            <w:pPr>
              <w:pStyle w:val="23"/>
              <w:adjustRightInd/>
              <w:spacing w:line="360" w:lineRule="auto"/>
              <w:ind w:firstLine="482" w:firstLineChars="20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1</w:t>
            </w:r>
            <w:r>
              <w:rPr>
                <w:rFonts w:hint="eastAsia" w:ascii="Times New Roman" w:hAnsi="Times New Roman" w:cs="Times New Roman"/>
                <w:b/>
                <w:bCs/>
                <w:color w:val="auto"/>
                <w:lang w:val="en-US" w:eastAsia="zh-CN"/>
              </w:rPr>
              <w:t>1</w:t>
            </w:r>
            <w:r>
              <w:rPr>
                <w:rFonts w:hint="default" w:ascii="Times New Roman" w:hAnsi="Times New Roman" w:eastAsia="宋体" w:cs="Times New Roman"/>
                <w:b/>
                <w:bCs/>
                <w:color w:val="auto"/>
                <w:lang w:val="en-US" w:eastAsia="zh-CN"/>
              </w:rPr>
              <w:t>、与《淮南市扬尘污染防治条例》符合性分析</w:t>
            </w:r>
          </w:p>
          <w:p w14:paraId="3457450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szCs w:val="24"/>
                <w:lang w:val="en-US" w:eastAsia="zh-CN" w:bidi="ar-SA"/>
              </w:rPr>
              <w:t>淮南市扬尘污染防治条例要求，施工单位应当制定并落实具体的施工扬尘污染防治实施方案，在施工现场出入口公示扬尘污染防治措施、责任主体及责任人、环保监督员、扬尘监管主管部门等有关信息，接受社会和公众监督。施工现场设置密闭硬质围挡，出入口、主要道路和场区应当硬化，设置车辆出入冲洗和污水收集设施，车辆冲洗干净后方可驶出；产生的建筑垃圾和渣土，采用封闭方式清运，不能及时清运的，应当采取覆盖防尘布、防尘网等措施；本项目建设过程中严格按照《淮南市扬尘污染防治条例》相关要求执行，文明施工、绿色施工。项目建设符合淮南市扬尘污染防治条例要求。</w:t>
            </w:r>
          </w:p>
        </w:tc>
      </w:tr>
    </w:tbl>
    <w:p w14:paraId="2978903A">
      <w:pPr>
        <w:spacing w:line="360" w:lineRule="auto"/>
        <w:outlineLvl w:val="0"/>
        <w:rPr>
          <w:rFonts w:ascii="Times New Roman" w:hAnsi="Times New Roman" w:eastAsia="黑体"/>
          <w:color w:val="auto"/>
          <w:sz w:val="30"/>
        </w:rPr>
        <w:sectPr>
          <w:footerReference r:id="rId5" w:type="default"/>
          <w:pgSz w:w="11906" w:h="16838"/>
          <w:pgMar w:top="1701" w:right="1531" w:bottom="1701" w:left="1531" w:header="851" w:footer="1077" w:gutter="0"/>
          <w:pgNumType w:start="1"/>
          <w:cols w:space="720" w:num="1"/>
          <w:docGrid w:linePitch="312" w:charSpace="0"/>
        </w:sectPr>
      </w:pPr>
    </w:p>
    <w:p w14:paraId="082B4C6C">
      <w:pPr>
        <w:pStyle w:val="16"/>
        <w:numPr>
          <w:ilvl w:val="0"/>
          <w:numId w:val="2"/>
        </w:numPr>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建设内容</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4"/>
        <w:gridCol w:w="8068"/>
      </w:tblGrid>
      <w:tr w14:paraId="6347FE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454" w:type="dxa"/>
            <w:noWrap w:val="0"/>
            <w:vAlign w:val="center"/>
          </w:tcPr>
          <w:p w14:paraId="6599B2E4">
            <w:pPr>
              <w:adjustRightInd w:val="0"/>
              <w:snapToGrid w:val="0"/>
              <w:jc w:val="center"/>
              <w:rPr>
                <w:rFonts w:ascii="Times New Roman" w:hAnsi="Times New Roman"/>
                <w:color w:val="auto"/>
                <w:kern w:val="0"/>
                <w:sz w:val="24"/>
              </w:rPr>
            </w:pPr>
            <w:r>
              <w:rPr>
                <w:rFonts w:ascii="Times New Roman" w:hAnsi="Times New Roman"/>
                <w:color w:val="auto"/>
                <w:kern w:val="0"/>
                <w:sz w:val="24"/>
              </w:rPr>
              <w:t>地理位置</w:t>
            </w:r>
          </w:p>
        </w:tc>
        <w:tc>
          <w:tcPr>
            <w:tcW w:w="8068" w:type="dxa"/>
            <w:noWrap w:val="0"/>
            <w:vAlign w:val="center"/>
          </w:tcPr>
          <w:p w14:paraId="74BDDA9C">
            <w:pPr>
              <w:spacing w:line="360" w:lineRule="auto"/>
              <w:ind w:firstLine="480" w:firstLineChars="200"/>
              <w:rPr>
                <w:rFonts w:ascii="Times New Roman" w:hAnsi="Times New Roman"/>
                <w:color w:val="auto"/>
                <w:sz w:val="24"/>
              </w:rPr>
            </w:pPr>
            <w:r>
              <w:rPr>
                <w:rFonts w:ascii="Times New Roman" w:hAnsi="Times New Roman"/>
                <w:color w:val="auto"/>
                <w:sz w:val="24"/>
              </w:rPr>
              <w:t>项目位于安徽省淮南市潘集区贺疃镇境内，项目地理位置图见附图1。</w:t>
            </w:r>
          </w:p>
        </w:tc>
      </w:tr>
      <w:tr w14:paraId="4C3E24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dxa"/>
            <w:noWrap w:val="0"/>
            <w:vAlign w:val="center"/>
          </w:tcPr>
          <w:p w14:paraId="2D774ADE">
            <w:pPr>
              <w:adjustRightInd w:val="0"/>
              <w:snapToGrid w:val="0"/>
              <w:jc w:val="center"/>
              <w:rPr>
                <w:rFonts w:ascii="Times New Roman" w:hAnsi="Times New Roman"/>
                <w:color w:val="auto"/>
                <w:kern w:val="0"/>
                <w:sz w:val="24"/>
              </w:rPr>
            </w:pPr>
            <w:r>
              <w:rPr>
                <w:rFonts w:ascii="Times New Roman" w:hAnsi="Times New Roman"/>
                <w:color w:val="auto"/>
                <w:kern w:val="0"/>
                <w:sz w:val="24"/>
              </w:rPr>
              <w:t>项目组成及规模</w:t>
            </w:r>
          </w:p>
        </w:tc>
        <w:tc>
          <w:tcPr>
            <w:tcW w:w="8068" w:type="dxa"/>
            <w:noWrap w:val="0"/>
            <w:vAlign w:val="center"/>
          </w:tcPr>
          <w:p w14:paraId="4DBFB068">
            <w:pPr>
              <w:spacing w:line="360" w:lineRule="auto"/>
              <w:ind w:firstLine="482" w:firstLineChars="200"/>
              <w:rPr>
                <w:rFonts w:ascii="Times New Roman" w:hAnsi="Times New Roman"/>
                <w:b/>
                <w:color w:val="auto"/>
                <w:sz w:val="24"/>
              </w:rPr>
            </w:pPr>
            <w:r>
              <w:rPr>
                <w:rFonts w:ascii="Times New Roman" w:hAnsi="Times New Roman"/>
                <w:b/>
                <w:color w:val="auto"/>
                <w:sz w:val="24"/>
              </w:rPr>
              <w:t>1、项目建设背景</w:t>
            </w:r>
          </w:p>
          <w:p w14:paraId="3174C172">
            <w:pPr>
              <w:tabs>
                <w:tab w:val="left" w:pos="4815"/>
              </w:tabs>
              <w:spacing w:line="360" w:lineRule="auto"/>
              <w:ind w:firstLine="480" w:firstLineChars="200"/>
              <w:rPr>
                <w:rFonts w:ascii="Times New Roman" w:hAnsi="Times New Roman"/>
                <w:color w:val="auto"/>
                <w:sz w:val="24"/>
              </w:rPr>
            </w:pPr>
            <w:r>
              <w:rPr>
                <w:rFonts w:hint="eastAsia" w:ascii="Times New Roman" w:hAnsi="Times New Roman"/>
                <w:bCs/>
                <w:color w:val="auto"/>
                <w:sz w:val="24"/>
              </w:rPr>
              <w:t>朱集西煤矿11404工作面地面钻井项目</w:t>
            </w:r>
            <w:r>
              <w:rPr>
                <w:rFonts w:ascii="Times New Roman"/>
                <w:bCs/>
                <w:color w:val="auto"/>
                <w:sz w:val="24"/>
              </w:rPr>
              <w:t>是为了后期煤矿瓦斯安全抽采、消除煤与瓦斯突出危险所实施的工程，根据《防治煤与瓦斯突出细则》中第九十四条采煤工作面可采用的工作面防突措施有超前排放钻孔、预抽瓦斯、松动爆破、注水湿润煤体或其他经试验证实有效的防突措施。依据《煤矿安全规程》</w:t>
            </w:r>
            <w:r>
              <w:rPr>
                <w:rFonts w:ascii="Times New Roman" w:hAnsi="Times New Roman"/>
                <w:bCs/>
                <w:color w:val="auto"/>
                <w:sz w:val="24"/>
              </w:rPr>
              <w:t xml:space="preserve"> (2022</w:t>
            </w:r>
            <w:r>
              <w:rPr>
                <w:rFonts w:ascii="Times New Roman"/>
                <w:bCs/>
                <w:color w:val="auto"/>
                <w:sz w:val="24"/>
              </w:rPr>
              <w:t>版</w:t>
            </w:r>
            <w:r>
              <w:rPr>
                <w:rFonts w:ascii="Times New Roman" w:hAnsi="Times New Roman"/>
                <w:bCs/>
                <w:color w:val="auto"/>
                <w:sz w:val="24"/>
              </w:rPr>
              <w:t xml:space="preserve">) </w:t>
            </w:r>
            <w:r>
              <w:rPr>
                <w:rFonts w:ascii="Times New Roman"/>
                <w:bCs/>
                <w:color w:val="auto"/>
                <w:sz w:val="24"/>
              </w:rPr>
              <w:t>中第一百九十四条第</w:t>
            </w:r>
            <w:r>
              <w:rPr>
                <w:rFonts w:ascii="Times New Roman" w:hAnsi="Times New Roman"/>
                <w:bCs/>
                <w:color w:val="auto"/>
                <w:sz w:val="24"/>
              </w:rPr>
              <w:t>(</w:t>
            </w:r>
            <w:r>
              <w:rPr>
                <w:rFonts w:ascii="Times New Roman"/>
                <w:bCs/>
                <w:color w:val="auto"/>
                <w:sz w:val="24"/>
              </w:rPr>
              <w:t>五</w:t>
            </w:r>
            <w:r>
              <w:rPr>
                <w:rFonts w:ascii="Times New Roman" w:hAnsi="Times New Roman"/>
                <w:bCs/>
                <w:color w:val="auto"/>
                <w:sz w:val="24"/>
              </w:rPr>
              <w:t xml:space="preserve">) </w:t>
            </w:r>
            <w:r>
              <w:rPr>
                <w:rFonts w:ascii="Times New Roman"/>
                <w:bCs/>
                <w:color w:val="auto"/>
                <w:sz w:val="24"/>
              </w:rPr>
              <w:t>项，对煤层瓦斯压力达到或者超过</w:t>
            </w:r>
            <w:r>
              <w:rPr>
                <w:rFonts w:ascii="Times New Roman" w:hAnsi="Times New Roman"/>
                <w:bCs/>
                <w:color w:val="auto"/>
                <w:sz w:val="24"/>
              </w:rPr>
              <w:t>3MPa</w:t>
            </w:r>
            <w:r>
              <w:rPr>
                <w:rFonts w:ascii="Times New Roman"/>
                <w:bCs/>
                <w:color w:val="auto"/>
                <w:sz w:val="24"/>
              </w:rPr>
              <w:t>的区域，必须采用地面钻井预抽煤层瓦斯。</w:t>
            </w:r>
            <w:r>
              <w:rPr>
                <w:rFonts w:hint="eastAsia" w:ascii="Times New Roman"/>
                <w:bCs/>
                <w:color w:val="auto"/>
                <w:sz w:val="24"/>
              </w:rPr>
              <w:t>由于受井下巷道限制及钻孔工程量等多重因素影响，根据朱集西煤矿区域瓦斯治理模式，同时借鉴朱集西矿及周边矿井瓦斯治理经验和做法，</w:t>
            </w:r>
            <w:r>
              <w:rPr>
                <w:rFonts w:hint="eastAsia" w:ascii="Times New Roman"/>
                <w:bCs/>
                <w:color w:val="auto"/>
                <w:sz w:val="24"/>
                <w:lang w:val="en-US" w:eastAsia="zh-CN"/>
              </w:rPr>
              <w:t>计划</w:t>
            </w:r>
            <w:r>
              <w:rPr>
                <w:rFonts w:hint="eastAsia" w:ascii="Times New Roman"/>
                <w:bCs/>
                <w:color w:val="auto"/>
                <w:sz w:val="24"/>
              </w:rPr>
              <w:t>在11404工作面实施13口地面钻井抽采11-2煤回采期间采空区瓦斯及13-1煤层卸压瓦斯。</w:t>
            </w:r>
            <w:r>
              <w:rPr>
                <w:rFonts w:ascii="Times New Roman"/>
                <w:bCs/>
                <w:color w:val="auto"/>
                <w:sz w:val="24"/>
              </w:rPr>
              <w:t>本项目实施是为了</w:t>
            </w:r>
            <w:r>
              <w:rPr>
                <w:rFonts w:ascii="Times New Roman"/>
                <w:color w:val="auto"/>
                <w:sz w:val="24"/>
              </w:rPr>
              <w:t>采掘面瓦斯抽采预先进行的钻前工程、钻井工程、复垦工程。由于本项目的实施是为了消除煤炭开采的安全隐患，为后期采掘面预抽采做前期准备工作。项目的建设能够确保以下几个方面安全实施：</w:t>
            </w:r>
          </w:p>
          <w:p w14:paraId="28CD023F">
            <w:pPr>
              <w:pStyle w:val="26"/>
              <w:adjustRightInd/>
              <w:snapToGrid/>
              <w:ind w:firstLine="482"/>
              <w:rPr>
                <w:rFonts w:ascii="Times New Roman" w:hAnsi="Times New Roman" w:eastAsia="宋体"/>
                <w:color w:val="auto"/>
                <w:sz w:val="24"/>
                <w:szCs w:val="24"/>
              </w:rPr>
            </w:pPr>
            <w:r>
              <w:rPr>
                <w:rFonts w:ascii="Times New Roman" w:hAnsi="Times New Roman" w:eastAsia="宋体"/>
                <w:color w:val="auto"/>
                <w:sz w:val="24"/>
                <w:szCs w:val="24"/>
              </w:rPr>
              <w:t>（一）有利于解决瓦斯突出问题，确保煤矿安全生产</w:t>
            </w:r>
          </w:p>
          <w:p w14:paraId="3C2DAEED">
            <w:pPr>
              <w:pStyle w:val="26"/>
              <w:adjustRightInd/>
              <w:snapToGrid/>
              <w:ind w:firstLine="480"/>
              <w:rPr>
                <w:rFonts w:hint="eastAsia" w:ascii="Times New Roman" w:hAnsi="Times New Roman" w:eastAsia="宋体"/>
                <w:b w:val="0"/>
                <w:color w:val="auto"/>
                <w:sz w:val="24"/>
                <w:szCs w:val="24"/>
              </w:rPr>
            </w:pPr>
            <w:r>
              <w:rPr>
                <w:rFonts w:hint="eastAsia" w:ascii="Times New Roman" w:hAnsi="Times New Roman" w:eastAsia="宋体"/>
                <w:b w:val="0"/>
                <w:color w:val="auto"/>
                <w:sz w:val="24"/>
                <w:szCs w:val="24"/>
              </w:rPr>
              <w:t>从国家政策上来讲，煤层瓦斯压力达到或超过2MPa的区域，钻孔施工与受威胁的掘进工作面，以及回风流中的采掘工作面不得同时作业；将逐步限制煤层瓦斯压力大于3MPa的区域井下瓦斯治理工程，强制使用地面井预抽区域措施。</w:t>
            </w:r>
          </w:p>
          <w:p w14:paraId="3F11FDC2">
            <w:pPr>
              <w:pStyle w:val="26"/>
              <w:adjustRightInd/>
              <w:snapToGrid/>
              <w:ind w:firstLine="480"/>
              <w:rPr>
                <w:rFonts w:ascii="Times New Roman" w:hAnsi="Times New Roman" w:eastAsia="宋体"/>
                <w:b w:val="0"/>
                <w:color w:val="auto"/>
                <w:sz w:val="24"/>
                <w:szCs w:val="24"/>
              </w:rPr>
            </w:pPr>
            <w:r>
              <w:rPr>
                <w:rFonts w:hint="eastAsia" w:ascii="Times New Roman" w:hAnsi="Times New Roman" w:eastAsia="宋体"/>
                <w:b w:val="0"/>
                <w:color w:val="auto"/>
                <w:sz w:val="24"/>
                <w:szCs w:val="24"/>
              </w:rPr>
              <w:t>朱集西煤矿主采一水平的11-2、13-1突出煤层，开采集中在四、五采区,采用保护层开采和区域综合防突措施，以地面垂直井卸压抽采为主、井下钻孔抽采为辅。原地面钻井间距160~180m布置，抽采效果良好，但存在井下钻孔工程量大、施工风险高、成本高等问题，无法满足矿井安全高效生产需求。采动区地面钻井抽采控制范围大、抽采量大、技术成熟且不受井下采掘影响，本次11404工作面将钻井间距缩至130~140m，能大幅减少井下钻孔工程，将瓦斯治理从井下转移到地面，对矿井安全高效生产意义重大</w:t>
            </w:r>
            <w:r>
              <w:rPr>
                <w:rFonts w:ascii="Times New Roman" w:hAnsi="Times New Roman" w:eastAsia="宋体"/>
                <w:b w:val="0"/>
                <w:color w:val="auto"/>
                <w:sz w:val="24"/>
                <w:szCs w:val="24"/>
              </w:rPr>
              <w:t>。</w:t>
            </w:r>
          </w:p>
          <w:p w14:paraId="2A4E8B9A">
            <w:pPr>
              <w:pStyle w:val="26"/>
              <w:adjustRightInd/>
              <w:snapToGrid/>
              <w:ind w:firstLine="482"/>
              <w:rPr>
                <w:rFonts w:ascii="Times New Roman" w:hAnsi="Times New Roman" w:eastAsia="宋体"/>
                <w:color w:val="auto"/>
                <w:sz w:val="24"/>
                <w:szCs w:val="24"/>
              </w:rPr>
            </w:pPr>
            <w:r>
              <w:rPr>
                <w:rFonts w:ascii="Times New Roman" w:hAnsi="Times New Roman" w:eastAsia="宋体"/>
                <w:color w:val="auto"/>
                <w:sz w:val="24"/>
                <w:szCs w:val="24"/>
              </w:rPr>
              <w:t>（二）有利于保护生态环境，适应清洁低碳、安全高效能源发展要求</w:t>
            </w:r>
          </w:p>
          <w:p w14:paraId="71AC6855">
            <w:pPr>
              <w:pStyle w:val="30"/>
              <w:adjustRightInd/>
              <w:snapToGrid/>
              <w:ind w:firstLine="480"/>
              <w:rPr>
                <w:rFonts w:ascii="Times New Roman" w:hAnsi="Times New Roman" w:eastAsia="宋体"/>
                <w:color w:val="auto"/>
                <w:sz w:val="24"/>
                <w:szCs w:val="24"/>
              </w:rPr>
            </w:pPr>
            <w:r>
              <w:rPr>
                <w:rFonts w:ascii="Times New Roman" w:hAnsi="Times New Roman" w:eastAsia="宋体"/>
                <w:color w:val="auto"/>
                <w:sz w:val="24"/>
                <w:szCs w:val="24"/>
              </w:rPr>
              <w:t>煤层气的主要成分是甲烷，其温室效应约为二氧化碳的21倍，对生态环境破坏性极强。随着国家提出2030年碳达峰、2060年碳中和目标，以及《碳排放权交易管理办法（试行）》的出台，能源行业加速向低碳化、智能化、分布化、市场化转型。通过地面瓦斯治理井，抽出的瓦斯基本可以100%利用，有效降低甲烷的排放量，减少大气污染，降低温室效应，保护生态环境。</w:t>
            </w:r>
          </w:p>
          <w:p w14:paraId="1C66D0CE">
            <w:pPr>
              <w:pStyle w:val="26"/>
              <w:adjustRightInd/>
              <w:snapToGrid/>
              <w:ind w:firstLine="482"/>
              <w:rPr>
                <w:rFonts w:ascii="Times New Roman" w:hAnsi="Times New Roman" w:eastAsia="宋体"/>
                <w:color w:val="auto"/>
                <w:sz w:val="24"/>
                <w:szCs w:val="24"/>
              </w:rPr>
            </w:pPr>
            <w:r>
              <w:rPr>
                <w:rFonts w:ascii="Times New Roman" w:hAnsi="Times New Roman" w:eastAsia="宋体"/>
                <w:color w:val="auto"/>
                <w:sz w:val="24"/>
                <w:szCs w:val="24"/>
              </w:rPr>
              <w:t>（三）有利于与采场接替协同，实现矿井可持续发展</w:t>
            </w:r>
          </w:p>
          <w:p w14:paraId="673F4E33">
            <w:pPr>
              <w:pStyle w:val="26"/>
              <w:adjustRightInd/>
              <w:snapToGrid/>
              <w:ind w:firstLine="480"/>
              <w:rPr>
                <w:rFonts w:ascii="Times New Roman" w:hAnsi="Times New Roman" w:eastAsia="宋体"/>
                <w:b w:val="0"/>
                <w:color w:val="auto"/>
                <w:sz w:val="21"/>
                <w:szCs w:val="21"/>
              </w:rPr>
            </w:pPr>
            <w:r>
              <w:rPr>
                <w:rFonts w:ascii="Times New Roman" w:hAnsi="Times New Roman" w:eastAsia="宋体"/>
                <w:b w:val="0"/>
                <w:color w:val="auto"/>
                <w:sz w:val="24"/>
                <w:szCs w:val="24"/>
              </w:rPr>
              <w:t>实施地面瓦斯治理井预抽区域防突措施，能够将井下瓦斯治理改为超前地面区域治理，实现以“超前治理时间”换“井下作业空间”，有利于井下采掘接替。</w:t>
            </w:r>
          </w:p>
          <w:p w14:paraId="05B16B5A">
            <w:pPr>
              <w:spacing w:line="360" w:lineRule="auto"/>
              <w:ind w:firstLine="482" w:firstLineChars="200"/>
              <w:rPr>
                <w:rFonts w:ascii="Times New Roman" w:hAnsi="Times New Roman"/>
                <w:b/>
                <w:bCs/>
                <w:color w:val="auto"/>
                <w:sz w:val="24"/>
                <w:shd w:val="clear" w:color="auto" w:fill="FFFFFF"/>
              </w:rPr>
            </w:pPr>
            <w:r>
              <w:rPr>
                <w:rFonts w:ascii="Times New Roman" w:hAnsi="Times New Roman"/>
                <w:b/>
                <w:bCs/>
                <w:color w:val="auto"/>
                <w:sz w:val="24"/>
                <w:shd w:val="clear" w:color="auto" w:fill="FFFFFF"/>
              </w:rPr>
              <w:t>2、项目概况</w:t>
            </w:r>
          </w:p>
          <w:p w14:paraId="3254E4A0">
            <w:pPr>
              <w:overflowPunct w:val="0"/>
              <w:adjustRightInd w:val="0"/>
              <w:snapToGrid w:val="0"/>
              <w:spacing w:line="360" w:lineRule="auto"/>
              <w:ind w:firstLine="480" w:firstLineChars="200"/>
              <w:rPr>
                <w:rFonts w:hint="default" w:ascii="Times New Roman" w:hAnsi="Times New Roman" w:eastAsia="宋体"/>
                <w:b/>
                <w:color w:val="auto"/>
                <w:sz w:val="24"/>
                <w:highlight w:val="none"/>
                <w:lang w:val="en-US" w:eastAsia="zh-CN"/>
              </w:rPr>
            </w:pPr>
            <w:r>
              <w:rPr>
                <w:rFonts w:ascii="Times New Roman" w:hAnsi="Times New Roman"/>
                <w:color w:val="auto"/>
                <w:sz w:val="24"/>
              </w:rPr>
              <w:t>中安联合煤化有限责任公司在安徽省淮南市潘集区贺疃镇境内建设</w:t>
            </w:r>
            <w:r>
              <w:rPr>
                <w:rFonts w:hint="eastAsia" w:ascii="Times New Roman" w:hAnsi="Times New Roman"/>
                <w:color w:val="auto"/>
                <w:sz w:val="24"/>
              </w:rPr>
              <w:t>朱集西煤矿11404工作面地面钻井项目</w:t>
            </w:r>
            <w:r>
              <w:rPr>
                <w:rFonts w:ascii="Times New Roman" w:hAnsi="Times New Roman"/>
                <w:color w:val="auto"/>
                <w:sz w:val="24"/>
              </w:rPr>
              <w:t>。</w:t>
            </w:r>
            <w:r>
              <w:rPr>
                <w:rFonts w:ascii="Times New Roman" w:hAnsi="Times New Roman"/>
                <w:color w:val="auto"/>
                <w:sz w:val="24"/>
                <w:highlight w:val="none"/>
              </w:rPr>
              <w:t>项目于202</w:t>
            </w:r>
            <w:r>
              <w:rPr>
                <w:rFonts w:hint="eastAsia" w:ascii="Times New Roman" w:hAnsi="Times New Roman"/>
                <w:color w:val="auto"/>
                <w:sz w:val="24"/>
                <w:highlight w:val="none"/>
                <w:lang w:val="en-US" w:eastAsia="zh-CN"/>
              </w:rPr>
              <w:t>5</w:t>
            </w:r>
            <w:r>
              <w:rPr>
                <w:rFonts w:ascii="Times New Roman" w:hAnsi="Times New Roman"/>
                <w:color w:val="auto"/>
                <w:sz w:val="24"/>
                <w:highlight w:val="none"/>
              </w:rPr>
              <w:t>年</w:t>
            </w:r>
            <w:r>
              <w:rPr>
                <w:rFonts w:hint="eastAsia" w:ascii="Times New Roman" w:hAnsi="Times New Roman"/>
                <w:color w:val="auto"/>
                <w:sz w:val="24"/>
                <w:highlight w:val="none"/>
                <w:lang w:val="en-US" w:eastAsia="zh-CN"/>
              </w:rPr>
              <w:t>8</w:t>
            </w:r>
            <w:r>
              <w:rPr>
                <w:rFonts w:ascii="Times New Roman" w:hAnsi="Times New Roman"/>
                <w:color w:val="auto"/>
                <w:sz w:val="24"/>
                <w:highlight w:val="none"/>
              </w:rPr>
              <w:t>月</w:t>
            </w:r>
            <w:r>
              <w:rPr>
                <w:rFonts w:hint="eastAsia" w:ascii="Times New Roman" w:hAnsi="Times New Roman"/>
                <w:color w:val="auto"/>
                <w:sz w:val="24"/>
                <w:highlight w:val="none"/>
                <w:lang w:val="en-US" w:eastAsia="zh-CN"/>
              </w:rPr>
              <w:t>14</w:t>
            </w:r>
            <w:r>
              <w:rPr>
                <w:rFonts w:ascii="Times New Roman" w:hAnsi="Times New Roman"/>
                <w:color w:val="auto"/>
                <w:sz w:val="24"/>
                <w:highlight w:val="none"/>
              </w:rPr>
              <w:t>日经潘集区发展和改革委员会立项备案，备案编号为：</w:t>
            </w:r>
            <w:r>
              <w:rPr>
                <w:rFonts w:hint="eastAsia" w:ascii="Times New Roman" w:hAnsi="Times New Roman"/>
                <w:color w:val="auto"/>
                <w:sz w:val="24"/>
                <w:highlight w:val="none"/>
              </w:rPr>
              <w:t>2504-340406-04-01-962848</w:t>
            </w:r>
            <w:r>
              <w:rPr>
                <w:rFonts w:ascii="Times New Roman" w:hAnsi="Times New Roman"/>
                <w:color w:val="auto"/>
                <w:sz w:val="24"/>
                <w:highlight w:val="none"/>
              </w:rPr>
              <w:t>，项目总投资</w:t>
            </w:r>
            <w:r>
              <w:rPr>
                <w:rFonts w:hint="eastAsia" w:ascii="Times New Roman" w:hAnsi="Times New Roman"/>
                <w:color w:val="auto"/>
                <w:sz w:val="24"/>
                <w:highlight w:val="none"/>
                <w:lang w:val="en-US" w:eastAsia="zh-CN"/>
              </w:rPr>
              <w:t>2500</w:t>
            </w:r>
            <w:r>
              <w:rPr>
                <w:rFonts w:ascii="Times New Roman" w:hAnsi="Times New Roman"/>
                <w:color w:val="auto"/>
                <w:sz w:val="24"/>
                <w:highlight w:val="none"/>
              </w:rPr>
              <w:t>万元。</w:t>
            </w:r>
            <w:r>
              <w:rPr>
                <w:rFonts w:ascii="Times New Roman" w:hAnsi="Times New Roman"/>
                <w:color w:val="auto"/>
                <w:sz w:val="24"/>
              </w:rPr>
              <w:t>项目建设内容为：</w:t>
            </w:r>
            <w:r>
              <w:rPr>
                <w:rFonts w:hint="eastAsia" w:ascii="Times New Roman" w:hAnsi="Times New Roman"/>
                <w:color w:val="auto"/>
                <w:sz w:val="24"/>
                <w:shd w:val="clear" w:color="auto" w:fill="FFFFFF"/>
              </w:rPr>
              <w:t>新建</w:t>
            </w:r>
            <w:r>
              <w:rPr>
                <w:rFonts w:hint="eastAsia" w:ascii="Times New Roman" w:hAnsi="Times New Roman"/>
                <w:color w:val="auto"/>
                <w:sz w:val="24"/>
                <w:shd w:val="clear" w:color="auto" w:fill="FFFFFF"/>
                <w:lang w:val="en-US" w:eastAsia="zh-CN"/>
              </w:rPr>
              <w:t>13</w:t>
            </w:r>
            <w:r>
              <w:rPr>
                <w:rFonts w:hint="eastAsia" w:ascii="Times New Roman" w:hAnsi="Times New Roman"/>
                <w:color w:val="auto"/>
                <w:sz w:val="24"/>
                <w:shd w:val="clear" w:color="auto" w:fill="FFFFFF"/>
              </w:rPr>
              <w:t>口地面瓦斯抽采钻井及</w:t>
            </w:r>
            <w:r>
              <w:rPr>
                <w:rFonts w:hint="eastAsia" w:ascii="Times New Roman" w:hAnsi="Times New Roman"/>
                <w:color w:val="auto"/>
                <w:sz w:val="24"/>
                <w:shd w:val="clear" w:color="auto" w:fill="FFFFFF"/>
                <w:lang w:val="en-US" w:eastAsia="zh-CN"/>
              </w:rPr>
              <w:t>附属</w:t>
            </w:r>
            <w:r>
              <w:rPr>
                <w:rFonts w:hint="eastAsia" w:ascii="Times New Roman" w:hAnsi="Times New Roman"/>
                <w:color w:val="auto"/>
                <w:sz w:val="24"/>
                <w:shd w:val="clear" w:color="auto" w:fill="FFFFFF"/>
              </w:rPr>
              <w:t>设施</w:t>
            </w:r>
            <w:r>
              <w:rPr>
                <w:rFonts w:ascii="Times New Roman" w:hAnsi="Times New Roman"/>
                <w:color w:val="auto"/>
                <w:sz w:val="24"/>
                <w:shd w:val="clear" w:color="auto" w:fill="FFFFFF"/>
              </w:rPr>
              <w:t>。</w:t>
            </w:r>
            <w:r>
              <w:rPr>
                <w:rFonts w:ascii="Times New Roman" w:hAnsi="Times New Roman"/>
                <w:b w:val="0"/>
                <w:bCs/>
                <w:color w:val="auto"/>
                <w:sz w:val="24"/>
                <w:shd w:val="clear" w:color="auto" w:fill="FFFFFF"/>
              </w:rPr>
              <w:t>本项目施工单位为：</w:t>
            </w:r>
            <w:r>
              <w:rPr>
                <w:rFonts w:hint="eastAsia" w:ascii="Times New Roman" w:hAnsi="Times New Roman"/>
                <w:b w:val="0"/>
                <w:bCs/>
                <w:color w:val="auto"/>
                <w:sz w:val="24"/>
                <w:highlight w:val="none"/>
                <w:shd w:val="clear" w:color="auto" w:fill="FFFFFF"/>
                <w:lang w:val="en-US" w:eastAsia="zh-CN"/>
              </w:rPr>
              <w:t>中国煤炭地质总局地球物理勘探研究院。</w:t>
            </w:r>
          </w:p>
          <w:p w14:paraId="0D3944DE">
            <w:pPr>
              <w:spacing w:line="360" w:lineRule="auto"/>
              <w:ind w:firstLine="480" w:firstLineChars="200"/>
              <w:rPr>
                <w:rFonts w:ascii="Times New Roman" w:hAnsi="Times New Roman"/>
                <w:color w:val="auto"/>
                <w:sz w:val="24"/>
              </w:rPr>
            </w:pPr>
            <w:r>
              <w:rPr>
                <w:rFonts w:ascii="Times New Roman" w:hAnsi="Times New Roman"/>
                <w:color w:val="auto"/>
                <w:sz w:val="24"/>
                <w:shd w:val="clear" w:color="auto" w:fill="FFFFFF"/>
              </w:rPr>
              <w:t>本项目</w:t>
            </w:r>
            <w:r>
              <w:rPr>
                <w:rFonts w:hint="eastAsia" w:ascii="Times New Roman" w:hAnsi="Times New Roman"/>
                <w:color w:val="auto"/>
                <w:sz w:val="24"/>
                <w:shd w:val="clear" w:color="auto" w:fill="FFFFFF"/>
                <w:lang w:val="en-US" w:eastAsia="zh-CN"/>
              </w:rPr>
              <w:t>为</w:t>
            </w:r>
            <w:r>
              <w:rPr>
                <w:rFonts w:ascii="Times New Roman" w:hAnsi="Times New Roman"/>
                <w:color w:val="auto"/>
                <w:sz w:val="24"/>
                <w:shd w:val="clear" w:color="auto" w:fill="FFFFFF"/>
              </w:rPr>
              <w:t>钻井工程，</w:t>
            </w:r>
            <w:r>
              <w:rPr>
                <w:rFonts w:ascii="Times New Roman" w:hAnsi="Times New Roman"/>
                <w:color w:val="auto"/>
                <w:sz w:val="24"/>
              </w:rPr>
              <w:t>根据《中华人民共和国环境保护法》、《建设项目环境保护管理条列》和《建设项目环境影响评价分类管理名录》（2021年版），本项目属于“四十六、专业技术服务业99中的陆地矿产资源地质勘查（含油气资源勘探）；二氧化碳地质封存中其他”，经查看该类别为编制环境影响报告表，因此，本项目应编制环境影响报告表。</w:t>
            </w:r>
          </w:p>
          <w:p w14:paraId="60CFBE69">
            <w:pPr>
              <w:spacing w:line="360" w:lineRule="auto"/>
              <w:ind w:firstLine="480" w:firstLineChars="200"/>
              <w:rPr>
                <w:rFonts w:ascii="Times New Roman" w:hAnsi="Times New Roman"/>
                <w:color w:val="auto"/>
                <w:sz w:val="24"/>
              </w:rPr>
            </w:pPr>
            <w:r>
              <w:rPr>
                <w:rFonts w:ascii="Times New Roman" w:hAnsi="Times New Roman"/>
                <w:color w:val="auto"/>
                <w:sz w:val="24"/>
              </w:rPr>
              <w:t>为了对建设项目可能造成的环境影响进行分析、预测和评估，依据《中华人民共和国环境影响评价法》和《建设项目环境保护管理条例》等相关法律法规，本项目需进行环境影响评价，中安联合煤化有限责任公司委托</w:t>
            </w:r>
            <w:r>
              <w:rPr>
                <w:rFonts w:hint="eastAsia" w:ascii="Times New Roman" w:hAnsi="Times New Roman"/>
                <w:color w:val="auto"/>
                <w:sz w:val="24"/>
                <w:lang w:val="en-US" w:eastAsia="zh-CN"/>
              </w:rPr>
              <w:t>蚌埠禾美环境设计院有限公司</w:t>
            </w:r>
            <w:r>
              <w:rPr>
                <w:rFonts w:ascii="Times New Roman" w:hAnsi="Times New Roman"/>
                <w:color w:val="auto"/>
                <w:sz w:val="24"/>
              </w:rPr>
              <w:t>对“</w:t>
            </w:r>
            <w:r>
              <w:rPr>
                <w:rFonts w:hint="eastAsia" w:ascii="Times New Roman" w:hAnsi="Times New Roman"/>
                <w:color w:val="auto"/>
                <w:sz w:val="24"/>
              </w:rPr>
              <w:t>朱集西煤矿11404工作面地面钻井项目</w:t>
            </w:r>
            <w:r>
              <w:rPr>
                <w:rFonts w:ascii="Times New Roman" w:hAnsi="Times New Roman"/>
                <w:color w:val="auto"/>
                <w:sz w:val="24"/>
              </w:rPr>
              <w:t>”进行环境影响评价工作。接受委托后我单位即组织有关技术人员进行现场踏勘、收集资料。依据国家环境保护有关文件和环境影响评价技术导则，编制了该项目环境影响报告表。</w:t>
            </w:r>
          </w:p>
          <w:p w14:paraId="119DB59D">
            <w:pPr>
              <w:spacing w:line="360" w:lineRule="auto"/>
              <w:ind w:firstLine="482" w:firstLineChars="200"/>
              <w:rPr>
                <w:rFonts w:ascii="Times New Roman" w:hAnsi="Times New Roman"/>
                <w:b/>
                <w:bCs/>
                <w:color w:val="auto"/>
                <w:sz w:val="24"/>
                <w:shd w:val="clear" w:color="auto" w:fill="FFFFFF"/>
              </w:rPr>
            </w:pPr>
            <w:r>
              <w:rPr>
                <w:rFonts w:ascii="Times New Roman" w:hAnsi="Times New Roman"/>
                <w:b/>
                <w:bCs/>
                <w:color w:val="auto"/>
                <w:sz w:val="24"/>
                <w:shd w:val="clear" w:color="auto" w:fill="FFFFFF"/>
              </w:rPr>
              <w:t>3、项目概况</w:t>
            </w:r>
          </w:p>
          <w:p w14:paraId="6DCD430E">
            <w:pPr>
              <w:spacing w:line="360" w:lineRule="auto"/>
              <w:ind w:firstLine="480" w:firstLineChars="200"/>
              <w:rPr>
                <w:rFonts w:ascii="Times New Roman" w:hAnsi="Times New Roman"/>
                <w:color w:val="auto"/>
                <w:sz w:val="24"/>
                <w:shd w:val="clear" w:color="auto" w:fill="FFFFFF"/>
              </w:rPr>
            </w:pPr>
            <w:r>
              <w:rPr>
                <w:rFonts w:ascii="Times New Roman" w:hAnsi="Times New Roman"/>
                <w:color w:val="auto"/>
                <w:sz w:val="24"/>
                <w:shd w:val="clear" w:color="auto" w:fill="FFFFFF"/>
              </w:rPr>
              <w:t>项目的主要建设内容及规模见下表。</w:t>
            </w:r>
          </w:p>
          <w:p w14:paraId="1B967FAE">
            <w:pPr>
              <w:spacing w:line="360" w:lineRule="auto"/>
              <w:ind w:firstLine="480"/>
              <w:jc w:val="center"/>
              <w:rPr>
                <w:rFonts w:ascii="Times New Roman" w:hAnsi="Times New Roman"/>
                <w:b/>
                <w:bCs/>
                <w:color w:val="auto"/>
                <w:szCs w:val="21"/>
              </w:rPr>
            </w:pPr>
            <w:r>
              <w:rPr>
                <w:rFonts w:ascii="Times New Roman" w:hAnsi="Times New Roman"/>
                <w:b/>
                <w:bCs/>
                <w:color w:val="auto"/>
                <w:szCs w:val="21"/>
              </w:rPr>
              <w:t>表2-</w:t>
            </w:r>
            <w:r>
              <w:rPr>
                <w:rFonts w:hint="eastAsia" w:ascii="Times New Roman" w:hAnsi="Times New Roman"/>
                <w:b/>
                <w:bCs/>
                <w:color w:val="auto"/>
                <w:szCs w:val="21"/>
              </w:rPr>
              <w:t>1</w:t>
            </w:r>
            <w:r>
              <w:rPr>
                <w:rFonts w:ascii="Times New Roman" w:hAnsi="Times New Roman"/>
                <w:b/>
                <w:bCs/>
                <w:color w:val="auto"/>
                <w:szCs w:val="21"/>
              </w:rPr>
              <w:t xml:space="preserve">  建设内容及规模一览表</w:t>
            </w:r>
          </w:p>
          <w:tbl>
            <w:tblPr>
              <w:tblStyle w:val="17"/>
              <w:tblW w:w="0" w:type="auto"/>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1236"/>
              <w:gridCol w:w="1276"/>
              <w:gridCol w:w="5319"/>
            </w:tblGrid>
            <w:tr w14:paraId="1D9F0606">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236" w:type="dxa"/>
                  <w:noWrap w:val="0"/>
                  <w:vAlign w:val="center"/>
                </w:tcPr>
                <w:p w14:paraId="45C6CF0A">
                  <w:pPr>
                    <w:jc w:val="center"/>
                    <w:rPr>
                      <w:rFonts w:ascii="Times New Roman" w:hAnsi="Times New Roman"/>
                      <w:color w:val="auto"/>
                      <w:szCs w:val="21"/>
                    </w:rPr>
                  </w:pPr>
                  <w:r>
                    <w:rPr>
                      <w:rFonts w:ascii="Times New Roman" w:hAnsi="Times New Roman"/>
                      <w:color w:val="auto"/>
                      <w:szCs w:val="21"/>
                    </w:rPr>
                    <w:t>工程类别</w:t>
                  </w:r>
                </w:p>
              </w:tc>
              <w:tc>
                <w:tcPr>
                  <w:tcW w:w="1276" w:type="dxa"/>
                  <w:noWrap w:val="0"/>
                  <w:vAlign w:val="center"/>
                </w:tcPr>
                <w:p w14:paraId="50440449">
                  <w:pPr>
                    <w:jc w:val="center"/>
                    <w:rPr>
                      <w:rFonts w:ascii="Times New Roman" w:hAnsi="Times New Roman"/>
                      <w:color w:val="auto"/>
                      <w:szCs w:val="21"/>
                    </w:rPr>
                  </w:pPr>
                  <w:r>
                    <w:rPr>
                      <w:rFonts w:ascii="Times New Roman" w:hAnsi="Times New Roman"/>
                      <w:color w:val="auto"/>
                      <w:szCs w:val="21"/>
                    </w:rPr>
                    <w:t>项目名称</w:t>
                  </w:r>
                </w:p>
              </w:tc>
              <w:tc>
                <w:tcPr>
                  <w:tcW w:w="5319" w:type="dxa"/>
                  <w:noWrap w:val="0"/>
                  <w:vAlign w:val="center"/>
                </w:tcPr>
                <w:p w14:paraId="70545D38">
                  <w:pPr>
                    <w:jc w:val="center"/>
                    <w:rPr>
                      <w:rFonts w:ascii="Times New Roman" w:hAnsi="Times New Roman"/>
                      <w:color w:val="auto"/>
                      <w:szCs w:val="21"/>
                    </w:rPr>
                  </w:pPr>
                  <w:r>
                    <w:rPr>
                      <w:rFonts w:ascii="Times New Roman" w:hAnsi="Times New Roman"/>
                      <w:color w:val="auto"/>
                      <w:szCs w:val="21"/>
                    </w:rPr>
                    <w:t>主要工程内容</w:t>
                  </w:r>
                </w:p>
              </w:tc>
            </w:tr>
            <w:tr w14:paraId="38151896">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236" w:type="dxa"/>
                  <w:vMerge w:val="restart"/>
                  <w:noWrap w:val="0"/>
                  <w:vAlign w:val="center"/>
                </w:tcPr>
                <w:p w14:paraId="526CE320">
                  <w:pPr>
                    <w:jc w:val="center"/>
                    <w:rPr>
                      <w:rFonts w:ascii="Times New Roman" w:hAnsi="Times New Roman"/>
                      <w:color w:val="auto"/>
                      <w:szCs w:val="21"/>
                    </w:rPr>
                  </w:pPr>
                  <w:r>
                    <w:rPr>
                      <w:rFonts w:ascii="Times New Roman" w:hAnsi="Times New Roman"/>
                      <w:color w:val="auto"/>
                      <w:szCs w:val="21"/>
                    </w:rPr>
                    <w:t>主体工程</w:t>
                  </w:r>
                </w:p>
              </w:tc>
              <w:tc>
                <w:tcPr>
                  <w:tcW w:w="1276" w:type="dxa"/>
                  <w:noWrap w:val="0"/>
                  <w:vAlign w:val="center"/>
                </w:tcPr>
                <w:p w14:paraId="233F8587">
                  <w:pPr>
                    <w:jc w:val="center"/>
                    <w:rPr>
                      <w:rFonts w:ascii="Times New Roman" w:hAnsi="Times New Roman"/>
                      <w:color w:val="auto"/>
                      <w:szCs w:val="21"/>
                    </w:rPr>
                  </w:pPr>
                  <w:r>
                    <w:rPr>
                      <w:rFonts w:ascii="Times New Roman" w:hAnsi="Times New Roman"/>
                      <w:color w:val="auto"/>
                      <w:szCs w:val="21"/>
                    </w:rPr>
                    <w:t>钻前工程</w:t>
                  </w:r>
                </w:p>
              </w:tc>
              <w:tc>
                <w:tcPr>
                  <w:tcW w:w="5319" w:type="dxa"/>
                  <w:noWrap w:val="0"/>
                  <w:vAlign w:val="center"/>
                </w:tcPr>
                <w:p w14:paraId="0B83D33F">
                  <w:pPr>
                    <w:rPr>
                      <w:rFonts w:ascii="Times New Roman" w:hAnsi="Times New Roman" w:eastAsia="宋体"/>
                      <w:color w:val="auto"/>
                      <w:sz w:val="21"/>
                      <w:szCs w:val="21"/>
                    </w:rPr>
                  </w:pPr>
                  <w:r>
                    <w:rPr>
                      <w:rFonts w:ascii="Times New Roman" w:hAnsi="Times New Roman" w:eastAsia="宋体"/>
                      <w:color w:val="auto"/>
                      <w:sz w:val="21"/>
                      <w:szCs w:val="21"/>
                    </w:rPr>
                    <w:t>项目共设置</w:t>
                  </w:r>
                  <w:r>
                    <w:rPr>
                      <w:rFonts w:hint="eastAsia" w:ascii="Times New Roman" w:hAnsi="Times New Roman" w:eastAsia="宋体"/>
                      <w:color w:val="auto"/>
                      <w:sz w:val="21"/>
                      <w:szCs w:val="21"/>
                      <w:lang w:val="en-US" w:eastAsia="zh-CN"/>
                    </w:rPr>
                    <w:t>13</w:t>
                  </w:r>
                  <w:r>
                    <w:rPr>
                      <w:rFonts w:ascii="Times New Roman" w:hAnsi="Times New Roman" w:eastAsia="宋体"/>
                      <w:color w:val="auto"/>
                      <w:sz w:val="21"/>
                      <w:szCs w:val="21"/>
                    </w:rPr>
                    <w:t>个井场，总临时占地面积</w:t>
                  </w:r>
                  <w:r>
                    <w:rPr>
                      <w:rFonts w:hint="eastAsia" w:ascii="Times New Roman" w:hAnsi="Times New Roman" w:eastAsia="宋体"/>
                      <w:color w:val="auto"/>
                      <w:sz w:val="21"/>
                      <w:szCs w:val="21"/>
                      <w:lang w:val="en-US" w:eastAsia="zh-CN"/>
                    </w:rPr>
                    <w:t>20784</w:t>
                  </w:r>
                  <w:r>
                    <w:rPr>
                      <w:rFonts w:ascii="Times New Roman" w:hAnsi="Times New Roman" w:eastAsia="宋体"/>
                      <w:color w:val="auto"/>
                      <w:sz w:val="21"/>
                      <w:szCs w:val="21"/>
                    </w:rPr>
                    <w:t>m</w:t>
                  </w:r>
                  <w:r>
                    <w:rPr>
                      <w:rFonts w:ascii="Times New Roman" w:hAnsi="Times New Roman" w:eastAsia="宋体"/>
                      <w:color w:val="auto"/>
                      <w:sz w:val="21"/>
                      <w:szCs w:val="21"/>
                      <w:vertAlign w:val="superscript"/>
                    </w:rPr>
                    <w:t>2</w:t>
                  </w:r>
                  <w:r>
                    <w:rPr>
                      <w:rFonts w:hint="eastAsia" w:ascii="Times New Roman" w:hAnsi="Times New Roman"/>
                      <w:color w:val="auto"/>
                      <w:sz w:val="21"/>
                      <w:szCs w:val="21"/>
                      <w:vertAlign w:val="baseline"/>
                      <w:lang w:eastAsia="zh-CN"/>
                    </w:rPr>
                    <w:t>（</w:t>
                  </w:r>
                  <w:r>
                    <w:rPr>
                      <w:rFonts w:hint="eastAsia" w:ascii="Times New Roman" w:hAnsi="Times New Roman"/>
                      <w:color w:val="auto"/>
                      <w:sz w:val="21"/>
                      <w:szCs w:val="21"/>
                      <w:vertAlign w:val="baseline"/>
                      <w:lang w:val="en-US" w:eastAsia="zh-CN"/>
                    </w:rPr>
                    <w:t>每个井场临时工程均包含钻井作业区、蓄水池、废浆池、干化池、施工材料区、原料区、临时办公区、控制配电室、表土剥离堆放场、弃土堆土堆场、沉淀池、施工便道）</w:t>
                  </w:r>
                  <w:r>
                    <w:rPr>
                      <w:rFonts w:ascii="Times New Roman" w:hAnsi="Times New Roman" w:eastAsia="宋体"/>
                      <w:color w:val="auto"/>
                      <w:sz w:val="21"/>
                      <w:szCs w:val="21"/>
                    </w:rPr>
                    <w:t>，其中1号井场占地面积为</w:t>
                  </w:r>
                  <w:r>
                    <w:rPr>
                      <w:rFonts w:hint="eastAsia" w:ascii="Times New Roman" w:hAnsi="Times New Roman" w:eastAsia="宋体" w:cs="仿宋"/>
                      <w:color w:val="auto"/>
                      <w:kern w:val="0"/>
                      <w:sz w:val="21"/>
                      <w:szCs w:val="21"/>
                      <w:lang w:bidi="ar"/>
                    </w:rPr>
                    <w:t>1393</w:t>
                  </w:r>
                  <w:r>
                    <w:rPr>
                      <w:rFonts w:ascii="Times New Roman" w:hAnsi="Times New Roman" w:eastAsia="宋体"/>
                      <w:color w:val="auto"/>
                      <w:sz w:val="21"/>
                      <w:szCs w:val="21"/>
                    </w:rPr>
                    <w:t>m</w:t>
                  </w:r>
                  <w:r>
                    <w:rPr>
                      <w:rFonts w:ascii="Times New Roman" w:hAnsi="Times New Roman" w:eastAsia="宋体"/>
                      <w:color w:val="auto"/>
                      <w:sz w:val="21"/>
                      <w:szCs w:val="21"/>
                      <w:vertAlign w:val="superscript"/>
                    </w:rPr>
                    <w:t>2</w:t>
                  </w:r>
                  <w:r>
                    <w:rPr>
                      <w:rFonts w:ascii="Times New Roman" w:hAnsi="Times New Roman" w:eastAsia="宋体"/>
                      <w:color w:val="auto"/>
                      <w:sz w:val="21"/>
                      <w:szCs w:val="21"/>
                    </w:rPr>
                    <w:t>、2号井场占地面积为</w:t>
                  </w:r>
                  <w:r>
                    <w:rPr>
                      <w:rFonts w:hint="eastAsia" w:ascii="Times New Roman" w:hAnsi="Times New Roman" w:eastAsia="宋体" w:cs="仿宋"/>
                      <w:color w:val="auto"/>
                      <w:kern w:val="0"/>
                      <w:sz w:val="21"/>
                      <w:szCs w:val="21"/>
                      <w:lang w:bidi="ar"/>
                    </w:rPr>
                    <w:t>1991</w:t>
                  </w:r>
                  <w:r>
                    <w:rPr>
                      <w:rFonts w:ascii="Times New Roman" w:hAnsi="Times New Roman" w:eastAsia="宋体"/>
                      <w:color w:val="auto"/>
                      <w:sz w:val="21"/>
                      <w:szCs w:val="21"/>
                    </w:rPr>
                    <w:t>m</w:t>
                  </w:r>
                  <w:r>
                    <w:rPr>
                      <w:rFonts w:ascii="Times New Roman" w:hAnsi="Times New Roman" w:eastAsia="宋体"/>
                      <w:color w:val="auto"/>
                      <w:sz w:val="21"/>
                      <w:szCs w:val="21"/>
                      <w:vertAlign w:val="superscript"/>
                    </w:rPr>
                    <w:t>2</w:t>
                  </w:r>
                  <w:r>
                    <w:rPr>
                      <w:rFonts w:ascii="Times New Roman" w:hAnsi="Times New Roman" w:eastAsia="宋体"/>
                      <w:color w:val="auto"/>
                      <w:sz w:val="21"/>
                      <w:szCs w:val="21"/>
                    </w:rPr>
                    <w:t>，3号井场占地面积为</w:t>
                  </w:r>
                  <w:r>
                    <w:rPr>
                      <w:rFonts w:hint="eastAsia" w:ascii="Times New Roman" w:hAnsi="Times New Roman" w:eastAsia="宋体" w:cs="仿宋"/>
                      <w:color w:val="auto"/>
                      <w:kern w:val="0"/>
                      <w:sz w:val="21"/>
                      <w:szCs w:val="21"/>
                      <w:lang w:bidi="ar"/>
                    </w:rPr>
                    <w:t>1647</w:t>
                  </w:r>
                  <w:r>
                    <w:rPr>
                      <w:rFonts w:ascii="Times New Roman" w:hAnsi="Times New Roman" w:eastAsia="宋体"/>
                      <w:color w:val="auto"/>
                      <w:sz w:val="21"/>
                      <w:szCs w:val="21"/>
                    </w:rPr>
                    <w:t>m</w:t>
                  </w:r>
                  <w:r>
                    <w:rPr>
                      <w:rFonts w:ascii="Times New Roman" w:hAnsi="Times New Roman" w:eastAsia="宋体"/>
                      <w:color w:val="auto"/>
                      <w:sz w:val="21"/>
                      <w:szCs w:val="21"/>
                      <w:vertAlign w:val="superscript"/>
                    </w:rPr>
                    <w:t>2</w:t>
                  </w:r>
                  <w:r>
                    <w:rPr>
                      <w:rFonts w:ascii="Times New Roman" w:hAnsi="Times New Roman" w:eastAsia="宋体"/>
                      <w:color w:val="auto"/>
                      <w:sz w:val="21"/>
                      <w:szCs w:val="21"/>
                    </w:rPr>
                    <w:t>，4号井场占地面积为</w:t>
                  </w:r>
                  <w:r>
                    <w:rPr>
                      <w:rFonts w:hint="eastAsia" w:ascii="Times New Roman" w:hAnsi="Times New Roman" w:eastAsia="宋体" w:cs="仿宋"/>
                      <w:color w:val="auto"/>
                      <w:kern w:val="0"/>
                      <w:sz w:val="21"/>
                      <w:szCs w:val="21"/>
                      <w:lang w:bidi="ar"/>
                    </w:rPr>
                    <w:t>1523</w:t>
                  </w:r>
                  <w:r>
                    <w:rPr>
                      <w:rFonts w:ascii="Times New Roman" w:hAnsi="Times New Roman" w:eastAsia="宋体"/>
                      <w:color w:val="auto"/>
                      <w:sz w:val="21"/>
                      <w:szCs w:val="21"/>
                    </w:rPr>
                    <w:t>m</w:t>
                  </w:r>
                  <w:r>
                    <w:rPr>
                      <w:rFonts w:ascii="Times New Roman" w:hAnsi="Times New Roman" w:eastAsia="宋体"/>
                      <w:color w:val="auto"/>
                      <w:sz w:val="21"/>
                      <w:szCs w:val="21"/>
                      <w:vertAlign w:val="superscript"/>
                    </w:rPr>
                    <w:t>2</w:t>
                  </w:r>
                  <w:r>
                    <w:rPr>
                      <w:rFonts w:ascii="Times New Roman" w:hAnsi="Times New Roman" w:eastAsia="宋体"/>
                      <w:color w:val="auto"/>
                      <w:sz w:val="21"/>
                      <w:szCs w:val="21"/>
                    </w:rPr>
                    <w:t>，5号井场占地面积为</w:t>
                  </w:r>
                  <w:r>
                    <w:rPr>
                      <w:rFonts w:hint="eastAsia" w:ascii="Times New Roman" w:hAnsi="Times New Roman" w:eastAsia="宋体" w:cs="仿宋"/>
                      <w:color w:val="auto"/>
                      <w:kern w:val="0"/>
                      <w:sz w:val="21"/>
                      <w:szCs w:val="21"/>
                      <w:lang w:bidi="ar"/>
                    </w:rPr>
                    <w:t>1654</w:t>
                  </w:r>
                  <w:r>
                    <w:rPr>
                      <w:rFonts w:ascii="Times New Roman" w:hAnsi="Times New Roman" w:eastAsia="宋体"/>
                      <w:color w:val="auto"/>
                      <w:sz w:val="21"/>
                      <w:szCs w:val="21"/>
                    </w:rPr>
                    <w:t>m</w:t>
                  </w:r>
                  <w:r>
                    <w:rPr>
                      <w:rFonts w:ascii="Times New Roman" w:hAnsi="Times New Roman" w:eastAsia="宋体"/>
                      <w:color w:val="auto"/>
                      <w:sz w:val="21"/>
                      <w:szCs w:val="21"/>
                      <w:vertAlign w:val="superscript"/>
                    </w:rPr>
                    <w:t>2</w:t>
                  </w:r>
                  <w:r>
                    <w:rPr>
                      <w:rFonts w:ascii="Times New Roman" w:hAnsi="Times New Roman" w:eastAsia="宋体"/>
                      <w:color w:val="auto"/>
                      <w:sz w:val="21"/>
                      <w:szCs w:val="21"/>
                    </w:rPr>
                    <w:t>，6号井场占地面积为</w:t>
                  </w:r>
                  <w:r>
                    <w:rPr>
                      <w:rFonts w:hint="eastAsia" w:ascii="Times New Roman" w:hAnsi="Times New Roman" w:eastAsia="宋体" w:cs="仿宋"/>
                      <w:color w:val="auto"/>
                      <w:kern w:val="0"/>
                      <w:sz w:val="21"/>
                      <w:szCs w:val="21"/>
                      <w:lang w:bidi="ar"/>
                    </w:rPr>
                    <w:t>166</w:t>
                  </w:r>
                  <w:r>
                    <w:rPr>
                      <w:rFonts w:hint="eastAsia" w:ascii="Times New Roman" w:hAnsi="Times New Roman" w:eastAsia="宋体" w:cs="仿宋"/>
                      <w:color w:val="auto"/>
                      <w:kern w:val="0"/>
                      <w:sz w:val="21"/>
                      <w:szCs w:val="21"/>
                      <w:lang w:val="en-US" w:eastAsia="zh-CN" w:bidi="ar"/>
                    </w:rPr>
                    <w:t>0</w:t>
                  </w:r>
                  <w:r>
                    <w:rPr>
                      <w:rFonts w:ascii="Times New Roman" w:hAnsi="Times New Roman" w:eastAsia="宋体"/>
                      <w:color w:val="auto"/>
                      <w:sz w:val="21"/>
                      <w:szCs w:val="21"/>
                    </w:rPr>
                    <w:t>m</w:t>
                  </w:r>
                  <w:r>
                    <w:rPr>
                      <w:rFonts w:ascii="Times New Roman" w:hAnsi="Times New Roman" w:eastAsia="宋体"/>
                      <w:color w:val="auto"/>
                      <w:sz w:val="21"/>
                      <w:szCs w:val="21"/>
                      <w:vertAlign w:val="superscript"/>
                    </w:rPr>
                    <w:t>2</w:t>
                  </w:r>
                  <w:r>
                    <w:rPr>
                      <w:rFonts w:ascii="Times New Roman" w:hAnsi="Times New Roman" w:eastAsia="宋体"/>
                      <w:color w:val="auto"/>
                      <w:sz w:val="21"/>
                      <w:szCs w:val="21"/>
                    </w:rPr>
                    <w:t>，7号井场占地面积为</w:t>
                  </w:r>
                  <w:r>
                    <w:rPr>
                      <w:rFonts w:hint="eastAsia" w:ascii="Times New Roman" w:hAnsi="Times New Roman" w:eastAsia="宋体" w:cs="仿宋"/>
                      <w:color w:val="auto"/>
                      <w:kern w:val="0"/>
                      <w:sz w:val="21"/>
                      <w:szCs w:val="21"/>
                      <w:lang w:bidi="ar"/>
                    </w:rPr>
                    <w:t>1642</w:t>
                  </w:r>
                  <w:r>
                    <w:rPr>
                      <w:rFonts w:ascii="Times New Roman" w:hAnsi="Times New Roman" w:eastAsia="宋体"/>
                      <w:color w:val="auto"/>
                      <w:sz w:val="21"/>
                      <w:szCs w:val="21"/>
                    </w:rPr>
                    <w:t>m</w:t>
                  </w:r>
                  <w:r>
                    <w:rPr>
                      <w:rFonts w:ascii="Times New Roman" w:hAnsi="Times New Roman" w:eastAsia="宋体"/>
                      <w:color w:val="auto"/>
                      <w:sz w:val="21"/>
                      <w:szCs w:val="21"/>
                      <w:vertAlign w:val="superscript"/>
                    </w:rPr>
                    <w:t>2</w:t>
                  </w:r>
                  <w:r>
                    <w:rPr>
                      <w:rFonts w:ascii="Times New Roman" w:hAnsi="Times New Roman" w:eastAsia="宋体"/>
                      <w:color w:val="auto"/>
                      <w:sz w:val="21"/>
                      <w:szCs w:val="21"/>
                    </w:rPr>
                    <w:t>，</w:t>
                  </w:r>
                  <w:r>
                    <w:rPr>
                      <w:rFonts w:hint="eastAsia" w:ascii="Times New Roman" w:hAnsi="Times New Roman" w:eastAsia="宋体"/>
                      <w:color w:val="auto"/>
                      <w:sz w:val="21"/>
                      <w:szCs w:val="21"/>
                      <w:lang w:val="en-US" w:eastAsia="zh-CN"/>
                    </w:rPr>
                    <w:t>8</w:t>
                  </w:r>
                  <w:r>
                    <w:rPr>
                      <w:rFonts w:ascii="Times New Roman" w:hAnsi="Times New Roman" w:eastAsia="宋体"/>
                      <w:color w:val="auto"/>
                      <w:sz w:val="21"/>
                      <w:szCs w:val="21"/>
                    </w:rPr>
                    <w:t>号井场占地面积</w:t>
                  </w:r>
                  <w:r>
                    <w:rPr>
                      <w:rFonts w:hint="eastAsia" w:ascii="Times New Roman" w:hAnsi="Times New Roman" w:eastAsia="宋体" w:cs="仿宋"/>
                      <w:color w:val="auto"/>
                      <w:kern w:val="0"/>
                      <w:sz w:val="21"/>
                      <w:szCs w:val="21"/>
                      <w:lang w:bidi="ar"/>
                    </w:rPr>
                    <w:t>1624</w:t>
                  </w:r>
                  <w:r>
                    <w:rPr>
                      <w:rFonts w:ascii="Times New Roman" w:hAnsi="Times New Roman" w:eastAsia="宋体"/>
                      <w:color w:val="auto"/>
                      <w:sz w:val="21"/>
                      <w:szCs w:val="21"/>
                    </w:rPr>
                    <w:t>m</w:t>
                  </w:r>
                  <w:r>
                    <w:rPr>
                      <w:rFonts w:ascii="Times New Roman" w:hAnsi="Times New Roman" w:eastAsia="宋体"/>
                      <w:color w:val="auto"/>
                      <w:sz w:val="21"/>
                      <w:szCs w:val="21"/>
                      <w:vertAlign w:val="superscript"/>
                    </w:rPr>
                    <w:t>2</w:t>
                  </w:r>
                  <w:r>
                    <w:rPr>
                      <w:rFonts w:hint="eastAsia" w:ascii="Times New Roman" w:hAnsi="Times New Roman" w:eastAsia="宋体"/>
                      <w:color w:val="auto"/>
                      <w:sz w:val="21"/>
                      <w:szCs w:val="21"/>
                      <w:lang w:val="en-US" w:eastAsia="zh-CN"/>
                    </w:rPr>
                    <w:t>，9</w:t>
                  </w:r>
                  <w:r>
                    <w:rPr>
                      <w:rFonts w:ascii="Times New Roman" w:hAnsi="Times New Roman" w:eastAsia="宋体"/>
                      <w:color w:val="auto"/>
                      <w:sz w:val="21"/>
                      <w:szCs w:val="21"/>
                    </w:rPr>
                    <w:t>号井场占地面积</w:t>
                  </w:r>
                  <w:r>
                    <w:rPr>
                      <w:rFonts w:hint="eastAsia" w:ascii="Times New Roman" w:hAnsi="Times New Roman" w:eastAsia="宋体"/>
                      <w:color w:val="auto"/>
                      <w:sz w:val="21"/>
                      <w:szCs w:val="21"/>
                      <w:lang w:val="en-US" w:eastAsia="zh-CN"/>
                    </w:rPr>
                    <w:t>1544</w:t>
                  </w:r>
                  <w:r>
                    <w:rPr>
                      <w:rFonts w:ascii="Times New Roman" w:hAnsi="Times New Roman" w:eastAsia="宋体"/>
                      <w:color w:val="auto"/>
                      <w:sz w:val="21"/>
                      <w:szCs w:val="21"/>
                    </w:rPr>
                    <w:t>m</w:t>
                  </w:r>
                  <w:r>
                    <w:rPr>
                      <w:rFonts w:ascii="Times New Roman" w:hAnsi="Times New Roman" w:eastAsia="宋体"/>
                      <w:color w:val="auto"/>
                      <w:sz w:val="21"/>
                      <w:szCs w:val="21"/>
                      <w:vertAlign w:val="superscript"/>
                    </w:rPr>
                    <w:t>2</w:t>
                  </w:r>
                  <w:r>
                    <w:rPr>
                      <w:rFonts w:hint="eastAsia" w:ascii="Times New Roman" w:hAnsi="Times New Roman" w:eastAsia="宋体"/>
                      <w:color w:val="auto"/>
                      <w:sz w:val="21"/>
                      <w:szCs w:val="21"/>
                      <w:lang w:val="en-US" w:eastAsia="zh-CN"/>
                    </w:rPr>
                    <w:t>，10</w:t>
                  </w:r>
                  <w:r>
                    <w:rPr>
                      <w:rFonts w:ascii="Times New Roman" w:hAnsi="Times New Roman" w:eastAsia="宋体"/>
                      <w:color w:val="auto"/>
                      <w:sz w:val="21"/>
                      <w:szCs w:val="21"/>
                    </w:rPr>
                    <w:t>号井场占地面积</w:t>
                  </w:r>
                  <w:r>
                    <w:rPr>
                      <w:rFonts w:hint="eastAsia" w:ascii="Times New Roman" w:hAnsi="Times New Roman" w:eastAsia="宋体"/>
                      <w:color w:val="auto"/>
                      <w:sz w:val="21"/>
                      <w:szCs w:val="21"/>
                    </w:rPr>
                    <w:t>1536</w:t>
                  </w:r>
                  <w:r>
                    <w:rPr>
                      <w:rFonts w:ascii="Times New Roman" w:hAnsi="Times New Roman" w:eastAsia="宋体"/>
                      <w:color w:val="auto"/>
                      <w:sz w:val="21"/>
                      <w:szCs w:val="21"/>
                    </w:rPr>
                    <w:t>m</w:t>
                  </w:r>
                  <w:r>
                    <w:rPr>
                      <w:rFonts w:ascii="Times New Roman" w:hAnsi="Times New Roman" w:eastAsia="宋体"/>
                      <w:color w:val="auto"/>
                      <w:sz w:val="21"/>
                      <w:szCs w:val="21"/>
                      <w:vertAlign w:val="superscript"/>
                    </w:rPr>
                    <w:t>2</w:t>
                  </w:r>
                  <w:r>
                    <w:rPr>
                      <w:rFonts w:hint="eastAsia" w:ascii="Times New Roman" w:hAnsi="Times New Roman" w:eastAsia="宋体"/>
                      <w:color w:val="auto"/>
                      <w:sz w:val="21"/>
                      <w:szCs w:val="21"/>
                      <w:lang w:val="en-US" w:eastAsia="zh-CN"/>
                    </w:rPr>
                    <w:t>，11</w:t>
                  </w:r>
                  <w:r>
                    <w:rPr>
                      <w:rFonts w:ascii="Times New Roman" w:hAnsi="Times New Roman" w:eastAsia="宋体"/>
                      <w:color w:val="auto"/>
                      <w:sz w:val="21"/>
                      <w:szCs w:val="21"/>
                    </w:rPr>
                    <w:t>号井场占地面积</w:t>
                  </w:r>
                  <w:r>
                    <w:rPr>
                      <w:rFonts w:hint="eastAsia" w:ascii="Times New Roman" w:hAnsi="Times New Roman" w:eastAsia="宋体"/>
                      <w:color w:val="auto"/>
                      <w:sz w:val="21"/>
                      <w:szCs w:val="21"/>
                      <w:lang w:val="en-US" w:eastAsia="zh-CN"/>
                    </w:rPr>
                    <w:t>1499</w:t>
                  </w:r>
                  <w:r>
                    <w:rPr>
                      <w:rFonts w:ascii="Times New Roman" w:hAnsi="Times New Roman" w:eastAsia="宋体"/>
                      <w:color w:val="auto"/>
                      <w:sz w:val="21"/>
                      <w:szCs w:val="21"/>
                    </w:rPr>
                    <w:t>m</w:t>
                  </w:r>
                  <w:r>
                    <w:rPr>
                      <w:rFonts w:ascii="Times New Roman" w:hAnsi="Times New Roman" w:eastAsia="宋体"/>
                      <w:color w:val="auto"/>
                      <w:sz w:val="21"/>
                      <w:szCs w:val="21"/>
                      <w:vertAlign w:val="superscript"/>
                    </w:rPr>
                    <w:t>2</w:t>
                  </w:r>
                  <w:r>
                    <w:rPr>
                      <w:rFonts w:hint="eastAsia" w:ascii="Times New Roman" w:hAnsi="Times New Roman" w:eastAsia="宋体"/>
                      <w:color w:val="auto"/>
                      <w:sz w:val="21"/>
                      <w:szCs w:val="21"/>
                      <w:lang w:val="en-US" w:eastAsia="zh-CN"/>
                    </w:rPr>
                    <w:t xml:space="preserve"> ，12</w:t>
                  </w:r>
                  <w:r>
                    <w:rPr>
                      <w:rFonts w:ascii="Times New Roman" w:hAnsi="Times New Roman" w:eastAsia="宋体"/>
                      <w:color w:val="auto"/>
                      <w:sz w:val="21"/>
                      <w:szCs w:val="21"/>
                    </w:rPr>
                    <w:t>号井场占地面积</w:t>
                  </w:r>
                  <w:r>
                    <w:rPr>
                      <w:rFonts w:hint="eastAsia" w:ascii="Times New Roman" w:hAnsi="Times New Roman" w:eastAsia="宋体"/>
                      <w:color w:val="auto"/>
                      <w:sz w:val="21"/>
                      <w:szCs w:val="21"/>
                      <w:lang w:val="en-US" w:eastAsia="zh-CN"/>
                    </w:rPr>
                    <w:t>1413</w:t>
                  </w:r>
                  <w:r>
                    <w:rPr>
                      <w:rFonts w:ascii="Times New Roman" w:hAnsi="Times New Roman" w:eastAsia="宋体"/>
                      <w:color w:val="auto"/>
                      <w:sz w:val="21"/>
                      <w:szCs w:val="21"/>
                    </w:rPr>
                    <w:t>m</w:t>
                  </w:r>
                  <w:r>
                    <w:rPr>
                      <w:rFonts w:ascii="Times New Roman" w:hAnsi="Times New Roman" w:eastAsia="宋体"/>
                      <w:color w:val="auto"/>
                      <w:sz w:val="21"/>
                      <w:szCs w:val="21"/>
                      <w:vertAlign w:val="superscript"/>
                    </w:rPr>
                    <w:t>2</w:t>
                  </w:r>
                  <w:r>
                    <w:rPr>
                      <w:rFonts w:hint="eastAsia" w:ascii="Times New Roman" w:hAnsi="Times New Roman" w:eastAsia="宋体"/>
                      <w:color w:val="auto"/>
                      <w:sz w:val="21"/>
                      <w:szCs w:val="21"/>
                      <w:lang w:val="en-US" w:eastAsia="zh-CN"/>
                    </w:rPr>
                    <w:t>，13</w:t>
                  </w:r>
                  <w:r>
                    <w:rPr>
                      <w:rFonts w:ascii="Times New Roman" w:hAnsi="Times New Roman" w:eastAsia="宋体"/>
                      <w:color w:val="auto"/>
                      <w:sz w:val="21"/>
                      <w:szCs w:val="21"/>
                    </w:rPr>
                    <w:t>号井场占地面积</w:t>
                  </w:r>
                  <w:r>
                    <w:rPr>
                      <w:rFonts w:hint="eastAsia" w:ascii="Times New Roman" w:hAnsi="Times New Roman" w:eastAsia="宋体"/>
                      <w:color w:val="auto"/>
                      <w:sz w:val="21"/>
                      <w:szCs w:val="21"/>
                      <w:lang w:val="en-US" w:eastAsia="zh-CN"/>
                    </w:rPr>
                    <w:t>1658</w:t>
                  </w:r>
                  <w:r>
                    <w:rPr>
                      <w:rFonts w:ascii="Times New Roman" w:hAnsi="Times New Roman" w:eastAsia="宋体"/>
                      <w:color w:val="auto"/>
                      <w:sz w:val="21"/>
                      <w:szCs w:val="21"/>
                    </w:rPr>
                    <w:t>m</w:t>
                  </w:r>
                  <w:r>
                    <w:rPr>
                      <w:rFonts w:ascii="Times New Roman" w:hAnsi="Times New Roman" w:eastAsia="宋体"/>
                      <w:color w:val="auto"/>
                      <w:sz w:val="21"/>
                      <w:szCs w:val="21"/>
                      <w:vertAlign w:val="superscript"/>
                    </w:rPr>
                    <w:t>2</w:t>
                  </w:r>
                  <w:r>
                    <w:rPr>
                      <w:rFonts w:hint="eastAsia" w:ascii="Times New Roman" w:hAnsi="Times New Roman" w:eastAsia="宋体"/>
                      <w:color w:val="auto"/>
                      <w:sz w:val="21"/>
                      <w:szCs w:val="21"/>
                      <w:lang w:val="en-US" w:eastAsia="zh-CN"/>
                    </w:rPr>
                    <w:t>；</w:t>
                  </w:r>
                  <w:r>
                    <w:rPr>
                      <w:rFonts w:ascii="Times New Roman" w:hAnsi="Times New Roman" w:eastAsia="宋体"/>
                      <w:color w:val="auto"/>
                      <w:sz w:val="21"/>
                      <w:szCs w:val="21"/>
                    </w:rPr>
                    <w:t>施工现场及道路采取钢板铺垫。</w:t>
                  </w:r>
                </w:p>
              </w:tc>
            </w:tr>
            <w:tr w14:paraId="5C471279">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236" w:type="dxa"/>
                  <w:vMerge w:val="continue"/>
                  <w:noWrap w:val="0"/>
                  <w:vAlign w:val="center"/>
                </w:tcPr>
                <w:p w14:paraId="2C5C3BF0">
                  <w:pPr>
                    <w:jc w:val="center"/>
                    <w:rPr>
                      <w:rFonts w:ascii="Times New Roman" w:hAnsi="Times New Roman"/>
                      <w:color w:val="auto"/>
                      <w:szCs w:val="21"/>
                    </w:rPr>
                  </w:pPr>
                </w:p>
              </w:tc>
              <w:tc>
                <w:tcPr>
                  <w:tcW w:w="1276" w:type="dxa"/>
                  <w:noWrap w:val="0"/>
                  <w:vAlign w:val="center"/>
                </w:tcPr>
                <w:p w14:paraId="5907F91E">
                  <w:pPr>
                    <w:jc w:val="center"/>
                    <w:rPr>
                      <w:rFonts w:ascii="Times New Roman" w:hAnsi="Times New Roman"/>
                      <w:color w:val="auto"/>
                      <w:szCs w:val="21"/>
                    </w:rPr>
                  </w:pPr>
                  <w:r>
                    <w:rPr>
                      <w:rFonts w:ascii="Times New Roman" w:hAnsi="Times New Roman"/>
                      <w:color w:val="auto"/>
                      <w:szCs w:val="21"/>
                    </w:rPr>
                    <w:t>钻井工程</w:t>
                  </w:r>
                </w:p>
              </w:tc>
              <w:tc>
                <w:tcPr>
                  <w:tcW w:w="5319" w:type="dxa"/>
                  <w:noWrap w:val="0"/>
                  <w:vAlign w:val="center"/>
                </w:tcPr>
                <w:p w14:paraId="419F1925">
                  <w:pPr>
                    <w:rPr>
                      <w:rFonts w:ascii="Times New Roman" w:hAnsi="Times New Roman"/>
                      <w:color w:val="auto"/>
                      <w:szCs w:val="21"/>
                    </w:rPr>
                  </w:pPr>
                  <w:r>
                    <w:rPr>
                      <w:rFonts w:ascii="Times New Roman" w:hAnsi="Times New Roman"/>
                      <w:color w:val="auto"/>
                      <w:szCs w:val="21"/>
                    </w:rPr>
                    <w:t>项目井场域设置</w:t>
                  </w:r>
                  <w:r>
                    <w:rPr>
                      <w:rFonts w:hint="eastAsia" w:ascii="Times New Roman" w:hAnsi="Times New Roman"/>
                      <w:color w:val="auto"/>
                      <w:szCs w:val="21"/>
                      <w:lang w:val="en-US" w:eastAsia="zh-CN"/>
                    </w:rPr>
                    <w:t>13</w:t>
                  </w:r>
                  <w:r>
                    <w:rPr>
                      <w:rFonts w:ascii="Times New Roman" w:hAnsi="Times New Roman"/>
                      <w:color w:val="auto"/>
                      <w:szCs w:val="21"/>
                    </w:rPr>
                    <w:t>个井场，每个井场区均设置</w:t>
                  </w:r>
                  <w:r>
                    <w:rPr>
                      <w:rFonts w:ascii="Times New Roman" w:hAnsi="Times New Roman"/>
                      <w:color w:val="auto"/>
                      <w:szCs w:val="21"/>
                      <w:shd w:val="clear" w:color="auto" w:fill="FFFFFF"/>
                    </w:rPr>
                    <w:t>钻井作业区、蓄水池、废浆池、干化池、</w:t>
                  </w:r>
                  <w:r>
                    <w:rPr>
                      <w:rFonts w:hint="eastAsia" w:ascii="Times New Roman" w:hAnsi="Times New Roman"/>
                      <w:color w:val="auto"/>
                      <w:szCs w:val="21"/>
                      <w:shd w:val="clear" w:color="auto" w:fill="FFFFFF"/>
                      <w:lang w:val="en-US" w:eastAsia="zh-CN"/>
                    </w:rPr>
                    <w:t>施工材料区</w:t>
                  </w:r>
                  <w:r>
                    <w:rPr>
                      <w:rFonts w:ascii="Times New Roman" w:hAnsi="Times New Roman"/>
                      <w:color w:val="auto"/>
                      <w:szCs w:val="21"/>
                      <w:shd w:val="clear" w:color="auto" w:fill="FFFFFF"/>
                    </w:rPr>
                    <w:t>、</w:t>
                  </w:r>
                  <w:r>
                    <w:rPr>
                      <w:rFonts w:hint="eastAsia" w:ascii="Times New Roman" w:hAnsi="Times New Roman"/>
                      <w:color w:val="auto"/>
                      <w:szCs w:val="21"/>
                      <w:shd w:val="clear" w:color="auto" w:fill="FFFFFF"/>
                      <w:lang w:val="en-US" w:eastAsia="zh-CN"/>
                    </w:rPr>
                    <w:t>原料区、</w:t>
                  </w:r>
                  <w:r>
                    <w:rPr>
                      <w:rFonts w:ascii="Times New Roman" w:hAnsi="Times New Roman"/>
                      <w:color w:val="auto"/>
                      <w:szCs w:val="21"/>
                      <w:shd w:val="clear" w:color="auto" w:fill="FFFFFF"/>
                    </w:rPr>
                    <w:t>临时办公区、控制配电室、</w:t>
                  </w:r>
                  <w:r>
                    <w:rPr>
                      <w:rFonts w:hint="eastAsia" w:ascii="Times New Roman" w:hAnsi="Times New Roman"/>
                      <w:color w:val="auto"/>
                      <w:szCs w:val="21"/>
                      <w:shd w:val="clear" w:color="auto" w:fill="FFFFFF"/>
                      <w:lang w:val="en-US" w:eastAsia="zh-CN"/>
                    </w:rPr>
                    <w:t>表土剥离堆放场、</w:t>
                  </w:r>
                  <w:r>
                    <w:rPr>
                      <w:rFonts w:ascii="Times New Roman" w:hAnsi="Times New Roman"/>
                      <w:color w:val="auto"/>
                      <w:szCs w:val="21"/>
                      <w:shd w:val="clear" w:color="auto" w:fill="FFFFFF"/>
                    </w:rPr>
                    <w:t>弃土</w:t>
                  </w:r>
                  <w:r>
                    <w:rPr>
                      <w:rFonts w:hint="eastAsia" w:ascii="Times New Roman" w:hAnsi="Times New Roman"/>
                      <w:color w:val="auto"/>
                      <w:szCs w:val="21"/>
                      <w:shd w:val="clear" w:color="auto" w:fill="FFFFFF"/>
                      <w:lang w:val="en-US" w:eastAsia="zh-CN"/>
                    </w:rPr>
                    <w:t>堆土</w:t>
                  </w:r>
                  <w:r>
                    <w:rPr>
                      <w:rFonts w:ascii="Times New Roman" w:hAnsi="Times New Roman"/>
                      <w:color w:val="auto"/>
                      <w:szCs w:val="21"/>
                      <w:shd w:val="clear" w:color="auto" w:fill="FFFFFF"/>
                    </w:rPr>
                    <w:t>堆场、沉淀池</w:t>
                  </w:r>
                  <w:r>
                    <w:rPr>
                      <w:rFonts w:hint="eastAsia"/>
                      <w:color w:val="auto"/>
                      <w:lang w:val="en-US" w:eastAsia="zh-CN"/>
                    </w:rPr>
                    <w:t>等</w:t>
                  </w:r>
                  <w:r>
                    <w:rPr>
                      <w:rFonts w:ascii="Times New Roman" w:hAnsi="Times New Roman"/>
                      <w:color w:val="auto"/>
                      <w:szCs w:val="21"/>
                    </w:rPr>
                    <w:t>。项目每个井场设置</w:t>
                  </w:r>
                  <w:r>
                    <w:rPr>
                      <w:rFonts w:ascii="Times New Roman" w:hAnsi="Times New Roman"/>
                      <w:color w:val="auto"/>
                      <w:szCs w:val="21"/>
                      <w:shd w:val="clear" w:color="auto" w:fill="FFFFFF"/>
                    </w:rPr>
                    <w:t>钻井作业区</w:t>
                  </w:r>
                  <w:r>
                    <w:rPr>
                      <w:rFonts w:ascii="Times New Roman" w:hAnsi="Times New Roman"/>
                      <w:color w:val="auto"/>
                      <w:szCs w:val="21"/>
                    </w:rPr>
                    <w:t>，用于布设钻井设备及钻井平台，建筑面积</w:t>
                  </w:r>
                  <w:r>
                    <w:rPr>
                      <w:rFonts w:hint="eastAsia" w:ascii="Times New Roman" w:hAnsi="Times New Roman"/>
                      <w:color w:val="auto"/>
                      <w:szCs w:val="21"/>
                      <w:lang w:val="en-US" w:eastAsia="zh-CN"/>
                    </w:rPr>
                    <w:t>3</w:t>
                  </w:r>
                  <w:r>
                    <w:rPr>
                      <w:rFonts w:ascii="Times New Roman" w:hAnsi="Times New Roman"/>
                      <w:color w:val="auto"/>
                      <w:szCs w:val="21"/>
                    </w:rPr>
                    <w:t>00m</w:t>
                  </w:r>
                  <w:r>
                    <w:rPr>
                      <w:rFonts w:ascii="Times New Roman" w:hAnsi="Times New Roman"/>
                      <w:color w:val="auto"/>
                      <w:szCs w:val="21"/>
                      <w:vertAlign w:val="superscript"/>
                    </w:rPr>
                    <w:t>2</w:t>
                  </w:r>
                  <w:r>
                    <w:rPr>
                      <w:rFonts w:ascii="Times New Roman" w:hAnsi="Times New Roman"/>
                      <w:color w:val="auto"/>
                      <w:szCs w:val="21"/>
                    </w:rPr>
                    <w:t>，用于存放机械设备及原辅材料等。</w:t>
                  </w:r>
                </w:p>
              </w:tc>
            </w:tr>
            <w:tr w14:paraId="0E0FEECC">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57" w:hRule="atLeast"/>
              </w:trPr>
              <w:tc>
                <w:tcPr>
                  <w:tcW w:w="1236" w:type="dxa"/>
                  <w:vMerge w:val="continue"/>
                  <w:noWrap w:val="0"/>
                  <w:vAlign w:val="center"/>
                </w:tcPr>
                <w:p w14:paraId="678D2A60">
                  <w:pPr>
                    <w:jc w:val="center"/>
                    <w:rPr>
                      <w:rFonts w:ascii="Times New Roman" w:hAnsi="Times New Roman"/>
                      <w:color w:val="auto"/>
                      <w:szCs w:val="21"/>
                    </w:rPr>
                  </w:pPr>
                </w:p>
              </w:tc>
              <w:tc>
                <w:tcPr>
                  <w:tcW w:w="1276" w:type="dxa"/>
                  <w:noWrap w:val="0"/>
                  <w:vAlign w:val="center"/>
                </w:tcPr>
                <w:p w14:paraId="45180DEB">
                  <w:pPr>
                    <w:jc w:val="center"/>
                    <w:rPr>
                      <w:rFonts w:ascii="Times New Roman" w:hAnsi="Times New Roman"/>
                      <w:color w:val="auto"/>
                      <w:szCs w:val="21"/>
                    </w:rPr>
                  </w:pPr>
                  <w:r>
                    <w:rPr>
                      <w:rFonts w:ascii="Times New Roman" w:hAnsi="Times New Roman"/>
                      <w:color w:val="auto"/>
                      <w:szCs w:val="21"/>
                    </w:rPr>
                    <w:t>复垦工程</w:t>
                  </w:r>
                </w:p>
              </w:tc>
              <w:tc>
                <w:tcPr>
                  <w:tcW w:w="5319" w:type="dxa"/>
                  <w:noWrap w:val="0"/>
                  <w:vAlign w:val="center"/>
                </w:tcPr>
                <w:p w14:paraId="61A4AEA2">
                  <w:pPr>
                    <w:pStyle w:val="23"/>
                    <w:jc w:val="both"/>
                    <w:rPr>
                      <w:rFonts w:ascii="Times New Roman" w:hAnsi="Times New Roman"/>
                      <w:color w:val="auto"/>
                      <w:sz w:val="21"/>
                      <w:szCs w:val="21"/>
                    </w:rPr>
                  </w:pPr>
                  <w:r>
                    <w:rPr>
                      <w:rFonts w:ascii="Times New Roman" w:hAnsi="Times New Roman"/>
                      <w:color w:val="auto"/>
                      <w:sz w:val="21"/>
                      <w:szCs w:val="21"/>
                    </w:rPr>
                    <w:t>工程完成后进行植被恢复，维持项目区域生态环境的现有功能</w:t>
                  </w:r>
                </w:p>
              </w:tc>
            </w:tr>
            <w:tr w14:paraId="47E39574">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57" w:hRule="atLeast"/>
              </w:trPr>
              <w:tc>
                <w:tcPr>
                  <w:tcW w:w="1236" w:type="dxa"/>
                  <w:noWrap w:val="0"/>
                  <w:vAlign w:val="center"/>
                </w:tcPr>
                <w:p w14:paraId="342C8F96">
                  <w:pPr>
                    <w:jc w:val="center"/>
                    <w:rPr>
                      <w:rFonts w:ascii="Times New Roman" w:hAnsi="Times New Roman"/>
                      <w:color w:val="auto"/>
                      <w:szCs w:val="21"/>
                    </w:rPr>
                  </w:pPr>
                  <w:r>
                    <w:rPr>
                      <w:rFonts w:ascii="Times New Roman" w:hAnsi="Times New Roman"/>
                      <w:color w:val="auto"/>
                      <w:szCs w:val="21"/>
                    </w:rPr>
                    <w:t>辅助工程</w:t>
                  </w:r>
                </w:p>
              </w:tc>
              <w:tc>
                <w:tcPr>
                  <w:tcW w:w="1276" w:type="dxa"/>
                  <w:noWrap w:val="0"/>
                  <w:vAlign w:val="center"/>
                </w:tcPr>
                <w:p w14:paraId="4E8F90BD">
                  <w:pPr>
                    <w:jc w:val="center"/>
                    <w:rPr>
                      <w:rFonts w:ascii="Times New Roman" w:hAnsi="Times New Roman"/>
                      <w:color w:val="auto"/>
                      <w:szCs w:val="21"/>
                    </w:rPr>
                  </w:pPr>
                  <w:r>
                    <w:rPr>
                      <w:rFonts w:ascii="Times New Roman" w:hAnsi="Times New Roman"/>
                      <w:color w:val="auto"/>
                      <w:szCs w:val="21"/>
                    </w:rPr>
                    <w:t>自控系统</w:t>
                  </w:r>
                </w:p>
              </w:tc>
              <w:tc>
                <w:tcPr>
                  <w:tcW w:w="5319" w:type="dxa"/>
                  <w:noWrap w:val="0"/>
                  <w:vAlign w:val="center"/>
                </w:tcPr>
                <w:p w14:paraId="66612B8B">
                  <w:pPr>
                    <w:jc w:val="center"/>
                    <w:rPr>
                      <w:rFonts w:ascii="Times New Roman" w:hAnsi="Times New Roman"/>
                      <w:color w:val="auto"/>
                      <w:szCs w:val="21"/>
                    </w:rPr>
                  </w:pPr>
                  <w:r>
                    <w:rPr>
                      <w:rFonts w:hint="eastAsia" w:ascii="Times New Roman" w:hAnsi="Times New Roman"/>
                      <w:color w:val="auto"/>
                      <w:szCs w:val="21"/>
                      <w:lang w:val="en-US" w:eastAsia="zh-CN"/>
                    </w:rPr>
                    <w:t>各</w:t>
                  </w:r>
                  <w:r>
                    <w:rPr>
                      <w:rFonts w:ascii="Times New Roman" w:hAnsi="Times New Roman"/>
                      <w:color w:val="auto"/>
                      <w:szCs w:val="21"/>
                    </w:rPr>
                    <w:t>井场设置</w:t>
                  </w:r>
                  <w:r>
                    <w:rPr>
                      <w:rFonts w:ascii="Times New Roman" w:hAnsi="Times New Roman"/>
                      <w:color w:val="auto"/>
                      <w:szCs w:val="21"/>
                      <w:shd w:val="clear" w:color="auto" w:fill="FFFFFF"/>
                    </w:rPr>
                    <w:t>控制配电室，建设面积60</w:t>
                  </w:r>
                  <w:r>
                    <w:rPr>
                      <w:rFonts w:ascii="Times New Roman" w:hAnsi="Times New Roman"/>
                      <w:color w:val="auto"/>
                      <w:szCs w:val="21"/>
                    </w:rPr>
                    <w:t>m</w:t>
                  </w:r>
                  <w:r>
                    <w:rPr>
                      <w:rFonts w:ascii="Times New Roman" w:hAnsi="Times New Roman"/>
                      <w:color w:val="auto"/>
                      <w:szCs w:val="21"/>
                      <w:vertAlign w:val="superscript"/>
                    </w:rPr>
                    <w:t>2</w:t>
                  </w:r>
                </w:p>
              </w:tc>
            </w:tr>
            <w:tr w14:paraId="0F410074">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236" w:type="dxa"/>
                  <w:vMerge w:val="restart"/>
                  <w:noWrap w:val="0"/>
                  <w:vAlign w:val="center"/>
                </w:tcPr>
                <w:p w14:paraId="6116ED62">
                  <w:pPr>
                    <w:jc w:val="center"/>
                    <w:rPr>
                      <w:rFonts w:ascii="Times New Roman" w:hAnsi="Times New Roman"/>
                      <w:color w:val="auto"/>
                      <w:szCs w:val="21"/>
                    </w:rPr>
                  </w:pPr>
                  <w:r>
                    <w:rPr>
                      <w:rFonts w:ascii="Times New Roman" w:hAnsi="Times New Roman"/>
                      <w:color w:val="auto"/>
                      <w:szCs w:val="21"/>
                    </w:rPr>
                    <w:t>临时工程</w:t>
                  </w:r>
                </w:p>
              </w:tc>
              <w:tc>
                <w:tcPr>
                  <w:tcW w:w="1276" w:type="dxa"/>
                  <w:noWrap w:val="0"/>
                  <w:vAlign w:val="center"/>
                </w:tcPr>
                <w:p w14:paraId="3EBA9508">
                  <w:pPr>
                    <w:jc w:val="center"/>
                    <w:rPr>
                      <w:color w:val="auto"/>
                      <w:szCs w:val="21"/>
                    </w:rPr>
                  </w:pPr>
                  <w:r>
                    <w:rPr>
                      <w:color w:val="auto"/>
                      <w:szCs w:val="21"/>
                    </w:rPr>
                    <w:t>临时办公区</w:t>
                  </w:r>
                </w:p>
              </w:tc>
              <w:tc>
                <w:tcPr>
                  <w:tcW w:w="5319" w:type="dxa"/>
                  <w:noWrap w:val="0"/>
                  <w:vAlign w:val="center"/>
                </w:tcPr>
                <w:p w14:paraId="53305038">
                  <w:pPr>
                    <w:jc w:val="center"/>
                    <w:rPr>
                      <w:rFonts w:hint="eastAsia" w:eastAsia="宋体"/>
                      <w:color w:val="auto"/>
                      <w:szCs w:val="21"/>
                      <w:lang w:eastAsia="zh-CN"/>
                    </w:rPr>
                  </w:pPr>
                  <w:r>
                    <w:rPr>
                      <w:color w:val="auto"/>
                      <w:szCs w:val="21"/>
                    </w:rPr>
                    <w:t>每个井场内设置</w:t>
                  </w:r>
                  <w:r>
                    <w:rPr>
                      <w:color w:val="auto"/>
                      <w:szCs w:val="21"/>
                      <w:shd w:val="clear" w:color="auto" w:fill="FFFFFF"/>
                    </w:rPr>
                    <w:t>临时办公区，用于现场办公，属于每个井场临时用地范围</w:t>
                  </w:r>
                  <w:r>
                    <w:rPr>
                      <w:rFonts w:hint="eastAsia"/>
                      <w:color w:val="auto"/>
                      <w:szCs w:val="21"/>
                      <w:shd w:val="clear" w:color="auto" w:fill="FFFFFF"/>
                    </w:rPr>
                    <w:t>，</w:t>
                  </w:r>
                  <w:r>
                    <w:rPr>
                      <w:color w:val="auto"/>
                      <w:szCs w:val="21"/>
                      <w:shd w:val="clear" w:color="auto" w:fill="FFFFFF"/>
                    </w:rPr>
                    <w:t>建筑面积</w:t>
                  </w:r>
                  <w:r>
                    <w:rPr>
                      <w:rFonts w:hint="eastAsia"/>
                      <w:color w:val="auto"/>
                      <w:szCs w:val="21"/>
                      <w:shd w:val="clear" w:color="auto" w:fill="FFFFFF"/>
                      <w:lang w:val="en-US" w:eastAsia="zh-CN"/>
                    </w:rPr>
                    <w:t>150</w:t>
                  </w:r>
                  <w:r>
                    <w:rPr>
                      <w:rFonts w:hint="eastAsia"/>
                      <w:color w:val="auto"/>
                      <w:szCs w:val="21"/>
                      <w:shd w:val="clear" w:color="auto" w:fill="FFFFFF"/>
                    </w:rPr>
                    <w:t>m</w:t>
                  </w:r>
                  <w:r>
                    <w:rPr>
                      <w:rFonts w:hint="eastAsia"/>
                      <w:color w:val="auto"/>
                      <w:szCs w:val="21"/>
                      <w:shd w:val="clear" w:color="auto" w:fill="FFFFFF"/>
                      <w:vertAlign w:val="superscript"/>
                    </w:rPr>
                    <w:t>2</w:t>
                  </w:r>
                  <w:r>
                    <w:rPr>
                      <w:rFonts w:hint="eastAsia"/>
                      <w:color w:val="auto"/>
                      <w:szCs w:val="21"/>
                      <w:shd w:val="clear" w:color="auto" w:fill="FFFFFF"/>
                    </w:rPr>
                    <w:t>。每个井场内</w:t>
                  </w:r>
                  <w:r>
                    <w:rPr>
                      <w:color w:val="auto"/>
                      <w:szCs w:val="21"/>
                      <w:shd w:val="clear" w:color="auto" w:fill="FFFFFF"/>
                    </w:rPr>
                    <w:t>不设置施工营地，施工人员租用当地民房作为临时营地</w:t>
                  </w:r>
                  <w:r>
                    <w:rPr>
                      <w:rFonts w:hint="eastAsia"/>
                      <w:color w:val="auto"/>
                      <w:szCs w:val="21"/>
                      <w:shd w:val="clear" w:color="auto" w:fill="FFFFFF"/>
                      <w:lang w:eastAsia="zh-CN"/>
                    </w:rPr>
                    <w:t>。</w:t>
                  </w:r>
                </w:p>
              </w:tc>
            </w:tr>
            <w:tr w14:paraId="7FD03E5A">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236" w:type="dxa"/>
                  <w:vMerge w:val="continue"/>
                  <w:noWrap w:val="0"/>
                  <w:vAlign w:val="center"/>
                </w:tcPr>
                <w:p w14:paraId="31DDADA6">
                  <w:pPr>
                    <w:jc w:val="center"/>
                    <w:rPr>
                      <w:rFonts w:ascii="Times New Roman" w:hAnsi="Times New Roman"/>
                      <w:color w:val="auto"/>
                      <w:szCs w:val="21"/>
                    </w:rPr>
                  </w:pPr>
                </w:p>
              </w:tc>
              <w:tc>
                <w:tcPr>
                  <w:tcW w:w="1276" w:type="dxa"/>
                  <w:noWrap w:val="0"/>
                  <w:vAlign w:val="center"/>
                </w:tcPr>
                <w:p w14:paraId="21FBD78E">
                  <w:pPr>
                    <w:jc w:val="center"/>
                    <w:rPr>
                      <w:rFonts w:ascii="Times New Roman" w:hAnsi="Times New Roman"/>
                      <w:color w:val="auto"/>
                      <w:szCs w:val="21"/>
                    </w:rPr>
                  </w:pPr>
                  <w:r>
                    <w:rPr>
                      <w:rFonts w:ascii="Times New Roman" w:hAnsi="Times New Roman"/>
                      <w:color w:val="auto"/>
                      <w:szCs w:val="21"/>
                    </w:rPr>
                    <w:t>进场道路</w:t>
                  </w:r>
                </w:p>
              </w:tc>
              <w:tc>
                <w:tcPr>
                  <w:tcW w:w="5319" w:type="dxa"/>
                  <w:noWrap w:val="0"/>
                  <w:vAlign w:val="center"/>
                </w:tcPr>
                <w:p w14:paraId="61C4CBCE">
                  <w:pPr>
                    <w:jc w:val="center"/>
                    <w:rPr>
                      <w:rFonts w:hint="default" w:ascii="Times New Roman" w:hAnsi="Times New Roman" w:eastAsia="宋体"/>
                      <w:color w:val="auto"/>
                      <w:szCs w:val="21"/>
                      <w:lang w:val="en-US" w:eastAsia="zh-CN"/>
                    </w:rPr>
                  </w:pPr>
                  <w:r>
                    <w:rPr>
                      <w:rFonts w:ascii="Times New Roman" w:hAnsi="Times New Roman"/>
                      <w:color w:val="auto"/>
                      <w:szCs w:val="21"/>
                    </w:rPr>
                    <w:t>根据现场施工远近情况铺设进场道路，</w:t>
                  </w:r>
                  <w:r>
                    <w:rPr>
                      <w:rFonts w:hint="eastAsia" w:ascii="Times New Roman" w:hAnsi="Times New Roman"/>
                      <w:color w:val="auto"/>
                      <w:szCs w:val="21"/>
                      <w:lang w:val="en-US" w:eastAsia="zh-CN"/>
                    </w:rPr>
                    <w:t>施工便道：地块1：长29.8m，宽4.9m；地块2：长54m，宽4.9m；地块3：长50.3m，宽5m；地块4：长44.6m，宽5m；地块5：长31m，宽5m；地块6：长88.6m，宽5m；地块7：长41m，宽5m；地块8：长83m，宽5m；地块9：长23.7m，宽5m；地块10：长34.9m，宽5m；地块11：长43.6m，宽5m；地块12：长22.9m，宽5m；地块13：长105m，宽5m；</w:t>
                  </w:r>
                  <w:r>
                    <w:rPr>
                      <w:rFonts w:hint="eastAsia"/>
                      <w:color w:val="auto"/>
                      <w:lang w:val="en-US" w:eastAsia="zh-CN"/>
                    </w:rPr>
                    <w:t>施工便道总占地面积为</w:t>
                  </w:r>
                  <w:r>
                    <w:rPr>
                      <w:rFonts w:hint="default" w:ascii="Times New Roman" w:hAnsi="Times New Roman" w:cs="Times New Roman"/>
                      <w:color w:val="auto"/>
                      <w:lang w:val="en-US" w:eastAsia="zh-CN"/>
                    </w:rPr>
                    <w:t>3253.62</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r>
                    <w:rPr>
                      <w:rFonts w:hint="eastAsia"/>
                      <w:color w:val="auto"/>
                      <w:szCs w:val="21"/>
                      <w:shd w:val="clear" w:color="auto" w:fill="FFFFFF"/>
                      <w:lang w:eastAsia="zh-CN"/>
                    </w:rPr>
                    <w:t>。</w:t>
                  </w:r>
                </w:p>
              </w:tc>
            </w:tr>
            <w:tr w14:paraId="04D19EB7">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236" w:type="dxa"/>
                  <w:vMerge w:val="continue"/>
                  <w:noWrap w:val="0"/>
                  <w:vAlign w:val="center"/>
                </w:tcPr>
                <w:p w14:paraId="648E802A">
                  <w:pPr>
                    <w:jc w:val="center"/>
                    <w:rPr>
                      <w:rFonts w:ascii="Times New Roman" w:hAnsi="Times New Roman"/>
                      <w:color w:val="auto"/>
                      <w:szCs w:val="21"/>
                    </w:rPr>
                  </w:pPr>
                </w:p>
              </w:tc>
              <w:tc>
                <w:tcPr>
                  <w:tcW w:w="1276" w:type="dxa"/>
                  <w:noWrap w:val="0"/>
                  <w:vAlign w:val="center"/>
                </w:tcPr>
                <w:p w14:paraId="1A6DE90B">
                  <w:pPr>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表土剥离堆场</w:t>
                  </w:r>
                </w:p>
              </w:tc>
              <w:tc>
                <w:tcPr>
                  <w:tcW w:w="5319" w:type="dxa"/>
                  <w:noWrap w:val="0"/>
                  <w:vAlign w:val="center"/>
                </w:tcPr>
                <w:p w14:paraId="14C3023A">
                  <w:pPr>
                    <w:jc w:val="center"/>
                    <w:rPr>
                      <w:rFonts w:ascii="Times New Roman" w:hAnsi="Times New Roman"/>
                      <w:color w:val="auto"/>
                      <w:szCs w:val="21"/>
                    </w:rPr>
                  </w:pPr>
                  <w:r>
                    <w:rPr>
                      <w:rFonts w:ascii="Times New Roman" w:hAnsi="Times New Roman"/>
                      <w:color w:val="auto"/>
                      <w:szCs w:val="21"/>
                    </w:rPr>
                    <w:t>项目剥离表土集中堆放于每个井场内的临时</w:t>
                  </w:r>
                  <w:r>
                    <w:rPr>
                      <w:rFonts w:hint="eastAsia" w:ascii="Times New Roman" w:hAnsi="Times New Roman"/>
                      <w:color w:val="auto"/>
                      <w:szCs w:val="21"/>
                    </w:rPr>
                    <w:t>表土剥离堆场</w:t>
                  </w:r>
                  <w:r>
                    <w:rPr>
                      <w:rFonts w:ascii="Times New Roman" w:hAnsi="Times New Roman"/>
                      <w:color w:val="auto"/>
                      <w:szCs w:val="21"/>
                    </w:rPr>
                    <w:t>，</w:t>
                  </w:r>
                  <w:r>
                    <w:rPr>
                      <w:rFonts w:hint="eastAsia" w:ascii="Times New Roman" w:hAnsi="Times New Roman"/>
                      <w:color w:val="auto"/>
                      <w:szCs w:val="21"/>
                      <w:lang w:val="en-US" w:eastAsia="zh-CN"/>
                    </w:rPr>
                    <w:t>总</w:t>
                  </w:r>
                  <w:r>
                    <w:rPr>
                      <w:rFonts w:ascii="Times New Roman" w:hAnsi="Times New Roman"/>
                      <w:color w:val="auto"/>
                      <w:szCs w:val="21"/>
                    </w:rPr>
                    <w:t>占地面积约为</w:t>
                  </w:r>
                  <w:r>
                    <w:rPr>
                      <w:rFonts w:hint="eastAsia" w:ascii="Times New Roman" w:hAnsi="Times New Roman"/>
                      <w:color w:val="auto"/>
                      <w:szCs w:val="21"/>
                      <w:lang w:val="en-US" w:eastAsia="zh-CN"/>
                    </w:rPr>
                    <w:t>2484</w:t>
                  </w:r>
                  <w:r>
                    <w:rPr>
                      <w:rFonts w:ascii="Times New Roman" w:hAnsi="Times New Roman"/>
                      <w:color w:val="auto"/>
                      <w:szCs w:val="21"/>
                    </w:rPr>
                    <w:t>m</w:t>
                  </w:r>
                  <w:r>
                    <w:rPr>
                      <w:rFonts w:ascii="Times New Roman" w:hAnsi="Times New Roman"/>
                      <w:color w:val="auto"/>
                      <w:szCs w:val="21"/>
                      <w:vertAlign w:val="superscript"/>
                    </w:rPr>
                    <w:t>2</w:t>
                  </w:r>
                  <w:r>
                    <w:rPr>
                      <w:rFonts w:hint="eastAsia" w:ascii="Times New Roman" w:hAnsi="Times New Roman"/>
                      <w:color w:val="auto"/>
                      <w:szCs w:val="21"/>
                    </w:rPr>
                    <w:t>，</w:t>
                  </w:r>
                  <w:r>
                    <w:rPr>
                      <w:rFonts w:ascii="Times New Roman" w:hAnsi="Times New Roman"/>
                      <w:color w:val="auto"/>
                      <w:szCs w:val="21"/>
                    </w:rPr>
                    <w:t>复垦时恢复原貌</w:t>
                  </w:r>
                </w:p>
              </w:tc>
            </w:tr>
            <w:tr w14:paraId="582C7AAD">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236" w:type="dxa"/>
                  <w:vMerge w:val="continue"/>
                  <w:noWrap w:val="0"/>
                  <w:vAlign w:val="center"/>
                </w:tcPr>
                <w:p w14:paraId="5CDD9C7A">
                  <w:pPr>
                    <w:jc w:val="center"/>
                    <w:rPr>
                      <w:rFonts w:ascii="Times New Roman" w:hAnsi="Times New Roman"/>
                      <w:color w:val="auto"/>
                      <w:szCs w:val="21"/>
                    </w:rPr>
                  </w:pPr>
                </w:p>
              </w:tc>
              <w:tc>
                <w:tcPr>
                  <w:tcW w:w="1276" w:type="dxa"/>
                  <w:noWrap w:val="0"/>
                  <w:vAlign w:val="center"/>
                </w:tcPr>
                <w:p w14:paraId="136356E3">
                  <w:pPr>
                    <w:jc w:val="center"/>
                    <w:rPr>
                      <w:rFonts w:ascii="Times New Roman" w:hAnsi="Times New Roman"/>
                      <w:color w:val="auto"/>
                      <w:szCs w:val="21"/>
                      <w:shd w:val="clear" w:color="auto" w:fill="FFFFFF"/>
                    </w:rPr>
                  </w:pPr>
                  <w:r>
                    <w:rPr>
                      <w:rFonts w:ascii="Times New Roman" w:hAnsi="Times New Roman"/>
                      <w:color w:val="auto"/>
                      <w:szCs w:val="21"/>
                      <w:shd w:val="clear" w:color="auto" w:fill="FFFFFF"/>
                    </w:rPr>
                    <w:t>弃土临时堆场</w:t>
                  </w:r>
                </w:p>
              </w:tc>
              <w:tc>
                <w:tcPr>
                  <w:tcW w:w="5319" w:type="dxa"/>
                  <w:noWrap w:val="0"/>
                  <w:vAlign w:val="center"/>
                </w:tcPr>
                <w:p w14:paraId="23CD669A">
                  <w:pPr>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项目弃土</w:t>
                  </w:r>
                  <w:r>
                    <w:rPr>
                      <w:rFonts w:ascii="Times New Roman" w:hAnsi="Times New Roman"/>
                      <w:color w:val="auto"/>
                      <w:szCs w:val="21"/>
                    </w:rPr>
                    <w:t>集中堆放于每个井场内的</w:t>
                  </w:r>
                  <w:r>
                    <w:rPr>
                      <w:rFonts w:hint="eastAsia" w:ascii="Times New Roman" w:hAnsi="Times New Roman"/>
                      <w:color w:val="auto"/>
                      <w:szCs w:val="21"/>
                      <w:lang w:val="en-US" w:eastAsia="zh-CN"/>
                    </w:rPr>
                    <w:t>弃土堆场，总</w:t>
                  </w:r>
                  <w:r>
                    <w:rPr>
                      <w:rFonts w:ascii="Times New Roman" w:hAnsi="Times New Roman"/>
                      <w:color w:val="auto"/>
                      <w:szCs w:val="21"/>
                    </w:rPr>
                    <w:t>占地面积约为</w:t>
                  </w:r>
                  <w:r>
                    <w:rPr>
                      <w:rFonts w:hint="eastAsia" w:ascii="Times New Roman" w:hAnsi="Times New Roman"/>
                      <w:color w:val="auto"/>
                      <w:szCs w:val="21"/>
                      <w:lang w:val="en-US" w:eastAsia="zh-CN"/>
                    </w:rPr>
                    <w:t>995.8</w:t>
                  </w:r>
                  <w:r>
                    <w:rPr>
                      <w:rFonts w:ascii="Times New Roman" w:hAnsi="Times New Roman"/>
                      <w:color w:val="auto"/>
                      <w:szCs w:val="21"/>
                    </w:rPr>
                    <w:t>m</w:t>
                  </w:r>
                  <w:r>
                    <w:rPr>
                      <w:rFonts w:ascii="Times New Roman" w:hAnsi="Times New Roman"/>
                      <w:color w:val="auto"/>
                      <w:szCs w:val="21"/>
                      <w:vertAlign w:val="superscript"/>
                    </w:rPr>
                    <w:t>2</w:t>
                  </w:r>
                  <w:r>
                    <w:rPr>
                      <w:rFonts w:hint="eastAsia" w:ascii="Times New Roman" w:hAnsi="Times New Roman"/>
                      <w:color w:val="auto"/>
                      <w:szCs w:val="21"/>
                    </w:rPr>
                    <w:t>，</w:t>
                  </w:r>
                  <w:r>
                    <w:rPr>
                      <w:rFonts w:ascii="Times New Roman" w:hAnsi="Times New Roman"/>
                      <w:color w:val="auto"/>
                      <w:szCs w:val="21"/>
                    </w:rPr>
                    <w:t>复垦时恢复原貌</w:t>
                  </w:r>
                </w:p>
              </w:tc>
            </w:tr>
            <w:tr w14:paraId="2B0C4E67">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236" w:type="dxa"/>
                  <w:vMerge w:val="restart"/>
                  <w:noWrap w:val="0"/>
                  <w:vAlign w:val="center"/>
                </w:tcPr>
                <w:p w14:paraId="667010EE">
                  <w:pPr>
                    <w:jc w:val="center"/>
                    <w:rPr>
                      <w:rFonts w:ascii="Times New Roman" w:hAnsi="Times New Roman"/>
                      <w:color w:val="auto"/>
                      <w:szCs w:val="21"/>
                    </w:rPr>
                  </w:pPr>
                  <w:r>
                    <w:rPr>
                      <w:rFonts w:ascii="Times New Roman" w:hAnsi="Times New Roman"/>
                      <w:color w:val="auto"/>
                      <w:szCs w:val="21"/>
                    </w:rPr>
                    <w:t>储运工程</w:t>
                  </w:r>
                </w:p>
              </w:tc>
              <w:tc>
                <w:tcPr>
                  <w:tcW w:w="1276" w:type="dxa"/>
                  <w:noWrap w:val="0"/>
                  <w:vAlign w:val="center"/>
                </w:tcPr>
                <w:p w14:paraId="753D802F">
                  <w:pPr>
                    <w:jc w:val="center"/>
                    <w:rPr>
                      <w:rFonts w:ascii="Times New Roman" w:hAnsi="Times New Roman"/>
                      <w:color w:val="auto"/>
                      <w:szCs w:val="21"/>
                    </w:rPr>
                  </w:pPr>
                  <w:r>
                    <w:rPr>
                      <w:rFonts w:ascii="Times New Roman" w:hAnsi="Times New Roman"/>
                      <w:color w:val="auto"/>
                    </w:rPr>
                    <w:t>材料库</w:t>
                  </w:r>
                </w:p>
              </w:tc>
              <w:tc>
                <w:tcPr>
                  <w:tcW w:w="5319" w:type="dxa"/>
                  <w:noWrap w:val="0"/>
                  <w:vAlign w:val="center"/>
                </w:tcPr>
                <w:p w14:paraId="21E556E9">
                  <w:pPr>
                    <w:jc w:val="left"/>
                    <w:rPr>
                      <w:rFonts w:ascii="Times New Roman" w:hAnsi="Times New Roman"/>
                      <w:color w:val="auto"/>
                      <w:szCs w:val="21"/>
                    </w:rPr>
                  </w:pPr>
                  <w:r>
                    <w:rPr>
                      <w:rFonts w:ascii="Times New Roman" w:hAnsi="Times New Roman"/>
                      <w:color w:val="auto"/>
                      <w:szCs w:val="21"/>
                      <w:lang w:val="zh-CN"/>
                    </w:rPr>
                    <w:t>每个井场设置材料库1间，每个建筑</w:t>
                  </w:r>
                  <w:r>
                    <w:rPr>
                      <w:rFonts w:ascii="Times New Roman" w:hAnsi="Times New Roman"/>
                      <w:color w:val="auto"/>
                      <w:szCs w:val="21"/>
                    </w:rPr>
                    <w:t>面积100m</w:t>
                  </w:r>
                  <w:r>
                    <w:rPr>
                      <w:rFonts w:ascii="Times New Roman" w:hAnsi="Times New Roman"/>
                      <w:color w:val="auto"/>
                      <w:szCs w:val="21"/>
                      <w:vertAlign w:val="superscript"/>
                    </w:rPr>
                    <w:t>2</w:t>
                  </w:r>
                  <w:r>
                    <w:rPr>
                      <w:rFonts w:ascii="Times New Roman" w:hAnsi="Times New Roman"/>
                      <w:color w:val="auto"/>
                      <w:szCs w:val="21"/>
                      <w:lang w:val="zh-CN"/>
                    </w:rPr>
                    <w:t>，用于</w:t>
                  </w:r>
                  <w:r>
                    <w:rPr>
                      <w:rFonts w:ascii="Times New Roman" w:hAnsi="Times New Roman"/>
                      <w:color w:val="auto"/>
                    </w:rPr>
                    <w:t>设备耗材、材料存放</w:t>
                  </w:r>
                </w:p>
              </w:tc>
            </w:tr>
            <w:tr w14:paraId="7557E705">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236" w:type="dxa"/>
                  <w:vMerge w:val="continue"/>
                  <w:noWrap w:val="0"/>
                  <w:vAlign w:val="center"/>
                </w:tcPr>
                <w:p w14:paraId="69412EED">
                  <w:pPr>
                    <w:jc w:val="center"/>
                    <w:rPr>
                      <w:rFonts w:ascii="Times New Roman" w:hAnsi="Times New Roman"/>
                      <w:color w:val="auto"/>
                      <w:szCs w:val="21"/>
                    </w:rPr>
                  </w:pPr>
                </w:p>
              </w:tc>
              <w:tc>
                <w:tcPr>
                  <w:tcW w:w="1276" w:type="dxa"/>
                  <w:noWrap w:val="0"/>
                  <w:vAlign w:val="center"/>
                </w:tcPr>
                <w:p w14:paraId="40DC8E1E">
                  <w:pPr>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原料区</w:t>
                  </w:r>
                </w:p>
              </w:tc>
              <w:tc>
                <w:tcPr>
                  <w:tcW w:w="5319" w:type="dxa"/>
                  <w:noWrap w:val="0"/>
                  <w:vAlign w:val="center"/>
                </w:tcPr>
                <w:p w14:paraId="47802141">
                  <w:pPr>
                    <w:jc w:val="left"/>
                    <w:rPr>
                      <w:rFonts w:ascii="Times New Roman" w:hAnsi="Times New Roman"/>
                      <w:color w:val="auto"/>
                      <w:szCs w:val="21"/>
                      <w:lang w:val="zh-CN"/>
                    </w:rPr>
                  </w:pPr>
                  <w:r>
                    <w:rPr>
                      <w:rFonts w:ascii="Times New Roman" w:hAnsi="Times New Roman"/>
                      <w:color w:val="auto"/>
                      <w:szCs w:val="21"/>
                      <w:lang w:val="zh-CN"/>
                    </w:rPr>
                    <w:t>每个井场设置</w:t>
                  </w:r>
                  <w:r>
                    <w:rPr>
                      <w:rFonts w:hint="eastAsia" w:ascii="Times New Roman" w:hAnsi="Times New Roman"/>
                      <w:color w:val="auto"/>
                      <w:szCs w:val="21"/>
                      <w:lang w:val="en-US" w:eastAsia="zh-CN"/>
                    </w:rPr>
                    <w:t>原料区</w:t>
                  </w:r>
                  <w:r>
                    <w:rPr>
                      <w:rFonts w:ascii="Times New Roman" w:hAnsi="Times New Roman"/>
                      <w:color w:val="auto"/>
                      <w:szCs w:val="21"/>
                      <w:lang w:val="zh-CN"/>
                    </w:rPr>
                    <w:t>1间，每个建筑</w:t>
                  </w:r>
                  <w:r>
                    <w:rPr>
                      <w:rFonts w:ascii="Times New Roman" w:hAnsi="Times New Roman"/>
                      <w:color w:val="auto"/>
                      <w:szCs w:val="21"/>
                    </w:rPr>
                    <w:t>面积</w:t>
                  </w:r>
                  <w:r>
                    <w:rPr>
                      <w:rFonts w:hint="eastAsia" w:ascii="Times New Roman" w:hAnsi="Times New Roman"/>
                      <w:color w:val="auto"/>
                      <w:szCs w:val="21"/>
                      <w:lang w:val="en-US" w:eastAsia="zh-CN"/>
                    </w:rPr>
                    <w:t>50</w:t>
                  </w:r>
                  <w:r>
                    <w:rPr>
                      <w:rFonts w:ascii="Times New Roman" w:hAnsi="Times New Roman"/>
                      <w:color w:val="auto"/>
                      <w:szCs w:val="21"/>
                    </w:rPr>
                    <w:t>m</w:t>
                  </w:r>
                  <w:r>
                    <w:rPr>
                      <w:rFonts w:ascii="Times New Roman" w:hAnsi="Times New Roman"/>
                      <w:color w:val="auto"/>
                      <w:szCs w:val="21"/>
                      <w:vertAlign w:val="superscript"/>
                    </w:rPr>
                    <w:t>2</w:t>
                  </w:r>
                  <w:r>
                    <w:rPr>
                      <w:rFonts w:ascii="Times New Roman" w:hAnsi="Times New Roman"/>
                      <w:color w:val="auto"/>
                      <w:szCs w:val="21"/>
                      <w:lang w:val="zh-CN"/>
                    </w:rPr>
                    <w:t>，用于</w:t>
                  </w:r>
                  <w:r>
                    <w:rPr>
                      <w:rFonts w:hint="eastAsia" w:ascii="Times New Roman" w:hAnsi="Times New Roman"/>
                      <w:color w:val="auto"/>
                      <w:lang w:val="en-US" w:eastAsia="zh-CN"/>
                    </w:rPr>
                    <w:t>原料</w:t>
                  </w:r>
                  <w:r>
                    <w:rPr>
                      <w:rFonts w:ascii="Times New Roman" w:hAnsi="Times New Roman"/>
                      <w:color w:val="auto"/>
                    </w:rPr>
                    <w:t>存放</w:t>
                  </w:r>
                </w:p>
              </w:tc>
            </w:tr>
            <w:tr w14:paraId="0A4DC8C0">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236" w:type="dxa"/>
                  <w:vMerge w:val="continue"/>
                  <w:noWrap w:val="0"/>
                  <w:vAlign w:val="center"/>
                </w:tcPr>
                <w:p w14:paraId="12950909">
                  <w:pPr>
                    <w:jc w:val="center"/>
                    <w:rPr>
                      <w:rFonts w:ascii="Times New Roman" w:hAnsi="Times New Roman"/>
                      <w:color w:val="auto"/>
                      <w:szCs w:val="21"/>
                    </w:rPr>
                  </w:pPr>
                </w:p>
              </w:tc>
              <w:tc>
                <w:tcPr>
                  <w:tcW w:w="1276" w:type="dxa"/>
                  <w:noWrap w:val="0"/>
                  <w:vAlign w:val="center"/>
                </w:tcPr>
                <w:p w14:paraId="3E8427F0">
                  <w:pPr>
                    <w:jc w:val="center"/>
                    <w:rPr>
                      <w:rFonts w:hint="default" w:ascii="Times New Roman" w:hAnsi="Times New Roman"/>
                      <w:color w:val="auto"/>
                      <w:lang w:val="en-US" w:eastAsia="zh-CN"/>
                    </w:rPr>
                  </w:pPr>
                  <w:r>
                    <w:rPr>
                      <w:rFonts w:hint="eastAsia" w:ascii="Times New Roman" w:hAnsi="Times New Roman"/>
                      <w:color w:val="auto"/>
                      <w:lang w:val="en-US" w:eastAsia="zh-CN"/>
                    </w:rPr>
                    <w:t>蓄水池</w:t>
                  </w:r>
                </w:p>
              </w:tc>
              <w:tc>
                <w:tcPr>
                  <w:tcW w:w="5319" w:type="dxa"/>
                  <w:noWrap w:val="0"/>
                  <w:vAlign w:val="center"/>
                </w:tcPr>
                <w:p w14:paraId="7334AC40">
                  <w:pPr>
                    <w:jc w:val="left"/>
                    <w:rPr>
                      <w:rFonts w:ascii="Times New Roman" w:hAnsi="Times New Roman"/>
                      <w:color w:val="auto"/>
                      <w:szCs w:val="21"/>
                      <w:lang w:val="zh-CN"/>
                    </w:rPr>
                  </w:pPr>
                  <w:r>
                    <w:rPr>
                      <w:rFonts w:ascii="Times New Roman" w:hAnsi="Times New Roman" w:eastAsia="宋体" w:cs="Times New Roman"/>
                      <w:color w:val="auto"/>
                      <w:szCs w:val="21"/>
                      <w:highlight w:val="none"/>
                    </w:rPr>
                    <w:t>本项目每个</w:t>
                  </w:r>
                  <w:r>
                    <w:rPr>
                      <w:rFonts w:hint="eastAsia" w:ascii="Times New Roman" w:hAnsi="Times New Roman" w:eastAsia="宋体" w:cs="Times New Roman"/>
                      <w:color w:val="auto"/>
                      <w:szCs w:val="21"/>
                      <w:highlight w:val="none"/>
                      <w:lang w:eastAsia="zh-CN"/>
                    </w:rPr>
                    <w:t>施工场地设置一座</w:t>
                  </w:r>
                  <w:r>
                    <w:rPr>
                      <w:rFonts w:hint="eastAsia" w:ascii="Times New Roman" w:hAnsi="Times New Roman" w:cs="Times New Roman"/>
                      <w:color w:val="auto"/>
                      <w:szCs w:val="21"/>
                      <w:highlight w:val="none"/>
                      <w:lang w:val="en-US" w:eastAsia="zh-CN"/>
                    </w:rPr>
                    <w:t>蓄水</w:t>
                  </w:r>
                  <w:r>
                    <w:rPr>
                      <w:rFonts w:hint="eastAsia" w:ascii="Times New Roman" w:hAnsi="Times New Roman" w:eastAsia="宋体" w:cs="Times New Roman"/>
                      <w:color w:val="auto"/>
                      <w:szCs w:val="21"/>
                      <w:highlight w:val="none"/>
                      <w:lang w:eastAsia="zh-CN"/>
                    </w:rPr>
                    <w:t>池，</w:t>
                  </w:r>
                  <w:r>
                    <w:rPr>
                      <w:rFonts w:hint="eastAsia"/>
                      <w:color w:val="auto"/>
                      <w:highlight w:val="none"/>
                      <w:lang w:eastAsia="zh-CN"/>
                    </w:rPr>
                    <w:t>容积</w:t>
                  </w:r>
                  <w:r>
                    <w:rPr>
                      <w:rFonts w:hint="eastAsia"/>
                      <w:color w:val="auto"/>
                      <w:highlight w:val="none"/>
                      <w:lang w:val="en-US" w:eastAsia="zh-CN"/>
                    </w:rPr>
                    <w:t>60m</w:t>
                  </w:r>
                  <w:r>
                    <w:rPr>
                      <w:rFonts w:hint="eastAsia"/>
                      <w:color w:val="auto"/>
                      <w:highlight w:val="none"/>
                      <w:vertAlign w:val="superscript"/>
                      <w:lang w:val="en-US" w:eastAsia="zh-CN"/>
                    </w:rPr>
                    <w:t>3</w:t>
                  </w:r>
                  <w:r>
                    <w:rPr>
                      <w:rFonts w:hint="eastAsia"/>
                      <w:color w:val="auto"/>
                      <w:highlight w:val="none"/>
                      <w:vertAlign w:val="baseline"/>
                      <w:lang w:val="en-US" w:eastAsia="zh-CN"/>
                    </w:rPr>
                    <w:t>，用于施工过程中用水存储。</w:t>
                  </w:r>
                </w:p>
              </w:tc>
            </w:tr>
            <w:tr w14:paraId="651A86A0">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25" w:hRule="atLeast"/>
              </w:trPr>
              <w:tc>
                <w:tcPr>
                  <w:tcW w:w="1236" w:type="dxa"/>
                  <w:vMerge w:val="restart"/>
                  <w:noWrap w:val="0"/>
                  <w:vAlign w:val="center"/>
                </w:tcPr>
                <w:p w14:paraId="6977C909">
                  <w:pPr>
                    <w:jc w:val="center"/>
                    <w:rPr>
                      <w:rFonts w:ascii="Times New Roman" w:hAnsi="Times New Roman"/>
                      <w:color w:val="auto"/>
                      <w:szCs w:val="21"/>
                    </w:rPr>
                  </w:pPr>
                  <w:r>
                    <w:rPr>
                      <w:rFonts w:ascii="Times New Roman" w:hAnsi="Times New Roman"/>
                      <w:color w:val="auto"/>
                      <w:szCs w:val="21"/>
                    </w:rPr>
                    <w:t>公用工程</w:t>
                  </w:r>
                </w:p>
              </w:tc>
              <w:tc>
                <w:tcPr>
                  <w:tcW w:w="1276" w:type="dxa"/>
                  <w:noWrap w:val="0"/>
                  <w:vAlign w:val="center"/>
                </w:tcPr>
                <w:p w14:paraId="5B4CF9F0">
                  <w:pPr>
                    <w:jc w:val="center"/>
                    <w:rPr>
                      <w:rFonts w:ascii="Times New Roman" w:hAnsi="Times New Roman"/>
                      <w:color w:val="auto"/>
                      <w:szCs w:val="21"/>
                    </w:rPr>
                  </w:pPr>
                  <w:r>
                    <w:rPr>
                      <w:rFonts w:ascii="Times New Roman" w:hAnsi="Times New Roman"/>
                      <w:color w:val="auto"/>
                      <w:szCs w:val="21"/>
                    </w:rPr>
                    <w:t>供电</w:t>
                  </w:r>
                </w:p>
              </w:tc>
              <w:tc>
                <w:tcPr>
                  <w:tcW w:w="5319" w:type="dxa"/>
                  <w:noWrap w:val="0"/>
                  <w:vAlign w:val="center"/>
                </w:tcPr>
                <w:p w14:paraId="56F153B9">
                  <w:pPr>
                    <w:rPr>
                      <w:rFonts w:ascii="Times New Roman" w:hAnsi="Times New Roman"/>
                      <w:color w:val="auto"/>
                      <w:szCs w:val="21"/>
                    </w:rPr>
                  </w:pPr>
                  <w:r>
                    <w:rPr>
                      <w:rFonts w:ascii="Times New Roman" w:hAnsi="Times New Roman"/>
                      <w:color w:val="auto"/>
                      <w:szCs w:val="21"/>
                    </w:rPr>
                    <w:t>使用市政供电。</w:t>
                  </w:r>
                </w:p>
              </w:tc>
            </w:tr>
            <w:tr w14:paraId="44FAAF11">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236" w:type="dxa"/>
                  <w:vMerge w:val="continue"/>
                  <w:noWrap w:val="0"/>
                  <w:vAlign w:val="center"/>
                </w:tcPr>
                <w:p w14:paraId="42A5A12C">
                  <w:pPr>
                    <w:jc w:val="center"/>
                    <w:rPr>
                      <w:rFonts w:ascii="Times New Roman" w:hAnsi="Times New Roman"/>
                      <w:color w:val="auto"/>
                      <w:szCs w:val="21"/>
                      <w:highlight w:val="yellow"/>
                    </w:rPr>
                  </w:pPr>
                </w:p>
              </w:tc>
              <w:tc>
                <w:tcPr>
                  <w:tcW w:w="1276" w:type="dxa"/>
                  <w:noWrap w:val="0"/>
                  <w:vAlign w:val="center"/>
                </w:tcPr>
                <w:p w14:paraId="0EDBBF1B">
                  <w:pPr>
                    <w:jc w:val="center"/>
                    <w:rPr>
                      <w:rFonts w:ascii="Times New Roman" w:hAnsi="Times New Roman"/>
                      <w:color w:val="auto"/>
                      <w:szCs w:val="21"/>
                    </w:rPr>
                  </w:pPr>
                  <w:r>
                    <w:rPr>
                      <w:rFonts w:ascii="Times New Roman" w:hAnsi="Times New Roman"/>
                      <w:color w:val="auto"/>
                      <w:szCs w:val="21"/>
                    </w:rPr>
                    <w:t>供水</w:t>
                  </w:r>
                </w:p>
              </w:tc>
              <w:tc>
                <w:tcPr>
                  <w:tcW w:w="5319" w:type="dxa"/>
                  <w:noWrap w:val="0"/>
                  <w:vAlign w:val="center"/>
                </w:tcPr>
                <w:p w14:paraId="6BCB319F">
                  <w:pPr>
                    <w:rPr>
                      <w:rFonts w:ascii="Times New Roman" w:hAnsi="Times New Roman"/>
                      <w:color w:val="auto"/>
                      <w:szCs w:val="21"/>
                    </w:rPr>
                  </w:pPr>
                  <w:r>
                    <w:rPr>
                      <w:rFonts w:ascii="Times New Roman" w:hAnsi="Times New Roman"/>
                      <w:color w:val="auto"/>
                      <w:szCs w:val="21"/>
                    </w:rPr>
                    <w:t>施工用水依托井场周边村庄，采用罐车拉运生产用水，</w:t>
                  </w:r>
                  <w:r>
                    <w:rPr>
                      <w:rFonts w:ascii="Times New Roman" w:hAnsi="Times New Roman" w:eastAsia="宋体" w:cs="Times New Roman"/>
                      <w:color w:val="auto"/>
                      <w:szCs w:val="21"/>
                      <w:highlight w:val="none"/>
                    </w:rPr>
                    <w:t>每个</w:t>
                  </w:r>
                  <w:r>
                    <w:rPr>
                      <w:rFonts w:hint="eastAsia" w:ascii="Times New Roman" w:hAnsi="Times New Roman" w:eastAsia="宋体" w:cs="Times New Roman"/>
                      <w:color w:val="auto"/>
                      <w:szCs w:val="21"/>
                      <w:highlight w:val="none"/>
                      <w:lang w:eastAsia="zh-CN"/>
                    </w:rPr>
                    <w:t>施工场地设置一座</w:t>
                  </w:r>
                  <w:r>
                    <w:rPr>
                      <w:rFonts w:hint="eastAsia" w:ascii="Times New Roman" w:hAnsi="Times New Roman" w:cs="Times New Roman"/>
                      <w:color w:val="auto"/>
                      <w:szCs w:val="21"/>
                      <w:highlight w:val="none"/>
                      <w:lang w:val="en-US" w:eastAsia="zh-CN"/>
                    </w:rPr>
                    <w:t>蓄水</w:t>
                  </w:r>
                  <w:r>
                    <w:rPr>
                      <w:rFonts w:hint="eastAsia" w:ascii="Times New Roman" w:hAnsi="Times New Roman" w:eastAsia="宋体" w:cs="Times New Roman"/>
                      <w:color w:val="auto"/>
                      <w:szCs w:val="21"/>
                      <w:highlight w:val="none"/>
                      <w:lang w:eastAsia="zh-CN"/>
                    </w:rPr>
                    <w:t>池，</w:t>
                  </w:r>
                  <w:r>
                    <w:rPr>
                      <w:rFonts w:hint="eastAsia"/>
                      <w:color w:val="auto"/>
                      <w:highlight w:val="none"/>
                      <w:lang w:eastAsia="zh-CN"/>
                    </w:rPr>
                    <w:t>容</w:t>
                  </w:r>
                  <w:r>
                    <w:rPr>
                      <w:rFonts w:hint="default" w:ascii="Times New Roman" w:hAnsi="Times New Roman" w:cs="Times New Roman"/>
                      <w:color w:val="auto"/>
                      <w:highlight w:val="none"/>
                      <w:lang w:eastAsia="zh-CN"/>
                    </w:rPr>
                    <w:t>积</w:t>
                  </w:r>
                  <w:r>
                    <w:rPr>
                      <w:rFonts w:hint="default" w:ascii="Times New Roman" w:hAnsi="Times New Roman" w:cs="Times New Roman"/>
                      <w:color w:val="auto"/>
                      <w:highlight w:val="none"/>
                      <w:lang w:val="en-US" w:eastAsia="zh-CN"/>
                    </w:rPr>
                    <w:t>60m</w:t>
                  </w:r>
                  <w:r>
                    <w:rPr>
                      <w:rFonts w:hint="default" w:ascii="Times New Roman" w:hAnsi="Times New Roman" w:cs="Times New Roman"/>
                      <w:color w:val="auto"/>
                      <w:highlight w:val="none"/>
                      <w:vertAlign w:val="superscript"/>
                      <w:lang w:val="en-US" w:eastAsia="zh-CN"/>
                    </w:rPr>
                    <w:t>3</w:t>
                  </w:r>
                  <w:r>
                    <w:rPr>
                      <w:rFonts w:hint="eastAsia"/>
                      <w:color w:val="auto"/>
                      <w:highlight w:val="none"/>
                      <w:vertAlign w:val="baseline"/>
                      <w:lang w:val="en-US" w:eastAsia="zh-CN"/>
                    </w:rPr>
                    <w:t>，用于施工过程中用水存储，</w:t>
                  </w:r>
                  <w:r>
                    <w:rPr>
                      <w:rFonts w:ascii="Times New Roman" w:hAnsi="Times New Roman"/>
                      <w:color w:val="auto"/>
                      <w:szCs w:val="21"/>
                    </w:rPr>
                    <w:t>生活用水为桶装纯净水。</w:t>
                  </w:r>
                </w:p>
              </w:tc>
            </w:tr>
            <w:tr w14:paraId="0662D09C">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236" w:type="dxa"/>
                  <w:vMerge w:val="restart"/>
                  <w:noWrap w:val="0"/>
                  <w:vAlign w:val="center"/>
                </w:tcPr>
                <w:p w14:paraId="30EFE13F">
                  <w:pPr>
                    <w:jc w:val="center"/>
                    <w:rPr>
                      <w:rFonts w:ascii="Times New Roman" w:hAnsi="Times New Roman"/>
                      <w:color w:val="auto"/>
                      <w:szCs w:val="21"/>
                    </w:rPr>
                  </w:pPr>
                  <w:r>
                    <w:rPr>
                      <w:rFonts w:ascii="Times New Roman" w:hAnsi="Times New Roman"/>
                      <w:color w:val="auto"/>
                      <w:szCs w:val="21"/>
                    </w:rPr>
                    <w:t>环保工程</w:t>
                  </w:r>
                </w:p>
              </w:tc>
              <w:tc>
                <w:tcPr>
                  <w:tcW w:w="1276" w:type="dxa"/>
                  <w:noWrap w:val="0"/>
                  <w:vAlign w:val="center"/>
                </w:tcPr>
                <w:p w14:paraId="2167A214">
                  <w:pPr>
                    <w:jc w:val="center"/>
                    <w:rPr>
                      <w:rFonts w:ascii="Times New Roman" w:hAnsi="Times New Roman"/>
                      <w:color w:val="auto"/>
                      <w:szCs w:val="21"/>
                    </w:rPr>
                  </w:pPr>
                  <w:r>
                    <w:rPr>
                      <w:rFonts w:ascii="Times New Roman" w:hAnsi="Times New Roman"/>
                      <w:color w:val="auto"/>
                      <w:szCs w:val="21"/>
                    </w:rPr>
                    <w:t>废气</w:t>
                  </w:r>
                </w:p>
              </w:tc>
              <w:tc>
                <w:tcPr>
                  <w:tcW w:w="5319" w:type="dxa"/>
                  <w:noWrap w:val="0"/>
                  <w:vAlign w:val="center"/>
                </w:tcPr>
                <w:p w14:paraId="2908B2B7">
                  <w:pPr>
                    <w:rPr>
                      <w:rFonts w:ascii="Times New Roman" w:hAnsi="Times New Roman"/>
                      <w:color w:val="auto"/>
                      <w:szCs w:val="21"/>
                    </w:rPr>
                  </w:pPr>
                  <w:r>
                    <w:rPr>
                      <w:rFonts w:ascii="Times New Roman" w:hAnsi="Times New Roman"/>
                      <w:color w:val="auto"/>
                      <w:szCs w:val="21"/>
                    </w:rPr>
                    <w:t>施工期影响主要为施工扬尘、机械尾气等。通过加强施工机械、车辆管理，进行物料覆盖，对施工道路进行固化、洒水处理等措施，施工现场扬尘污染防治应做到“六个百分之百”，减少对周边空气环境的影响。</w:t>
                  </w:r>
                </w:p>
              </w:tc>
            </w:tr>
            <w:tr w14:paraId="7B47813E">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236" w:type="dxa"/>
                  <w:vMerge w:val="continue"/>
                  <w:noWrap w:val="0"/>
                  <w:vAlign w:val="center"/>
                </w:tcPr>
                <w:p w14:paraId="4661816A">
                  <w:pPr>
                    <w:jc w:val="center"/>
                    <w:rPr>
                      <w:rFonts w:ascii="Times New Roman" w:hAnsi="Times New Roman"/>
                      <w:color w:val="auto"/>
                      <w:szCs w:val="21"/>
                    </w:rPr>
                  </w:pPr>
                </w:p>
              </w:tc>
              <w:tc>
                <w:tcPr>
                  <w:tcW w:w="1276" w:type="dxa"/>
                  <w:noWrap w:val="0"/>
                  <w:vAlign w:val="center"/>
                </w:tcPr>
                <w:p w14:paraId="77817779">
                  <w:pPr>
                    <w:jc w:val="center"/>
                    <w:rPr>
                      <w:rFonts w:ascii="Times New Roman" w:hAnsi="Times New Roman"/>
                      <w:color w:val="auto"/>
                      <w:szCs w:val="21"/>
                    </w:rPr>
                  </w:pPr>
                  <w:r>
                    <w:rPr>
                      <w:rFonts w:ascii="Times New Roman" w:hAnsi="Times New Roman"/>
                      <w:color w:val="auto"/>
                      <w:szCs w:val="21"/>
                    </w:rPr>
                    <w:t>废水</w:t>
                  </w:r>
                </w:p>
              </w:tc>
              <w:tc>
                <w:tcPr>
                  <w:tcW w:w="5319" w:type="dxa"/>
                  <w:noWrap w:val="0"/>
                  <w:vAlign w:val="center"/>
                </w:tcPr>
                <w:p w14:paraId="1E943160">
                  <w:pPr>
                    <w:rPr>
                      <w:rFonts w:ascii="Times New Roman" w:hAnsi="Times New Roman"/>
                      <w:color w:val="auto"/>
                      <w:szCs w:val="21"/>
                    </w:rPr>
                  </w:pPr>
                  <w:r>
                    <w:rPr>
                      <w:rFonts w:ascii="Times New Roman" w:hAnsi="Times New Roman"/>
                      <w:color w:val="auto"/>
                      <w:szCs w:val="21"/>
                    </w:rPr>
                    <w:t>项目区不设置员工食宿，员工食宿依托附近村庄，生活污水经化粪池处理后定期清掏用于当地农作物施肥。</w:t>
                  </w:r>
                </w:p>
                <w:p w14:paraId="6857F98E">
                  <w:pPr>
                    <w:rPr>
                      <w:rFonts w:ascii="Times New Roman" w:hAnsi="Times New Roman"/>
                      <w:color w:val="auto"/>
                      <w:szCs w:val="21"/>
                    </w:rPr>
                  </w:pPr>
                  <w:r>
                    <w:rPr>
                      <w:rFonts w:ascii="Times New Roman" w:hAnsi="Times New Roman"/>
                      <w:color w:val="auto"/>
                      <w:szCs w:val="21"/>
                    </w:rPr>
                    <w:t>项目实施钻井仅为施工期</w:t>
                  </w:r>
                  <w:r>
                    <w:rPr>
                      <w:rFonts w:hint="eastAsia" w:ascii="Times New Roman" w:hAnsi="Times New Roman"/>
                      <w:color w:val="auto"/>
                      <w:szCs w:val="21"/>
                    </w:rPr>
                    <w:t>，</w:t>
                  </w:r>
                  <w:r>
                    <w:rPr>
                      <w:rFonts w:ascii="Times New Roman" w:hAnsi="Times New Roman"/>
                      <w:color w:val="auto"/>
                      <w:szCs w:val="21"/>
                    </w:rPr>
                    <w:t>每个井场</w:t>
                  </w:r>
                  <w:r>
                    <w:rPr>
                      <w:rFonts w:hint="eastAsia" w:ascii="Times New Roman" w:hAnsi="Times New Roman"/>
                      <w:color w:val="auto"/>
                      <w:szCs w:val="21"/>
                      <w:lang w:val="en-US" w:eastAsia="zh-CN"/>
                    </w:rPr>
                    <w:t>需对</w:t>
                  </w:r>
                  <w:r>
                    <w:rPr>
                      <w:rFonts w:ascii="Times New Roman" w:hAnsi="Times New Roman"/>
                      <w:color w:val="auto"/>
                      <w:szCs w:val="21"/>
                    </w:rPr>
                    <w:t>车辆冲洗，配套建设容积10m</w:t>
                  </w:r>
                  <w:r>
                    <w:rPr>
                      <w:rFonts w:ascii="Times New Roman" w:hAnsi="Times New Roman"/>
                      <w:color w:val="auto"/>
                      <w:szCs w:val="21"/>
                      <w:vertAlign w:val="superscript"/>
                    </w:rPr>
                    <w:t>3</w:t>
                  </w:r>
                  <w:r>
                    <w:rPr>
                      <w:rFonts w:ascii="Times New Roman" w:hAnsi="Times New Roman"/>
                      <w:color w:val="auto"/>
                      <w:szCs w:val="21"/>
                    </w:rPr>
                    <w:t>循环沉淀池，车辆清洗废水经沉淀池沉淀后循环使用，不外排；每个井场钻探废水设1个废</w:t>
                  </w:r>
                  <w:r>
                    <w:rPr>
                      <w:rFonts w:hint="eastAsia" w:ascii="Times New Roman" w:hAnsi="Times New Roman"/>
                      <w:color w:val="auto"/>
                      <w:szCs w:val="21"/>
                      <w:lang w:val="en-US" w:eastAsia="zh-CN"/>
                    </w:rPr>
                    <w:t>浆</w:t>
                  </w:r>
                  <w:r>
                    <w:rPr>
                      <w:rFonts w:ascii="Times New Roman" w:hAnsi="Times New Roman"/>
                      <w:color w:val="auto"/>
                      <w:szCs w:val="21"/>
                    </w:rPr>
                    <w:t>池，容积40m</w:t>
                  </w:r>
                  <w:r>
                    <w:rPr>
                      <w:rFonts w:ascii="Times New Roman" w:hAnsi="Times New Roman"/>
                      <w:color w:val="auto"/>
                      <w:szCs w:val="21"/>
                      <w:vertAlign w:val="superscript"/>
                    </w:rPr>
                    <w:t>3</w:t>
                  </w:r>
                  <w:r>
                    <w:rPr>
                      <w:rFonts w:ascii="Times New Roman" w:hAnsi="Times New Roman"/>
                      <w:color w:val="auto"/>
                      <w:szCs w:val="21"/>
                    </w:rPr>
                    <w:t>，设1个干化池，容积40m</w:t>
                  </w:r>
                  <w:r>
                    <w:rPr>
                      <w:rFonts w:ascii="Times New Roman" w:hAnsi="Times New Roman"/>
                      <w:color w:val="auto"/>
                      <w:szCs w:val="21"/>
                      <w:vertAlign w:val="superscript"/>
                    </w:rPr>
                    <w:t>3</w:t>
                  </w:r>
                  <w:r>
                    <w:rPr>
                      <w:rFonts w:ascii="Times New Roman" w:hAnsi="Times New Roman"/>
                      <w:color w:val="auto"/>
                      <w:szCs w:val="21"/>
                    </w:rPr>
                    <w:t>，钻探废水经沉淀后回用于钻探</w:t>
                  </w:r>
                  <w:r>
                    <w:rPr>
                      <w:rFonts w:hint="eastAsia" w:ascii="Times New Roman" w:hAnsi="Times New Roman"/>
                      <w:color w:val="auto"/>
                      <w:szCs w:val="21"/>
                      <w:lang w:val="en-US" w:eastAsia="zh-CN"/>
                    </w:rPr>
                    <w:t>工序</w:t>
                  </w:r>
                  <w:r>
                    <w:rPr>
                      <w:rFonts w:ascii="Times New Roman" w:hAnsi="Times New Roman"/>
                      <w:color w:val="auto"/>
                      <w:szCs w:val="21"/>
                    </w:rPr>
                    <w:t>。</w:t>
                  </w:r>
                </w:p>
              </w:tc>
            </w:tr>
            <w:tr w14:paraId="2FA9F0B8">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236" w:type="dxa"/>
                  <w:vMerge w:val="continue"/>
                  <w:noWrap w:val="0"/>
                  <w:vAlign w:val="center"/>
                </w:tcPr>
                <w:p w14:paraId="4A695FFF">
                  <w:pPr>
                    <w:jc w:val="center"/>
                    <w:rPr>
                      <w:rFonts w:ascii="Times New Roman" w:hAnsi="Times New Roman"/>
                      <w:color w:val="auto"/>
                      <w:szCs w:val="21"/>
                    </w:rPr>
                  </w:pPr>
                </w:p>
              </w:tc>
              <w:tc>
                <w:tcPr>
                  <w:tcW w:w="1276" w:type="dxa"/>
                  <w:noWrap w:val="0"/>
                  <w:vAlign w:val="center"/>
                </w:tcPr>
                <w:p w14:paraId="03FC08FB">
                  <w:pPr>
                    <w:jc w:val="center"/>
                    <w:rPr>
                      <w:rFonts w:ascii="Times New Roman" w:hAnsi="Times New Roman"/>
                      <w:color w:val="auto"/>
                      <w:szCs w:val="21"/>
                      <w:highlight w:val="yellow"/>
                    </w:rPr>
                  </w:pPr>
                  <w:r>
                    <w:rPr>
                      <w:rFonts w:ascii="Times New Roman" w:hAnsi="Times New Roman"/>
                      <w:color w:val="auto"/>
                      <w:szCs w:val="21"/>
                    </w:rPr>
                    <w:t>噪声</w:t>
                  </w:r>
                </w:p>
              </w:tc>
              <w:tc>
                <w:tcPr>
                  <w:tcW w:w="5319" w:type="dxa"/>
                  <w:noWrap w:val="0"/>
                  <w:vAlign w:val="center"/>
                </w:tcPr>
                <w:p w14:paraId="66EB6ACA">
                  <w:pPr>
                    <w:rPr>
                      <w:rFonts w:ascii="Times New Roman" w:hAnsi="Times New Roman"/>
                      <w:color w:val="auto"/>
                      <w:szCs w:val="21"/>
                    </w:rPr>
                  </w:pPr>
                  <w:r>
                    <w:rPr>
                      <w:rFonts w:ascii="Times New Roman" w:hAnsi="Times New Roman"/>
                      <w:color w:val="auto"/>
                      <w:szCs w:val="21"/>
                    </w:rPr>
                    <w:t>选用低噪声设备，合理布置施工机械，合理安排施工时间，加强施工管理，设置施工围墙、降噪安全围帘等，项目</w:t>
                  </w:r>
                  <w:r>
                    <w:rPr>
                      <w:rFonts w:hint="eastAsia" w:ascii="Times New Roman" w:hAnsi="Times New Roman"/>
                      <w:color w:val="auto"/>
                      <w:szCs w:val="21"/>
                    </w:rPr>
                    <w:t>井场</w:t>
                  </w:r>
                  <w:r>
                    <w:rPr>
                      <w:rFonts w:ascii="Times New Roman" w:hAnsi="Times New Roman"/>
                      <w:color w:val="auto"/>
                      <w:szCs w:val="21"/>
                    </w:rPr>
                    <w:t>周边布置隔声屏等，可有效降低对周边敏感点的影响</w:t>
                  </w:r>
                  <w:r>
                    <w:rPr>
                      <w:rFonts w:ascii="Times New Roman" w:hAnsi="Times New Roman"/>
                      <w:bCs/>
                      <w:color w:val="auto"/>
                      <w:szCs w:val="21"/>
                    </w:rPr>
                    <w:t>。</w:t>
                  </w:r>
                </w:p>
              </w:tc>
            </w:tr>
            <w:tr w14:paraId="3FC27214">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236" w:type="dxa"/>
                  <w:vMerge w:val="continue"/>
                  <w:noWrap w:val="0"/>
                  <w:vAlign w:val="center"/>
                </w:tcPr>
                <w:p w14:paraId="647BD431">
                  <w:pPr>
                    <w:jc w:val="center"/>
                    <w:rPr>
                      <w:rFonts w:ascii="Times New Roman" w:hAnsi="Times New Roman"/>
                      <w:color w:val="auto"/>
                      <w:szCs w:val="21"/>
                    </w:rPr>
                  </w:pPr>
                </w:p>
              </w:tc>
              <w:tc>
                <w:tcPr>
                  <w:tcW w:w="1276" w:type="dxa"/>
                  <w:noWrap w:val="0"/>
                  <w:vAlign w:val="center"/>
                </w:tcPr>
                <w:p w14:paraId="1742DE6F">
                  <w:pPr>
                    <w:jc w:val="center"/>
                    <w:rPr>
                      <w:rFonts w:ascii="Times New Roman" w:hAnsi="Times New Roman"/>
                      <w:color w:val="auto"/>
                      <w:szCs w:val="21"/>
                    </w:rPr>
                  </w:pPr>
                  <w:r>
                    <w:rPr>
                      <w:rFonts w:ascii="Times New Roman" w:hAnsi="Times New Roman"/>
                      <w:color w:val="auto"/>
                      <w:szCs w:val="21"/>
                    </w:rPr>
                    <w:t>固体废弃物</w:t>
                  </w:r>
                </w:p>
              </w:tc>
              <w:tc>
                <w:tcPr>
                  <w:tcW w:w="5319" w:type="dxa"/>
                  <w:noWrap w:val="0"/>
                  <w:vAlign w:val="center"/>
                </w:tcPr>
                <w:p w14:paraId="1CC0EAF0">
                  <w:pPr>
                    <w:rPr>
                      <w:rFonts w:ascii="Times New Roman" w:hAnsi="Times New Roman"/>
                      <w:color w:val="auto"/>
                      <w:szCs w:val="21"/>
                    </w:rPr>
                  </w:pPr>
                  <w:r>
                    <w:rPr>
                      <w:rFonts w:ascii="Times New Roman" w:hAnsi="Times New Roman"/>
                      <w:color w:val="auto"/>
                      <w:szCs w:val="21"/>
                    </w:rPr>
                    <w:t>施工结束后，开挖的土方后期回覆；钻井废液暂存于废浆干化池中，待钻井结束后投加泥浆固化剂固化后作为周边路基维护的建材使用；本项目不以矿物油为连续相配制钻井泥浆，项目采用纤维素等进行钻井工作，钻井岩屑泥浆干化后属于一般固废，作为周边路基维护的建材使用；废包装材料集中收集后外售处理。废润滑油、废润滑油桶</w:t>
                  </w:r>
                  <w:r>
                    <w:rPr>
                      <w:rFonts w:hint="eastAsia" w:ascii="Times New Roman" w:hAnsi="Times New Roman"/>
                      <w:color w:val="auto"/>
                      <w:szCs w:val="21"/>
                      <w:lang w:eastAsia="zh-CN"/>
                    </w:rPr>
                    <w:t>、</w:t>
                  </w:r>
                  <w:r>
                    <w:rPr>
                      <w:rFonts w:ascii="Times New Roman" w:hAnsi="Times New Roman"/>
                      <w:color w:val="auto"/>
                      <w:szCs w:val="21"/>
                    </w:rPr>
                    <w:t>分类</w:t>
                  </w:r>
                  <w:r>
                    <w:rPr>
                      <w:rFonts w:hint="eastAsia" w:ascii="Times New Roman" w:hAnsi="Times New Roman"/>
                      <w:color w:val="auto"/>
                      <w:szCs w:val="21"/>
                      <w:lang w:val="en-US" w:eastAsia="zh-CN"/>
                    </w:rPr>
                    <w:t>收集</w:t>
                  </w:r>
                  <w:r>
                    <w:rPr>
                      <w:rFonts w:ascii="Times New Roman" w:hAnsi="Times New Roman"/>
                      <w:color w:val="auto"/>
                      <w:szCs w:val="21"/>
                    </w:rPr>
                    <w:t>后的废含油抹布和废含油手套属于危险废物</w:t>
                  </w:r>
                  <w:r>
                    <w:rPr>
                      <w:rFonts w:hint="eastAsia" w:ascii="Times New Roman" w:hAnsi="Times New Roman"/>
                      <w:color w:val="auto"/>
                      <w:szCs w:val="21"/>
                      <w:lang w:eastAsia="zh-CN"/>
                    </w:rPr>
                    <w:t>，</w:t>
                  </w:r>
                  <w:r>
                    <w:rPr>
                      <w:rFonts w:hint="eastAsia" w:ascii="Times New Roman" w:hAnsi="Times New Roman"/>
                      <w:color w:val="auto"/>
                      <w:szCs w:val="21"/>
                      <w:lang w:val="en-US" w:eastAsia="zh-CN"/>
                    </w:rPr>
                    <w:t>均采取</w:t>
                  </w:r>
                  <w:r>
                    <w:rPr>
                      <w:rFonts w:ascii="Times New Roman" w:hAnsi="Times New Roman"/>
                      <w:color w:val="auto"/>
                      <w:szCs w:val="21"/>
                    </w:rPr>
                    <w:t>集中收集，</w:t>
                  </w:r>
                  <w:r>
                    <w:rPr>
                      <w:rFonts w:hint="eastAsia" w:ascii="Times New Roman" w:hAnsi="Times New Roman"/>
                      <w:color w:val="auto"/>
                      <w:szCs w:val="21"/>
                      <w:lang w:val="en-US" w:eastAsia="zh-CN"/>
                    </w:rPr>
                    <w:t>收集后依托于朱集西煤矿现有</w:t>
                  </w:r>
                  <w:r>
                    <w:rPr>
                      <w:rFonts w:ascii="Times New Roman" w:hAnsi="Times New Roman"/>
                      <w:color w:val="auto"/>
                      <w:szCs w:val="21"/>
                    </w:rPr>
                    <w:t>危废暂存间</w:t>
                  </w:r>
                  <w:r>
                    <w:rPr>
                      <w:rFonts w:hint="eastAsia" w:ascii="Times New Roman" w:hAnsi="Times New Roman"/>
                      <w:color w:val="auto"/>
                      <w:szCs w:val="21"/>
                      <w:lang w:val="en-US" w:eastAsia="zh-CN"/>
                    </w:rPr>
                    <w:t>暂存</w:t>
                  </w:r>
                  <w:r>
                    <w:rPr>
                      <w:rFonts w:ascii="Times New Roman" w:hAnsi="Times New Roman"/>
                      <w:color w:val="auto"/>
                      <w:szCs w:val="21"/>
                    </w:rPr>
                    <w:t>，</w:t>
                  </w:r>
                  <w:r>
                    <w:rPr>
                      <w:rFonts w:hint="eastAsia" w:ascii="Times New Roman" w:hAnsi="Times New Roman"/>
                      <w:color w:val="auto"/>
                      <w:szCs w:val="21"/>
                      <w:lang w:val="en-US" w:eastAsia="zh-CN"/>
                    </w:rPr>
                    <w:t>朱集西煤矿危废库</w:t>
                  </w:r>
                  <w:r>
                    <w:rPr>
                      <w:rFonts w:hint="eastAsia" w:ascii="Times New Roman" w:hAnsi="Times New Roman"/>
                      <w:bCs/>
                      <w:color w:val="auto"/>
                      <w:szCs w:val="21"/>
                    </w:rPr>
                    <w:t>建筑面积300平方米，贮存能力30吨，地面已采取防渗等措施</w:t>
                  </w:r>
                  <w:r>
                    <w:rPr>
                      <w:rFonts w:hint="eastAsia" w:ascii="Times New Roman" w:hAnsi="Times New Roman"/>
                      <w:bCs/>
                      <w:color w:val="auto"/>
                      <w:szCs w:val="21"/>
                      <w:lang w:eastAsia="zh-CN"/>
                    </w:rPr>
                    <w:t>，</w:t>
                  </w:r>
                  <w:r>
                    <w:rPr>
                      <w:rFonts w:hint="eastAsia" w:ascii="Times New Roman" w:hAnsi="Times New Roman"/>
                      <w:bCs/>
                      <w:color w:val="auto"/>
                      <w:szCs w:val="21"/>
                      <w:lang w:val="en-US" w:eastAsia="zh-CN"/>
                    </w:rPr>
                    <w:t>危废</w:t>
                  </w:r>
                  <w:r>
                    <w:rPr>
                      <w:rFonts w:ascii="Times New Roman" w:hAnsi="Times New Roman"/>
                      <w:bCs/>
                      <w:color w:val="auto"/>
                      <w:szCs w:val="21"/>
                    </w:rPr>
                    <w:t>统一收集后定期送有资质单位处理</w:t>
                  </w:r>
                  <w:r>
                    <w:rPr>
                      <w:rFonts w:ascii="Times New Roman" w:hAnsi="Times New Roman"/>
                      <w:color w:val="auto"/>
                      <w:szCs w:val="21"/>
                    </w:rPr>
                    <w:t>。生活垃圾委托环卫部门清运。</w:t>
                  </w:r>
                </w:p>
              </w:tc>
            </w:tr>
            <w:tr w14:paraId="0B726E83">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236" w:type="dxa"/>
                  <w:vMerge w:val="continue"/>
                  <w:noWrap w:val="0"/>
                  <w:vAlign w:val="center"/>
                </w:tcPr>
                <w:p w14:paraId="0F2981D0">
                  <w:pPr>
                    <w:jc w:val="center"/>
                    <w:rPr>
                      <w:rFonts w:ascii="Times New Roman" w:hAnsi="Times New Roman"/>
                      <w:color w:val="auto"/>
                      <w:szCs w:val="21"/>
                    </w:rPr>
                  </w:pPr>
                </w:p>
              </w:tc>
              <w:tc>
                <w:tcPr>
                  <w:tcW w:w="1276" w:type="dxa"/>
                  <w:noWrap w:val="0"/>
                  <w:vAlign w:val="center"/>
                </w:tcPr>
                <w:p w14:paraId="0977F18B">
                  <w:pPr>
                    <w:ind w:left="-105" w:leftChars="-50" w:right="-105" w:rightChars="-50"/>
                    <w:jc w:val="center"/>
                    <w:rPr>
                      <w:rFonts w:ascii="Times New Roman" w:hAnsi="Times New Roman"/>
                      <w:color w:val="auto"/>
                      <w:szCs w:val="21"/>
                    </w:rPr>
                  </w:pPr>
                  <w:r>
                    <w:rPr>
                      <w:rFonts w:ascii="Times New Roman" w:hAnsi="Times New Roman"/>
                      <w:color w:val="auto"/>
                      <w:szCs w:val="21"/>
                    </w:rPr>
                    <w:t>土壤、地下水环境</w:t>
                  </w:r>
                </w:p>
              </w:tc>
              <w:tc>
                <w:tcPr>
                  <w:tcW w:w="5319" w:type="dxa"/>
                  <w:noWrap w:val="0"/>
                  <w:vAlign w:val="center"/>
                </w:tcPr>
                <w:p w14:paraId="01983964">
                  <w:pPr>
                    <w:rPr>
                      <w:rFonts w:hint="eastAsia" w:ascii="Times New Roman" w:hAnsi="Times New Roman"/>
                      <w:color w:val="auto"/>
                      <w:szCs w:val="21"/>
                    </w:rPr>
                  </w:pPr>
                  <w:r>
                    <w:rPr>
                      <w:rFonts w:hint="eastAsia" w:ascii="Times New Roman" w:hAnsi="Times New Roman"/>
                      <w:color w:val="auto"/>
                      <w:szCs w:val="21"/>
                    </w:rPr>
                    <w:t>项目采取分区防渗措施。</w:t>
                  </w:r>
                </w:p>
                <w:p w14:paraId="0AE79D66">
                  <w:pPr>
                    <w:rPr>
                      <w:rFonts w:ascii="Times New Roman" w:hAnsi="Times New Roman"/>
                      <w:color w:val="auto"/>
                      <w:szCs w:val="21"/>
                    </w:rPr>
                  </w:pPr>
                  <w:r>
                    <w:rPr>
                      <w:rFonts w:ascii="Times New Roman" w:hAnsi="Times New Roman"/>
                      <w:color w:val="auto"/>
                      <w:szCs w:val="21"/>
                    </w:rPr>
                    <w:t>重点防渗区：钻</w:t>
                  </w:r>
                  <w:r>
                    <w:rPr>
                      <w:rFonts w:hint="eastAsia" w:ascii="Times New Roman" w:hAnsi="Times New Roman"/>
                      <w:color w:val="auto"/>
                      <w:szCs w:val="21"/>
                    </w:rPr>
                    <w:t>机</w:t>
                  </w:r>
                  <w:r>
                    <w:rPr>
                      <w:rFonts w:ascii="Times New Roman" w:hAnsi="Times New Roman"/>
                      <w:color w:val="auto"/>
                      <w:szCs w:val="21"/>
                    </w:rPr>
                    <w:t>房井口区域、废浆池、沉淀池、干化池。防渗要求</w:t>
                  </w:r>
                  <w:r>
                    <w:rPr>
                      <w:rFonts w:hint="eastAsia" w:ascii="Times New Roman" w:hAnsi="Times New Roman"/>
                      <w:color w:val="auto"/>
                      <w:szCs w:val="21"/>
                    </w:rPr>
                    <w:t>：</w:t>
                  </w:r>
                  <w:r>
                    <w:rPr>
                      <w:rFonts w:ascii="Times New Roman" w:hAnsi="Times New Roman"/>
                      <w:color w:val="auto"/>
                      <w:szCs w:val="21"/>
                    </w:rPr>
                    <w:t>采用“防渗混凝土+防渗布+砂浆层”进行防渗，等效厚度≥6.0m，确保渗透系数不大于10</w:t>
                  </w:r>
                  <w:r>
                    <w:rPr>
                      <w:rFonts w:ascii="Times New Roman" w:hAnsi="Times New Roman"/>
                      <w:color w:val="auto"/>
                      <w:szCs w:val="21"/>
                      <w:vertAlign w:val="superscript"/>
                    </w:rPr>
                    <w:t>-</w:t>
                  </w:r>
                  <w:r>
                    <w:rPr>
                      <w:rFonts w:hint="eastAsia" w:ascii="Times New Roman" w:hAnsi="Times New Roman"/>
                      <w:color w:val="auto"/>
                      <w:szCs w:val="21"/>
                      <w:vertAlign w:val="superscript"/>
                    </w:rPr>
                    <w:t>7</w:t>
                  </w:r>
                  <w:r>
                    <w:rPr>
                      <w:rFonts w:ascii="Times New Roman" w:hAnsi="Times New Roman"/>
                      <w:color w:val="auto"/>
                      <w:szCs w:val="21"/>
                    </w:rPr>
                    <w:t>cm/s</w:t>
                  </w:r>
                  <w:r>
                    <w:rPr>
                      <w:rFonts w:hint="eastAsia" w:ascii="Times New Roman" w:hAnsi="Times New Roman"/>
                      <w:color w:val="auto"/>
                      <w:szCs w:val="21"/>
                    </w:rPr>
                    <w:t>；</w:t>
                  </w:r>
                  <w:r>
                    <w:rPr>
                      <w:rFonts w:ascii="Times New Roman" w:hAnsi="Times New Roman"/>
                      <w:color w:val="auto"/>
                      <w:szCs w:val="21"/>
                    </w:rPr>
                    <w:t>一般防渗区：除井口区域以外的钻机房其他区域、</w:t>
                  </w:r>
                  <w:r>
                    <w:rPr>
                      <w:rFonts w:hint="eastAsia" w:ascii="Times New Roman" w:hAnsi="Times New Roman"/>
                      <w:color w:val="auto"/>
                      <w:szCs w:val="21"/>
                    </w:rPr>
                    <w:t>原料库房</w:t>
                  </w:r>
                  <w:r>
                    <w:rPr>
                      <w:rFonts w:ascii="Times New Roman" w:hAnsi="Times New Roman"/>
                      <w:color w:val="auto"/>
                      <w:szCs w:val="21"/>
                    </w:rPr>
                    <w:t>。防渗要求</w:t>
                  </w:r>
                  <w:r>
                    <w:rPr>
                      <w:rFonts w:hint="eastAsia" w:ascii="Times New Roman" w:hAnsi="Times New Roman"/>
                      <w:color w:val="auto"/>
                      <w:szCs w:val="21"/>
                    </w:rPr>
                    <w:t>：</w:t>
                  </w:r>
                  <w:r>
                    <w:rPr>
                      <w:rFonts w:ascii="Times New Roman" w:hAnsi="Times New Roman"/>
                      <w:color w:val="auto"/>
                      <w:szCs w:val="21"/>
                    </w:rPr>
                    <w:t>采取防渗混凝土进行防渗，等效厚度≥1.5m</w:t>
                  </w:r>
                  <w:r>
                    <w:rPr>
                      <w:rFonts w:hint="eastAsia" w:ascii="Times New Roman" w:hAnsi="Times New Roman"/>
                      <w:color w:val="auto"/>
                      <w:szCs w:val="21"/>
                    </w:rPr>
                    <w:t>；</w:t>
                  </w:r>
                  <w:r>
                    <w:rPr>
                      <w:rFonts w:ascii="Times New Roman" w:hAnsi="Times New Roman"/>
                      <w:color w:val="auto"/>
                      <w:szCs w:val="21"/>
                    </w:rPr>
                    <w:t>简单防渗区：除重点防渗区和一般防渗区以外的其他区域。防渗要求</w:t>
                  </w:r>
                  <w:r>
                    <w:rPr>
                      <w:rFonts w:hint="eastAsia" w:ascii="Times New Roman" w:hAnsi="Times New Roman"/>
                      <w:color w:val="auto"/>
                      <w:szCs w:val="21"/>
                    </w:rPr>
                    <w:t>：</w:t>
                  </w:r>
                  <w:r>
                    <w:rPr>
                      <w:rFonts w:ascii="Times New Roman" w:hAnsi="Times New Roman"/>
                      <w:color w:val="auto"/>
                      <w:szCs w:val="21"/>
                    </w:rPr>
                    <w:t>采用一般地面硬化。</w:t>
                  </w:r>
                </w:p>
              </w:tc>
            </w:tr>
            <w:tr w14:paraId="5296E6DE">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236" w:type="dxa"/>
                  <w:vMerge w:val="continue"/>
                  <w:noWrap w:val="0"/>
                  <w:vAlign w:val="center"/>
                </w:tcPr>
                <w:p w14:paraId="2E2EFD3E">
                  <w:pPr>
                    <w:jc w:val="center"/>
                    <w:rPr>
                      <w:rFonts w:ascii="Times New Roman" w:hAnsi="Times New Roman"/>
                      <w:color w:val="auto"/>
                      <w:szCs w:val="21"/>
                    </w:rPr>
                  </w:pPr>
                </w:p>
              </w:tc>
              <w:tc>
                <w:tcPr>
                  <w:tcW w:w="1276" w:type="dxa"/>
                  <w:noWrap w:val="0"/>
                  <w:vAlign w:val="center"/>
                </w:tcPr>
                <w:p w14:paraId="6CC06D6C">
                  <w:pPr>
                    <w:jc w:val="center"/>
                    <w:rPr>
                      <w:rFonts w:ascii="Times New Roman" w:hAnsi="Times New Roman"/>
                      <w:color w:val="auto"/>
                      <w:szCs w:val="21"/>
                    </w:rPr>
                  </w:pPr>
                  <w:r>
                    <w:rPr>
                      <w:rFonts w:ascii="Times New Roman" w:hAnsi="Times New Roman"/>
                      <w:color w:val="auto"/>
                      <w:szCs w:val="21"/>
                    </w:rPr>
                    <w:t>生态环境</w:t>
                  </w:r>
                </w:p>
              </w:tc>
              <w:tc>
                <w:tcPr>
                  <w:tcW w:w="5319" w:type="dxa"/>
                  <w:noWrap w:val="0"/>
                  <w:vAlign w:val="center"/>
                </w:tcPr>
                <w:p w14:paraId="323E8C8B">
                  <w:pPr>
                    <w:rPr>
                      <w:rFonts w:hint="eastAsia" w:ascii="Times New Roman" w:hAnsi="Times New Roman" w:eastAsia="宋体"/>
                      <w:color w:val="auto"/>
                      <w:szCs w:val="21"/>
                      <w:lang w:eastAsia="zh-CN"/>
                    </w:rPr>
                  </w:pPr>
                  <w:r>
                    <w:rPr>
                      <w:rFonts w:ascii="Times New Roman" w:hAnsi="Times New Roman"/>
                      <w:color w:val="auto"/>
                      <w:szCs w:val="21"/>
                    </w:rPr>
                    <w:t>主要影响为工程占地及施工对土地利用状况的影响，对项目施工区域植物的破坏、对动物的干扰，以及水土流失等影响。应对措施是严格控制施工占地，对项目区土壤的分层剥离、分层开挖、分层堆放和循序分层回填，及时进行生态恢复；合理安排施工进度及施工时间，避免雨天和大风天开挖施工作业；落实各项水土保持措施，施工结束后应根据复垦方案落实复垦措施</w:t>
                  </w:r>
                  <w:r>
                    <w:rPr>
                      <w:rFonts w:hint="eastAsia" w:ascii="Times New Roman" w:hAnsi="Times New Roman"/>
                      <w:color w:val="auto"/>
                      <w:szCs w:val="21"/>
                      <w:lang w:eastAsia="zh-CN"/>
                    </w:rPr>
                    <w:t>。</w:t>
                  </w:r>
                </w:p>
              </w:tc>
            </w:tr>
          </w:tbl>
          <w:p w14:paraId="28EDBE15">
            <w:pPr>
              <w:spacing w:line="360" w:lineRule="auto"/>
              <w:jc w:val="center"/>
              <w:rPr>
                <w:rFonts w:ascii="Times New Roman" w:hAnsi="Times New Roman"/>
                <w:b/>
                <w:color w:val="auto"/>
                <w:szCs w:val="21"/>
              </w:rPr>
            </w:pPr>
            <w:r>
              <w:rPr>
                <w:rFonts w:ascii="Times New Roman" w:hAnsi="Times New Roman"/>
                <w:b/>
                <w:color w:val="auto"/>
                <w:szCs w:val="21"/>
              </w:rPr>
              <w:t>表2-</w:t>
            </w:r>
            <w:r>
              <w:rPr>
                <w:rFonts w:hint="eastAsia" w:ascii="Times New Roman" w:hAnsi="Times New Roman"/>
                <w:b/>
                <w:color w:val="auto"/>
                <w:szCs w:val="21"/>
              </w:rPr>
              <w:t>2</w:t>
            </w:r>
            <w:r>
              <w:rPr>
                <w:rFonts w:ascii="Times New Roman" w:hAnsi="Times New Roman"/>
                <w:b/>
                <w:color w:val="auto"/>
                <w:szCs w:val="21"/>
              </w:rPr>
              <w:t xml:space="preserve">  项目井场坐标一览表（中心点）</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1"/>
              <w:gridCol w:w="1488"/>
              <w:gridCol w:w="1434"/>
              <w:gridCol w:w="1114"/>
              <w:gridCol w:w="880"/>
              <w:gridCol w:w="843"/>
              <w:gridCol w:w="752"/>
            </w:tblGrid>
            <w:tr w14:paraId="1EBD9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331" w:type="dxa"/>
                  <w:vMerge w:val="restart"/>
                  <w:tcBorders>
                    <w:top w:val="single" w:color="auto" w:sz="4" w:space="0"/>
                    <w:left w:val="single" w:color="auto" w:sz="4" w:space="0"/>
                    <w:bottom w:val="single" w:color="auto" w:sz="4" w:space="0"/>
                    <w:right w:val="single" w:color="auto" w:sz="4" w:space="0"/>
                  </w:tcBorders>
                  <w:noWrap w:val="0"/>
                  <w:vAlign w:val="center"/>
                </w:tcPr>
                <w:p w14:paraId="0C65572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孔 号</w:t>
                  </w:r>
                </w:p>
              </w:tc>
              <w:tc>
                <w:tcPr>
                  <w:tcW w:w="4036" w:type="dxa"/>
                  <w:gridSpan w:val="3"/>
                  <w:tcBorders>
                    <w:top w:val="single" w:color="auto" w:sz="4" w:space="0"/>
                    <w:left w:val="single" w:color="auto" w:sz="4" w:space="0"/>
                    <w:bottom w:val="single" w:color="auto" w:sz="4" w:space="0"/>
                    <w:right w:val="single" w:color="auto" w:sz="4" w:space="0"/>
                  </w:tcBorders>
                  <w:noWrap w:val="0"/>
                  <w:vAlign w:val="center"/>
                </w:tcPr>
                <w:p w14:paraId="6305900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钻井</w:t>
                  </w:r>
                  <w:r>
                    <w:rPr>
                      <w:rFonts w:hint="default" w:ascii="Times New Roman" w:hAnsi="Times New Roman" w:eastAsia="宋体" w:cs="Times New Roman"/>
                      <w:bCs/>
                      <w:color w:val="auto"/>
                      <w:sz w:val="21"/>
                      <w:szCs w:val="21"/>
                      <w:highlight w:val="none"/>
                    </w:rPr>
                    <w:t>坐标</w:t>
                  </w:r>
                </w:p>
              </w:tc>
              <w:tc>
                <w:tcPr>
                  <w:tcW w:w="880" w:type="dxa"/>
                  <w:vMerge w:val="restart"/>
                  <w:tcBorders>
                    <w:top w:val="single" w:color="auto" w:sz="4" w:space="0"/>
                    <w:left w:val="single" w:color="auto" w:sz="4" w:space="0"/>
                    <w:bottom w:val="single" w:color="auto" w:sz="4" w:space="0"/>
                    <w:right w:val="single" w:color="auto" w:sz="4" w:space="0"/>
                  </w:tcBorders>
                  <w:noWrap w:val="0"/>
                  <w:vAlign w:val="center"/>
                </w:tcPr>
                <w:p w14:paraId="0A5C3AF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预计</w:t>
                  </w:r>
                </w:p>
                <w:p w14:paraId="21F90FA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基岩面</w:t>
                  </w:r>
                </w:p>
                <w:p w14:paraId="4EC1654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（m）</w:t>
                  </w:r>
                </w:p>
              </w:tc>
              <w:tc>
                <w:tcPr>
                  <w:tcW w:w="843" w:type="dxa"/>
                  <w:vMerge w:val="restart"/>
                  <w:tcBorders>
                    <w:top w:val="single" w:color="auto" w:sz="4" w:space="0"/>
                    <w:left w:val="single" w:color="auto" w:sz="4" w:space="0"/>
                    <w:bottom w:val="single" w:color="auto" w:sz="4" w:space="0"/>
                    <w:right w:val="single" w:color="auto" w:sz="4" w:space="0"/>
                  </w:tcBorders>
                  <w:noWrap w:val="0"/>
                  <w:vAlign w:val="center"/>
                </w:tcPr>
                <w:p w14:paraId="02DACDB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预计</w:t>
                  </w:r>
                </w:p>
                <w:p w14:paraId="55E5F19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孔深</w:t>
                  </w:r>
                </w:p>
                <w:p w14:paraId="2A161A7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（m）</w:t>
                  </w:r>
                </w:p>
              </w:tc>
              <w:tc>
                <w:tcPr>
                  <w:tcW w:w="752" w:type="dxa"/>
                  <w:vMerge w:val="restart"/>
                  <w:tcBorders>
                    <w:top w:val="single" w:color="auto" w:sz="4" w:space="0"/>
                    <w:left w:val="single" w:color="auto" w:sz="4" w:space="0"/>
                    <w:bottom w:val="single" w:color="auto" w:sz="4" w:space="0"/>
                    <w:right w:val="single" w:color="auto" w:sz="4" w:space="0"/>
                  </w:tcBorders>
                  <w:noWrap w:val="0"/>
                  <w:vAlign w:val="center"/>
                </w:tcPr>
                <w:p w14:paraId="072F962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终孔</w:t>
                  </w:r>
                </w:p>
                <w:p w14:paraId="73455CD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层位</w:t>
                  </w:r>
                </w:p>
              </w:tc>
            </w:tr>
            <w:tr w14:paraId="52A0E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331" w:type="dxa"/>
                  <w:vMerge w:val="continue"/>
                  <w:tcBorders>
                    <w:top w:val="single" w:color="auto" w:sz="4" w:space="0"/>
                    <w:left w:val="single" w:color="auto" w:sz="4" w:space="0"/>
                    <w:bottom w:val="single" w:color="auto" w:sz="4" w:space="0"/>
                    <w:right w:val="single" w:color="auto" w:sz="4" w:space="0"/>
                  </w:tcBorders>
                  <w:noWrap w:val="0"/>
                  <w:vAlign w:val="center"/>
                </w:tcPr>
                <w:p w14:paraId="65B0044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p>
              </w:tc>
              <w:tc>
                <w:tcPr>
                  <w:tcW w:w="1488" w:type="dxa"/>
                  <w:tcBorders>
                    <w:top w:val="single" w:color="auto" w:sz="4" w:space="0"/>
                    <w:left w:val="single" w:color="auto" w:sz="4" w:space="0"/>
                    <w:bottom w:val="single" w:color="auto" w:sz="4" w:space="0"/>
                    <w:right w:val="single" w:color="auto" w:sz="4" w:space="0"/>
                  </w:tcBorders>
                  <w:noWrap w:val="0"/>
                  <w:vAlign w:val="center"/>
                </w:tcPr>
                <w:p w14:paraId="4985CBA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X</w:t>
                  </w:r>
                </w:p>
              </w:tc>
              <w:tc>
                <w:tcPr>
                  <w:tcW w:w="1434" w:type="dxa"/>
                  <w:tcBorders>
                    <w:top w:val="single" w:color="auto" w:sz="4" w:space="0"/>
                    <w:left w:val="single" w:color="auto" w:sz="4" w:space="0"/>
                    <w:bottom w:val="single" w:color="auto" w:sz="4" w:space="0"/>
                    <w:right w:val="single" w:color="auto" w:sz="4" w:space="0"/>
                  </w:tcBorders>
                  <w:noWrap w:val="0"/>
                  <w:vAlign w:val="center"/>
                </w:tcPr>
                <w:p w14:paraId="3001233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Y</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1E7A9C3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Z（地面）</w:t>
                  </w:r>
                </w:p>
              </w:tc>
              <w:tc>
                <w:tcPr>
                  <w:tcW w:w="880" w:type="dxa"/>
                  <w:vMerge w:val="continue"/>
                  <w:tcBorders>
                    <w:top w:val="single" w:color="auto" w:sz="4" w:space="0"/>
                    <w:left w:val="single" w:color="auto" w:sz="4" w:space="0"/>
                    <w:bottom w:val="single" w:color="auto" w:sz="4" w:space="0"/>
                    <w:right w:val="single" w:color="auto" w:sz="4" w:space="0"/>
                  </w:tcBorders>
                  <w:noWrap w:val="0"/>
                  <w:vAlign w:val="center"/>
                </w:tcPr>
                <w:p w14:paraId="09E35EF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p>
              </w:tc>
              <w:tc>
                <w:tcPr>
                  <w:tcW w:w="843" w:type="dxa"/>
                  <w:vMerge w:val="continue"/>
                  <w:tcBorders>
                    <w:top w:val="single" w:color="auto" w:sz="4" w:space="0"/>
                    <w:left w:val="single" w:color="auto" w:sz="4" w:space="0"/>
                    <w:bottom w:val="single" w:color="auto" w:sz="4" w:space="0"/>
                    <w:right w:val="single" w:color="auto" w:sz="4" w:space="0"/>
                  </w:tcBorders>
                  <w:noWrap w:val="0"/>
                  <w:vAlign w:val="center"/>
                </w:tcPr>
                <w:p w14:paraId="2763BE0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p>
              </w:tc>
              <w:tc>
                <w:tcPr>
                  <w:tcW w:w="752" w:type="dxa"/>
                  <w:vMerge w:val="continue"/>
                  <w:tcBorders>
                    <w:top w:val="single" w:color="auto" w:sz="4" w:space="0"/>
                    <w:left w:val="single" w:color="auto" w:sz="4" w:space="0"/>
                    <w:bottom w:val="single" w:color="auto" w:sz="4" w:space="0"/>
                    <w:right w:val="single" w:color="auto" w:sz="4" w:space="0"/>
                  </w:tcBorders>
                  <w:noWrap w:val="0"/>
                  <w:vAlign w:val="center"/>
                </w:tcPr>
                <w:p w14:paraId="3A645E1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p>
              </w:tc>
            </w:tr>
            <w:tr w14:paraId="50A4B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331" w:type="dxa"/>
                  <w:tcBorders>
                    <w:top w:val="single" w:color="auto" w:sz="4" w:space="0"/>
                    <w:left w:val="single" w:color="auto" w:sz="4" w:space="0"/>
                    <w:bottom w:val="single" w:color="auto" w:sz="4" w:space="0"/>
                    <w:right w:val="single" w:color="auto" w:sz="4" w:space="0"/>
                  </w:tcBorders>
                  <w:noWrap w:val="0"/>
                  <w:vAlign w:val="center"/>
                </w:tcPr>
                <w:p w14:paraId="2151D09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11404-1#</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72F5D99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39473235.142</w:t>
                  </w:r>
                </w:p>
              </w:tc>
              <w:tc>
                <w:tcPr>
                  <w:tcW w:w="1434" w:type="dxa"/>
                  <w:tcBorders>
                    <w:top w:val="single" w:color="auto" w:sz="4" w:space="0"/>
                    <w:left w:val="single" w:color="auto" w:sz="4" w:space="0"/>
                    <w:bottom w:val="single" w:color="auto" w:sz="4" w:space="0"/>
                    <w:right w:val="single" w:color="auto" w:sz="4" w:space="0"/>
                  </w:tcBorders>
                  <w:noWrap w:val="0"/>
                  <w:vAlign w:val="center"/>
                </w:tcPr>
                <w:p w14:paraId="591E82D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3640187.559</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63C2CE6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cs="Times New Roman"/>
                      <w:bCs/>
                      <w:color w:val="auto"/>
                      <w:sz w:val="21"/>
                      <w:szCs w:val="21"/>
                      <w:highlight w:val="none"/>
                    </w:rPr>
                    <w:t>22.6</w:t>
                  </w:r>
                </w:p>
              </w:tc>
              <w:tc>
                <w:tcPr>
                  <w:tcW w:w="880" w:type="dxa"/>
                  <w:tcBorders>
                    <w:top w:val="single" w:color="auto" w:sz="4" w:space="0"/>
                    <w:left w:val="single" w:color="auto" w:sz="4" w:space="0"/>
                    <w:bottom w:val="single" w:color="auto" w:sz="4" w:space="0"/>
                    <w:right w:val="single" w:color="auto" w:sz="4" w:space="0"/>
                  </w:tcBorders>
                  <w:noWrap w:val="0"/>
                  <w:vAlign w:val="center"/>
                </w:tcPr>
                <w:p w14:paraId="6E9771C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cs="Times New Roman"/>
                      <w:bCs/>
                      <w:color w:val="auto"/>
                      <w:sz w:val="21"/>
                      <w:szCs w:val="21"/>
                      <w:highlight w:val="none"/>
                    </w:rPr>
                    <w:t>445</w:t>
                  </w:r>
                </w:p>
              </w:tc>
              <w:tc>
                <w:tcPr>
                  <w:tcW w:w="843" w:type="dxa"/>
                  <w:tcBorders>
                    <w:top w:val="single" w:color="auto" w:sz="4" w:space="0"/>
                    <w:left w:val="single" w:color="auto" w:sz="4" w:space="0"/>
                    <w:bottom w:val="single" w:color="auto" w:sz="4" w:space="0"/>
                    <w:right w:val="single" w:color="auto" w:sz="4" w:space="0"/>
                  </w:tcBorders>
                  <w:noWrap w:val="0"/>
                  <w:vAlign w:val="center"/>
                </w:tcPr>
                <w:p w14:paraId="2F0F920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1050</w:t>
                  </w:r>
                </w:p>
              </w:tc>
              <w:tc>
                <w:tcPr>
                  <w:tcW w:w="752" w:type="dxa"/>
                  <w:vMerge w:val="restart"/>
                  <w:tcBorders>
                    <w:top w:val="single" w:color="auto" w:sz="4" w:space="0"/>
                    <w:left w:val="single" w:color="auto" w:sz="4" w:space="0"/>
                    <w:right w:val="single" w:color="auto" w:sz="4" w:space="0"/>
                  </w:tcBorders>
                  <w:noWrap w:val="0"/>
                  <w:vAlign w:val="center"/>
                </w:tcPr>
                <w:p w14:paraId="45FD961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11</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bCs/>
                      <w:color w:val="auto"/>
                      <w:sz w:val="21"/>
                      <w:szCs w:val="21"/>
                      <w:highlight w:val="none"/>
                    </w:rPr>
                    <w:t>煤顶板上10m</w:t>
                  </w:r>
                </w:p>
              </w:tc>
            </w:tr>
            <w:tr w14:paraId="6B089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331" w:type="dxa"/>
                  <w:tcBorders>
                    <w:top w:val="single" w:color="auto" w:sz="4" w:space="0"/>
                    <w:left w:val="single" w:color="auto" w:sz="4" w:space="0"/>
                    <w:bottom w:val="single" w:color="auto" w:sz="4" w:space="0"/>
                    <w:right w:val="single" w:color="auto" w:sz="4" w:space="0"/>
                  </w:tcBorders>
                  <w:noWrap w:val="0"/>
                  <w:vAlign w:val="center"/>
                </w:tcPr>
                <w:p w14:paraId="62144F7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11404-2#</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3F120D5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39473251.963</w:t>
                  </w:r>
                </w:p>
              </w:tc>
              <w:tc>
                <w:tcPr>
                  <w:tcW w:w="1434" w:type="dxa"/>
                  <w:tcBorders>
                    <w:top w:val="single" w:color="auto" w:sz="4" w:space="0"/>
                    <w:left w:val="single" w:color="auto" w:sz="4" w:space="0"/>
                    <w:bottom w:val="single" w:color="auto" w:sz="4" w:space="0"/>
                    <w:right w:val="single" w:color="auto" w:sz="4" w:space="0"/>
                  </w:tcBorders>
                  <w:noWrap w:val="0"/>
                  <w:vAlign w:val="center"/>
                </w:tcPr>
                <w:p w14:paraId="3AA5999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3640326.545</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062BF6F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cs="Times New Roman"/>
                      <w:bCs/>
                      <w:color w:val="auto"/>
                      <w:sz w:val="21"/>
                      <w:szCs w:val="21"/>
                      <w:highlight w:val="none"/>
                    </w:rPr>
                    <w:t>22.7</w:t>
                  </w:r>
                </w:p>
              </w:tc>
              <w:tc>
                <w:tcPr>
                  <w:tcW w:w="880" w:type="dxa"/>
                  <w:tcBorders>
                    <w:top w:val="single" w:color="auto" w:sz="4" w:space="0"/>
                    <w:left w:val="single" w:color="auto" w:sz="4" w:space="0"/>
                    <w:bottom w:val="single" w:color="auto" w:sz="4" w:space="0"/>
                    <w:right w:val="single" w:color="auto" w:sz="4" w:space="0"/>
                  </w:tcBorders>
                  <w:noWrap w:val="0"/>
                  <w:vAlign w:val="center"/>
                </w:tcPr>
                <w:p w14:paraId="5E46747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cs="Times New Roman"/>
                      <w:bCs/>
                      <w:color w:val="auto"/>
                      <w:sz w:val="21"/>
                      <w:szCs w:val="21"/>
                      <w:highlight w:val="none"/>
                    </w:rPr>
                    <w:t>445</w:t>
                  </w:r>
                </w:p>
              </w:tc>
              <w:tc>
                <w:tcPr>
                  <w:tcW w:w="843" w:type="dxa"/>
                  <w:tcBorders>
                    <w:top w:val="single" w:color="auto" w:sz="4" w:space="0"/>
                    <w:left w:val="single" w:color="auto" w:sz="4" w:space="0"/>
                    <w:bottom w:val="single" w:color="auto" w:sz="4" w:space="0"/>
                    <w:right w:val="single" w:color="auto" w:sz="4" w:space="0"/>
                  </w:tcBorders>
                  <w:noWrap w:val="0"/>
                  <w:vAlign w:val="center"/>
                </w:tcPr>
                <w:p w14:paraId="7E020BE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1050</w:t>
                  </w:r>
                </w:p>
              </w:tc>
              <w:tc>
                <w:tcPr>
                  <w:tcW w:w="752" w:type="dxa"/>
                  <w:vMerge w:val="continue"/>
                  <w:tcBorders>
                    <w:left w:val="single" w:color="auto" w:sz="4" w:space="0"/>
                    <w:right w:val="single" w:color="auto" w:sz="4" w:space="0"/>
                  </w:tcBorders>
                  <w:noWrap w:val="0"/>
                  <w:vAlign w:val="center"/>
                </w:tcPr>
                <w:p w14:paraId="218131D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p>
              </w:tc>
            </w:tr>
            <w:tr w14:paraId="347D6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331" w:type="dxa"/>
                  <w:tcBorders>
                    <w:top w:val="single" w:color="auto" w:sz="4" w:space="0"/>
                    <w:left w:val="single" w:color="auto" w:sz="4" w:space="0"/>
                    <w:bottom w:val="single" w:color="auto" w:sz="4" w:space="0"/>
                    <w:right w:val="single" w:color="auto" w:sz="4" w:space="0"/>
                  </w:tcBorders>
                  <w:noWrap w:val="0"/>
                  <w:vAlign w:val="center"/>
                </w:tcPr>
                <w:p w14:paraId="7DCF3C4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11404-3#</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25D86CD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39473250.49</w:t>
                  </w:r>
                </w:p>
              </w:tc>
              <w:tc>
                <w:tcPr>
                  <w:tcW w:w="1434" w:type="dxa"/>
                  <w:tcBorders>
                    <w:top w:val="single" w:color="auto" w:sz="4" w:space="0"/>
                    <w:left w:val="single" w:color="auto" w:sz="4" w:space="0"/>
                    <w:bottom w:val="single" w:color="auto" w:sz="4" w:space="0"/>
                    <w:right w:val="single" w:color="auto" w:sz="4" w:space="0"/>
                  </w:tcBorders>
                  <w:noWrap w:val="0"/>
                  <w:vAlign w:val="center"/>
                </w:tcPr>
                <w:p w14:paraId="4BD5A0A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3640441.092</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2E31BB2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cs="Times New Roman"/>
                      <w:bCs/>
                      <w:color w:val="auto"/>
                      <w:sz w:val="21"/>
                      <w:szCs w:val="21"/>
                      <w:highlight w:val="none"/>
                    </w:rPr>
                    <w:t>22.7</w:t>
                  </w:r>
                </w:p>
              </w:tc>
              <w:tc>
                <w:tcPr>
                  <w:tcW w:w="880" w:type="dxa"/>
                  <w:tcBorders>
                    <w:top w:val="single" w:color="auto" w:sz="4" w:space="0"/>
                    <w:left w:val="single" w:color="auto" w:sz="4" w:space="0"/>
                    <w:bottom w:val="single" w:color="auto" w:sz="4" w:space="0"/>
                    <w:right w:val="single" w:color="auto" w:sz="4" w:space="0"/>
                  </w:tcBorders>
                  <w:noWrap w:val="0"/>
                  <w:vAlign w:val="center"/>
                </w:tcPr>
                <w:p w14:paraId="5654EAB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cs="Times New Roman"/>
                      <w:bCs/>
                      <w:color w:val="auto"/>
                      <w:sz w:val="21"/>
                      <w:szCs w:val="21"/>
                      <w:highlight w:val="none"/>
                    </w:rPr>
                    <w:t>450</w:t>
                  </w:r>
                </w:p>
              </w:tc>
              <w:tc>
                <w:tcPr>
                  <w:tcW w:w="843" w:type="dxa"/>
                  <w:tcBorders>
                    <w:top w:val="single" w:color="auto" w:sz="4" w:space="0"/>
                    <w:left w:val="single" w:color="auto" w:sz="4" w:space="0"/>
                    <w:bottom w:val="single" w:color="auto" w:sz="4" w:space="0"/>
                    <w:right w:val="single" w:color="auto" w:sz="4" w:space="0"/>
                  </w:tcBorders>
                  <w:noWrap w:val="0"/>
                  <w:vAlign w:val="center"/>
                </w:tcPr>
                <w:p w14:paraId="3613247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1050</w:t>
                  </w:r>
                </w:p>
              </w:tc>
              <w:tc>
                <w:tcPr>
                  <w:tcW w:w="752" w:type="dxa"/>
                  <w:vMerge w:val="continue"/>
                  <w:tcBorders>
                    <w:left w:val="single" w:color="auto" w:sz="4" w:space="0"/>
                    <w:right w:val="single" w:color="auto" w:sz="4" w:space="0"/>
                  </w:tcBorders>
                  <w:noWrap w:val="0"/>
                  <w:vAlign w:val="center"/>
                </w:tcPr>
                <w:p w14:paraId="5EA34FF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p>
              </w:tc>
            </w:tr>
            <w:tr w14:paraId="3594B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331" w:type="dxa"/>
                  <w:tcBorders>
                    <w:top w:val="single" w:color="auto" w:sz="4" w:space="0"/>
                    <w:left w:val="single" w:color="auto" w:sz="4" w:space="0"/>
                    <w:bottom w:val="single" w:color="auto" w:sz="4" w:space="0"/>
                    <w:right w:val="single" w:color="auto" w:sz="4" w:space="0"/>
                  </w:tcBorders>
                  <w:noWrap w:val="0"/>
                  <w:vAlign w:val="center"/>
                </w:tcPr>
                <w:p w14:paraId="03E6795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11404-4#</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7CF5C68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39473292.576</w:t>
                  </w:r>
                </w:p>
              </w:tc>
              <w:tc>
                <w:tcPr>
                  <w:tcW w:w="1434" w:type="dxa"/>
                  <w:tcBorders>
                    <w:top w:val="single" w:color="auto" w:sz="4" w:space="0"/>
                    <w:left w:val="single" w:color="auto" w:sz="4" w:space="0"/>
                    <w:bottom w:val="single" w:color="auto" w:sz="4" w:space="0"/>
                    <w:right w:val="single" w:color="auto" w:sz="4" w:space="0"/>
                  </w:tcBorders>
                  <w:noWrap w:val="0"/>
                  <w:vAlign w:val="center"/>
                </w:tcPr>
                <w:p w14:paraId="036DE47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3640603.631</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3EA3B91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cs="Times New Roman"/>
                      <w:bCs/>
                      <w:color w:val="auto"/>
                      <w:sz w:val="21"/>
                      <w:szCs w:val="21"/>
                      <w:highlight w:val="none"/>
                    </w:rPr>
                    <w:t>22.7</w:t>
                  </w:r>
                </w:p>
              </w:tc>
              <w:tc>
                <w:tcPr>
                  <w:tcW w:w="880" w:type="dxa"/>
                  <w:tcBorders>
                    <w:top w:val="single" w:color="auto" w:sz="4" w:space="0"/>
                    <w:left w:val="single" w:color="auto" w:sz="4" w:space="0"/>
                    <w:bottom w:val="single" w:color="auto" w:sz="4" w:space="0"/>
                    <w:right w:val="single" w:color="auto" w:sz="4" w:space="0"/>
                  </w:tcBorders>
                  <w:noWrap w:val="0"/>
                  <w:vAlign w:val="center"/>
                </w:tcPr>
                <w:p w14:paraId="7930CA0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cs="Times New Roman"/>
                      <w:bCs/>
                      <w:color w:val="auto"/>
                      <w:sz w:val="21"/>
                      <w:szCs w:val="21"/>
                      <w:highlight w:val="none"/>
                    </w:rPr>
                    <w:t>450</w:t>
                  </w:r>
                </w:p>
              </w:tc>
              <w:tc>
                <w:tcPr>
                  <w:tcW w:w="843" w:type="dxa"/>
                  <w:tcBorders>
                    <w:top w:val="single" w:color="auto" w:sz="4" w:space="0"/>
                    <w:left w:val="single" w:color="auto" w:sz="4" w:space="0"/>
                    <w:bottom w:val="single" w:color="auto" w:sz="4" w:space="0"/>
                    <w:right w:val="single" w:color="auto" w:sz="4" w:space="0"/>
                  </w:tcBorders>
                  <w:noWrap w:val="0"/>
                  <w:vAlign w:val="center"/>
                </w:tcPr>
                <w:p w14:paraId="2B02F7F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1050</w:t>
                  </w:r>
                </w:p>
              </w:tc>
              <w:tc>
                <w:tcPr>
                  <w:tcW w:w="752" w:type="dxa"/>
                  <w:vMerge w:val="continue"/>
                  <w:tcBorders>
                    <w:left w:val="single" w:color="auto" w:sz="4" w:space="0"/>
                    <w:right w:val="single" w:color="auto" w:sz="4" w:space="0"/>
                  </w:tcBorders>
                  <w:noWrap w:val="0"/>
                  <w:vAlign w:val="center"/>
                </w:tcPr>
                <w:p w14:paraId="1687A7A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p>
              </w:tc>
            </w:tr>
            <w:tr w14:paraId="7CA6A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331" w:type="dxa"/>
                  <w:tcBorders>
                    <w:top w:val="single" w:color="auto" w:sz="4" w:space="0"/>
                    <w:left w:val="single" w:color="auto" w:sz="4" w:space="0"/>
                    <w:bottom w:val="single" w:color="auto" w:sz="4" w:space="0"/>
                    <w:right w:val="single" w:color="auto" w:sz="4" w:space="0"/>
                  </w:tcBorders>
                  <w:noWrap w:val="0"/>
                  <w:vAlign w:val="center"/>
                </w:tcPr>
                <w:p w14:paraId="7711088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11404-5#</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69C95C5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39473303.043</w:t>
                  </w:r>
                </w:p>
              </w:tc>
              <w:tc>
                <w:tcPr>
                  <w:tcW w:w="1434" w:type="dxa"/>
                  <w:tcBorders>
                    <w:top w:val="single" w:color="auto" w:sz="4" w:space="0"/>
                    <w:left w:val="single" w:color="auto" w:sz="4" w:space="0"/>
                    <w:bottom w:val="single" w:color="auto" w:sz="4" w:space="0"/>
                    <w:right w:val="single" w:color="auto" w:sz="4" w:space="0"/>
                  </w:tcBorders>
                  <w:noWrap w:val="0"/>
                  <w:vAlign w:val="center"/>
                </w:tcPr>
                <w:p w14:paraId="60A3E2A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3640743.386</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6078714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cs="Times New Roman"/>
                      <w:bCs/>
                      <w:color w:val="auto"/>
                      <w:sz w:val="21"/>
                      <w:szCs w:val="21"/>
                      <w:highlight w:val="none"/>
                    </w:rPr>
                    <w:t>22.9</w:t>
                  </w:r>
                </w:p>
              </w:tc>
              <w:tc>
                <w:tcPr>
                  <w:tcW w:w="880" w:type="dxa"/>
                  <w:tcBorders>
                    <w:top w:val="single" w:color="auto" w:sz="4" w:space="0"/>
                    <w:left w:val="single" w:color="auto" w:sz="4" w:space="0"/>
                    <w:bottom w:val="single" w:color="auto" w:sz="4" w:space="0"/>
                    <w:right w:val="single" w:color="auto" w:sz="4" w:space="0"/>
                  </w:tcBorders>
                  <w:noWrap w:val="0"/>
                  <w:vAlign w:val="center"/>
                </w:tcPr>
                <w:p w14:paraId="6F4046E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cs="Times New Roman"/>
                      <w:bCs/>
                      <w:color w:val="auto"/>
                      <w:sz w:val="21"/>
                      <w:szCs w:val="21"/>
                      <w:highlight w:val="none"/>
                    </w:rPr>
                    <w:t>445</w:t>
                  </w:r>
                </w:p>
              </w:tc>
              <w:tc>
                <w:tcPr>
                  <w:tcW w:w="843" w:type="dxa"/>
                  <w:tcBorders>
                    <w:top w:val="single" w:color="auto" w:sz="4" w:space="0"/>
                    <w:left w:val="single" w:color="auto" w:sz="4" w:space="0"/>
                    <w:bottom w:val="single" w:color="auto" w:sz="4" w:space="0"/>
                    <w:right w:val="single" w:color="auto" w:sz="4" w:space="0"/>
                  </w:tcBorders>
                  <w:noWrap w:val="0"/>
                  <w:vAlign w:val="center"/>
                </w:tcPr>
                <w:p w14:paraId="3182DCB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1050</w:t>
                  </w:r>
                </w:p>
              </w:tc>
              <w:tc>
                <w:tcPr>
                  <w:tcW w:w="752" w:type="dxa"/>
                  <w:vMerge w:val="continue"/>
                  <w:tcBorders>
                    <w:left w:val="single" w:color="auto" w:sz="4" w:space="0"/>
                    <w:right w:val="single" w:color="auto" w:sz="4" w:space="0"/>
                  </w:tcBorders>
                  <w:noWrap w:val="0"/>
                  <w:vAlign w:val="center"/>
                </w:tcPr>
                <w:p w14:paraId="7F079A4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p>
              </w:tc>
            </w:tr>
            <w:tr w14:paraId="5435D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331" w:type="dxa"/>
                  <w:tcBorders>
                    <w:top w:val="single" w:color="auto" w:sz="4" w:space="0"/>
                    <w:left w:val="single" w:color="auto" w:sz="4" w:space="0"/>
                    <w:bottom w:val="single" w:color="auto" w:sz="4" w:space="0"/>
                    <w:right w:val="single" w:color="auto" w:sz="4" w:space="0"/>
                  </w:tcBorders>
                  <w:noWrap w:val="0"/>
                  <w:vAlign w:val="center"/>
                </w:tcPr>
                <w:p w14:paraId="7CBF46E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11404-6#</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598EB09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39473319.864</w:t>
                  </w:r>
                </w:p>
              </w:tc>
              <w:tc>
                <w:tcPr>
                  <w:tcW w:w="1434" w:type="dxa"/>
                  <w:tcBorders>
                    <w:top w:val="single" w:color="auto" w:sz="4" w:space="0"/>
                    <w:left w:val="single" w:color="auto" w:sz="4" w:space="0"/>
                    <w:bottom w:val="single" w:color="auto" w:sz="4" w:space="0"/>
                    <w:right w:val="single" w:color="auto" w:sz="4" w:space="0"/>
                  </w:tcBorders>
                  <w:noWrap w:val="0"/>
                  <w:vAlign w:val="center"/>
                </w:tcPr>
                <w:p w14:paraId="0806C74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3640882.372</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6521581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cs="Times New Roman"/>
                      <w:bCs/>
                      <w:color w:val="auto"/>
                      <w:sz w:val="21"/>
                      <w:szCs w:val="21"/>
                      <w:highlight w:val="none"/>
                    </w:rPr>
                    <w:t>23.0</w:t>
                  </w:r>
                </w:p>
              </w:tc>
              <w:tc>
                <w:tcPr>
                  <w:tcW w:w="880" w:type="dxa"/>
                  <w:tcBorders>
                    <w:top w:val="single" w:color="auto" w:sz="4" w:space="0"/>
                    <w:left w:val="single" w:color="auto" w:sz="4" w:space="0"/>
                    <w:bottom w:val="single" w:color="auto" w:sz="4" w:space="0"/>
                    <w:right w:val="single" w:color="auto" w:sz="4" w:space="0"/>
                  </w:tcBorders>
                  <w:noWrap w:val="0"/>
                  <w:vAlign w:val="center"/>
                </w:tcPr>
                <w:p w14:paraId="0B7F459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cs="Times New Roman"/>
                      <w:bCs/>
                      <w:color w:val="auto"/>
                      <w:sz w:val="21"/>
                      <w:szCs w:val="21"/>
                      <w:highlight w:val="none"/>
                    </w:rPr>
                    <w:t>445</w:t>
                  </w:r>
                </w:p>
              </w:tc>
              <w:tc>
                <w:tcPr>
                  <w:tcW w:w="843" w:type="dxa"/>
                  <w:tcBorders>
                    <w:top w:val="single" w:color="auto" w:sz="4" w:space="0"/>
                    <w:left w:val="single" w:color="auto" w:sz="4" w:space="0"/>
                    <w:bottom w:val="single" w:color="auto" w:sz="4" w:space="0"/>
                    <w:right w:val="single" w:color="auto" w:sz="4" w:space="0"/>
                  </w:tcBorders>
                  <w:noWrap w:val="0"/>
                  <w:vAlign w:val="center"/>
                </w:tcPr>
                <w:p w14:paraId="398E4AF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1050</w:t>
                  </w:r>
                </w:p>
              </w:tc>
              <w:tc>
                <w:tcPr>
                  <w:tcW w:w="752" w:type="dxa"/>
                  <w:vMerge w:val="continue"/>
                  <w:tcBorders>
                    <w:left w:val="single" w:color="auto" w:sz="4" w:space="0"/>
                    <w:right w:val="single" w:color="auto" w:sz="4" w:space="0"/>
                  </w:tcBorders>
                  <w:noWrap w:val="0"/>
                  <w:vAlign w:val="center"/>
                </w:tcPr>
                <w:p w14:paraId="7612DFD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p>
              </w:tc>
            </w:tr>
            <w:tr w14:paraId="6F72B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331" w:type="dxa"/>
                  <w:tcBorders>
                    <w:top w:val="single" w:color="auto" w:sz="4" w:space="0"/>
                    <w:left w:val="single" w:color="auto" w:sz="4" w:space="0"/>
                    <w:bottom w:val="single" w:color="auto" w:sz="4" w:space="0"/>
                    <w:right w:val="single" w:color="auto" w:sz="4" w:space="0"/>
                  </w:tcBorders>
                  <w:noWrap w:val="0"/>
                  <w:vAlign w:val="center"/>
                </w:tcPr>
                <w:p w14:paraId="7E8FF3C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11404-7#</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4367669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39473337.306</w:t>
                  </w:r>
                </w:p>
              </w:tc>
              <w:tc>
                <w:tcPr>
                  <w:tcW w:w="1434" w:type="dxa"/>
                  <w:tcBorders>
                    <w:top w:val="single" w:color="auto" w:sz="4" w:space="0"/>
                    <w:left w:val="single" w:color="auto" w:sz="4" w:space="0"/>
                    <w:bottom w:val="single" w:color="auto" w:sz="4" w:space="0"/>
                    <w:right w:val="single" w:color="auto" w:sz="4" w:space="0"/>
                  </w:tcBorders>
                  <w:noWrap w:val="0"/>
                  <w:vAlign w:val="center"/>
                </w:tcPr>
                <w:p w14:paraId="54748A5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3641021.283</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138965D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22.6</w:t>
                  </w:r>
                </w:p>
              </w:tc>
              <w:tc>
                <w:tcPr>
                  <w:tcW w:w="880" w:type="dxa"/>
                  <w:tcBorders>
                    <w:top w:val="single" w:color="auto" w:sz="4" w:space="0"/>
                    <w:left w:val="single" w:color="auto" w:sz="4" w:space="0"/>
                    <w:bottom w:val="single" w:color="auto" w:sz="4" w:space="0"/>
                    <w:right w:val="single" w:color="auto" w:sz="4" w:space="0"/>
                  </w:tcBorders>
                  <w:noWrap w:val="0"/>
                  <w:vAlign w:val="center"/>
                </w:tcPr>
                <w:p w14:paraId="3D94410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445</w:t>
                  </w:r>
                </w:p>
              </w:tc>
              <w:tc>
                <w:tcPr>
                  <w:tcW w:w="843" w:type="dxa"/>
                  <w:tcBorders>
                    <w:top w:val="single" w:color="auto" w:sz="4" w:space="0"/>
                    <w:left w:val="single" w:color="auto" w:sz="4" w:space="0"/>
                    <w:bottom w:val="single" w:color="auto" w:sz="4" w:space="0"/>
                    <w:right w:val="single" w:color="auto" w:sz="4" w:space="0"/>
                  </w:tcBorders>
                  <w:noWrap w:val="0"/>
                  <w:vAlign w:val="center"/>
                </w:tcPr>
                <w:p w14:paraId="2B202B7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eastAsia="宋体" w:cs="Times New Roman"/>
                      <w:bCs/>
                      <w:color w:val="auto"/>
                      <w:sz w:val="21"/>
                      <w:szCs w:val="21"/>
                      <w:highlight w:val="none"/>
                    </w:rPr>
                    <w:t>1050</w:t>
                  </w:r>
                </w:p>
              </w:tc>
              <w:tc>
                <w:tcPr>
                  <w:tcW w:w="752" w:type="dxa"/>
                  <w:vMerge w:val="continue"/>
                  <w:tcBorders>
                    <w:left w:val="single" w:color="auto" w:sz="4" w:space="0"/>
                    <w:bottom w:val="single" w:color="auto" w:sz="4" w:space="0"/>
                    <w:right w:val="single" w:color="auto" w:sz="4" w:space="0"/>
                  </w:tcBorders>
                  <w:noWrap w:val="0"/>
                  <w:vAlign w:val="center"/>
                </w:tcPr>
                <w:p w14:paraId="52CB62F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p>
              </w:tc>
            </w:tr>
            <w:tr w14:paraId="3AAD9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331" w:type="dxa"/>
                  <w:tcBorders>
                    <w:top w:val="single" w:color="auto" w:sz="4" w:space="0"/>
                    <w:left w:val="single" w:color="auto" w:sz="4" w:space="0"/>
                    <w:bottom w:val="single" w:color="auto" w:sz="4" w:space="0"/>
                    <w:right w:val="single" w:color="auto" w:sz="4" w:space="0"/>
                  </w:tcBorders>
                  <w:noWrap w:val="0"/>
                  <w:vAlign w:val="center"/>
                </w:tcPr>
                <w:p w14:paraId="0CF376C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11404-8#</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6FB9362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39473354.128</w:t>
                  </w:r>
                </w:p>
              </w:tc>
              <w:tc>
                <w:tcPr>
                  <w:tcW w:w="1434" w:type="dxa"/>
                  <w:tcBorders>
                    <w:top w:val="single" w:color="auto" w:sz="4" w:space="0"/>
                    <w:left w:val="single" w:color="auto" w:sz="4" w:space="0"/>
                    <w:bottom w:val="single" w:color="auto" w:sz="4" w:space="0"/>
                    <w:right w:val="single" w:color="auto" w:sz="4" w:space="0"/>
                  </w:tcBorders>
                  <w:noWrap w:val="0"/>
                  <w:vAlign w:val="center"/>
                </w:tcPr>
                <w:p w14:paraId="0B5FBD6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3641160.268</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453F0FE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22.7</w:t>
                  </w:r>
                </w:p>
              </w:tc>
              <w:tc>
                <w:tcPr>
                  <w:tcW w:w="880" w:type="dxa"/>
                  <w:tcBorders>
                    <w:top w:val="single" w:color="auto" w:sz="4" w:space="0"/>
                    <w:left w:val="single" w:color="auto" w:sz="4" w:space="0"/>
                    <w:bottom w:val="single" w:color="auto" w:sz="4" w:space="0"/>
                    <w:right w:val="single" w:color="auto" w:sz="4" w:space="0"/>
                  </w:tcBorders>
                  <w:noWrap w:val="0"/>
                  <w:vAlign w:val="center"/>
                </w:tcPr>
                <w:p w14:paraId="5BF6A59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445</w:t>
                  </w:r>
                </w:p>
              </w:tc>
              <w:tc>
                <w:tcPr>
                  <w:tcW w:w="843" w:type="dxa"/>
                  <w:tcBorders>
                    <w:top w:val="single" w:color="auto" w:sz="4" w:space="0"/>
                    <w:left w:val="single" w:color="auto" w:sz="4" w:space="0"/>
                    <w:bottom w:val="single" w:color="auto" w:sz="4" w:space="0"/>
                    <w:right w:val="single" w:color="auto" w:sz="4" w:space="0"/>
                  </w:tcBorders>
                  <w:noWrap w:val="0"/>
                  <w:vAlign w:val="center"/>
                </w:tcPr>
                <w:p w14:paraId="1CC564C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eastAsia="宋体" w:cs="Times New Roman"/>
                      <w:bCs/>
                      <w:color w:val="auto"/>
                      <w:sz w:val="21"/>
                      <w:szCs w:val="21"/>
                      <w:highlight w:val="none"/>
                    </w:rPr>
                    <w:t>1050</w:t>
                  </w:r>
                </w:p>
              </w:tc>
              <w:tc>
                <w:tcPr>
                  <w:tcW w:w="752" w:type="dxa"/>
                  <w:vMerge w:val="continue"/>
                  <w:tcBorders>
                    <w:left w:val="single" w:color="auto" w:sz="4" w:space="0"/>
                    <w:bottom w:val="single" w:color="auto" w:sz="4" w:space="0"/>
                    <w:right w:val="single" w:color="auto" w:sz="4" w:space="0"/>
                  </w:tcBorders>
                  <w:noWrap w:val="0"/>
                  <w:vAlign w:val="center"/>
                </w:tcPr>
                <w:p w14:paraId="300D6FB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p>
              </w:tc>
            </w:tr>
            <w:tr w14:paraId="4449A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331" w:type="dxa"/>
                  <w:tcBorders>
                    <w:top w:val="single" w:color="auto" w:sz="4" w:space="0"/>
                    <w:left w:val="single" w:color="auto" w:sz="4" w:space="0"/>
                    <w:bottom w:val="single" w:color="auto" w:sz="4" w:space="0"/>
                    <w:right w:val="single" w:color="auto" w:sz="4" w:space="0"/>
                  </w:tcBorders>
                  <w:noWrap w:val="0"/>
                  <w:vAlign w:val="center"/>
                </w:tcPr>
                <w:p w14:paraId="69F1168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11404-9#</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261C919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39473370.328</w:t>
                  </w:r>
                </w:p>
              </w:tc>
              <w:tc>
                <w:tcPr>
                  <w:tcW w:w="1434" w:type="dxa"/>
                  <w:tcBorders>
                    <w:top w:val="single" w:color="auto" w:sz="4" w:space="0"/>
                    <w:left w:val="single" w:color="auto" w:sz="4" w:space="0"/>
                    <w:bottom w:val="single" w:color="auto" w:sz="4" w:space="0"/>
                    <w:right w:val="single" w:color="auto" w:sz="4" w:space="0"/>
                  </w:tcBorders>
                  <w:noWrap w:val="0"/>
                  <w:vAlign w:val="center"/>
                </w:tcPr>
                <w:p w14:paraId="3EDA7F0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3641299.329</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1A0E4EE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22.7</w:t>
                  </w:r>
                </w:p>
              </w:tc>
              <w:tc>
                <w:tcPr>
                  <w:tcW w:w="880" w:type="dxa"/>
                  <w:tcBorders>
                    <w:top w:val="single" w:color="auto" w:sz="4" w:space="0"/>
                    <w:left w:val="single" w:color="auto" w:sz="4" w:space="0"/>
                    <w:bottom w:val="single" w:color="auto" w:sz="4" w:space="0"/>
                    <w:right w:val="single" w:color="auto" w:sz="4" w:space="0"/>
                  </w:tcBorders>
                  <w:noWrap w:val="0"/>
                  <w:vAlign w:val="center"/>
                </w:tcPr>
                <w:p w14:paraId="1902BCE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450</w:t>
                  </w:r>
                </w:p>
              </w:tc>
              <w:tc>
                <w:tcPr>
                  <w:tcW w:w="843" w:type="dxa"/>
                  <w:tcBorders>
                    <w:top w:val="single" w:color="auto" w:sz="4" w:space="0"/>
                    <w:left w:val="single" w:color="auto" w:sz="4" w:space="0"/>
                    <w:bottom w:val="single" w:color="auto" w:sz="4" w:space="0"/>
                    <w:right w:val="single" w:color="auto" w:sz="4" w:space="0"/>
                  </w:tcBorders>
                  <w:noWrap w:val="0"/>
                  <w:vAlign w:val="center"/>
                </w:tcPr>
                <w:p w14:paraId="50F8E08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eastAsia="宋体" w:cs="Times New Roman"/>
                      <w:bCs/>
                      <w:color w:val="auto"/>
                      <w:sz w:val="21"/>
                      <w:szCs w:val="21"/>
                      <w:highlight w:val="none"/>
                    </w:rPr>
                    <w:t>1050</w:t>
                  </w:r>
                </w:p>
              </w:tc>
              <w:tc>
                <w:tcPr>
                  <w:tcW w:w="752" w:type="dxa"/>
                  <w:vMerge w:val="continue"/>
                  <w:tcBorders>
                    <w:left w:val="single" w:color="auto" w:sz="4" w:space="0"/>
                    <w:bottom w:val="single" w:color="auto" w:sz="4" w:space="0"/>
                    <w:right w:val="single" w:color="auto" w:sz="4" w:space="0"/>
                  </w:tcBorders>
                  <w:noWrap w:val="0"/>
                  <w:vAlign w:val="center"/>
                </w:tcPr>
                <w:p w14:paraId="6AC8A74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p>
              </w:tc>
            </w:tr>
            <w:tr w14:paraId="2949F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331" w:type="dxa"/>
                  <w:tcBorders>
                    <w:top w:val="single" w:color="auto" w:sz="4" w:space="0"/>
                    <w:left w:val="single" w:color="auto" w:sz="4" w:space="0"/>
                    <w:bottom w:val="single" w:color="auto" w:sz="4" w:space="0"/>
                    <w:right w:val="single" w:color="auto" w:sz="4" w:space="0"/>
                  </w:tcBorders>
                  <w:noWrap w:val="0"/>
                  <w:vAlign w:val="center"/>
                </w:tcPr>
                <w:p w14:paraId="3832EB5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11404-10#</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10E5ADA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39473386.796</w:t>
                  </w:r>
                </w:p>
              </w:tc>
              <w:tc>
                <w:tcPr>
                  <w:tcW w:w="1434" w:type="dxa"/>
                  <w:tcBorders>
                    <w:top w:val="single" w:color="auto" w:sz="4" w:space="0"/>
                    <w:left w:val="single" w:color="auto" w:sz="4" w:space="0"/>
                    <w:bottom w:val="single" w:color="auto" w:sz="4" w:space="0"/>
                    <w:right w:val="single" w:color="auto" w:sz="4" w:space="0"/>
                  </w:tcBorders>
                  <w:noWrap w:val="0"/>
                  <w:vAlign w:val="center"/>
                </w:tcPr>
                <w:p w14:paraId="2A0DDD9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3641438.358</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16C7DF0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22.7</w:t>
                  </w:r>
                </w:p>
              </w:tc>
              <w:tc>
                <w:tcPr>
                  <w:tcW w:w="880" w:type="dxa"/>
                  <w:tcBorders>
                    <w:top w:val="single" w:color="auto" w:sz="4" w:space="0"/>
                    <w:left w:val="single" w:color="auto" w:sz="4" w:space="0"/>
                    <w:bottom w:val="single" w:color="auto" w:sz="4" w:space="0"/>
                    <w:right w:val="single" w:color="auto" w:sz="4" w:space="0"/>
                  </w:tcBorders>
                  <w:noWrap w:val="0"/>
                  <w:vAlign w:val="center"/>
                </w:tcPr>
                <w:p w14:paraId="4EC9069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450</w:t>
                  </w:r>
                </w:p>
              </w:tc>
              <w:tc>
                <w:tcPr>
                  <w:tcW w:w="843" w:type="dxa"/>
                  <w:tcBorders>
                    <w:top w:val="single" w:color="auto" w:sz="4" w:space="0"/>
                    <w:left w:val="single" w:color="auto" w:sz="4" w:space="0"/>
                    <w:bottom w:val="single" w:color="auto" w:sz="4" w:space="0"/>
                    <w:right w:val="single" w:color="auto" w:sz="4" w:space="0"/>
                  </w:tcBorders>
                  <w:noWrap w:val="0"/>
                  <w:vAlign w:val="center"/>
                </w:tcPr>
                <w:p w14:paraId="77FE340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eastAsia="宋体" w:cs="Times New Roman"/>
                      <w:bCs/>
                      <w:color w:val="auto"/>
                      <w:sz w:val="21"/>
                      <w:szCs w:val="21"/>
                      <w:highlight w:val="none"/>
                    </w:rPr>
                    <w:t>1050</w:t>
                  </w:r>
                </w:p>
              </w:tc>
              <w:tc>
                <w:tcPr>
                  <w:tcW w:w="752" w:type="dxa"/>
                  <w:vMerge w:val="continue"/>
                  <w:tcBorders>
                    <w:left w:val="single" w:color="auto" w:sz="4" w:space="0"/>
                    <w:bottom w:val="single" w:color="auto" w:sz="4" w:space="0"/>
                    <w:right w:val="single" w:color="auto" w:sz="4" w:space="0"/>
                  </w:tcBorders>
                  <w:noWrap w:val="0"/>
                  <w:vAlign w:val="center"/>
                </w:tcPr>
                <w:p w14:paraId="5A45A95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p>
              </w:tc>
            </w:tr>
            <w:tr w14:paraId="5C9B4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331" w:type="dxa"/>
                  <w:tcBorders>
                    <w:top w:val="single" w:color="auto" w:sz="4" w:space="0"/>
                    <w:left w:val="single" w:color="auto" w:sz="4" w:space="0"/>
                    <w:bottom w:val="single" w:color="auto" w:sz="4" w:space="0"/>
                    <w:right w:val="single" w:color="auto" w:sz="4" w:space="0"/>
                  </w:tcBorders>
                  <w:noWrap w:val="0"/>
                  <w:vAlign w:val="center"/>
                </w:tcPr>
                <w:p w14:paraId="2B1061F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11404-11#</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116CA97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39473405.501</w:t>
                  </w:r>
                </w:p>
              </w:tc>
              <w:tc>
                <w:tcPr>
                  <w:tcW w:w="1434" w:type="dxa"/>
                  <w:tcBorders>
                    <w:top w:val="single" w:color="auto" w:sz="4" w:space="0"/>
                    <w:left w:val="single" w:color="auto" w:sz="4" w:space="0"/>
                    <w:bottom w:val="single" w:color="auto" w:sz="4" w:space="0"/>
                    <w:right w:val="single" w:color="auto" w:sz="4" w:space="0"/>
                  </w:tcBorders>
                  <w:noWrap w:val="0"/>
                  <w:vAlign w:val="center"/>
                </w:tcPr>
                <w:p w14:paraId="15964D7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3641577.116</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174533F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22.9</w:t>
                  </w:r>
                </w:p>
              </w:tc>
              <w:tc>
                <w:tcPr>
                  <w:tcW w:w="880" w:type="dxa"/>
                  <w:tcBorders>
                    <w:top w:val="single" w:color="auto" w:sz="4" w:space="0"/>
                    <w:left w:val="single" w:color="auto" w:sz="4" w:space="0"/>
                    <w:bottom w:val="single" w:color="auto" w:sz="4" w:space="0"/>
                    <w:right w:val="single" w:color="auto" w:sz="4" w:space="0"/>
                  </w:tcBorders>
                  <w:noWrap w:val="0"/>
                  <w:vAlign w:val="center"/>
                </w:tcPr>
                <w:p w14:paraId="6450F8B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445</w:t>
                  </w:r>
                </w:p>
              </w:tc>
              <w:tc>
                <w:tcPr>
                  <w:tcW w:w="843" w:type="dxa"/>
                  <w:tcBorders>
                    <w:top w:val="single" w:color="auto" w:sz="4" w:space="0"/>
                    <w:left w:val="single" w:color="auto" w:sz="4" w:space="0"/>
                    <w:bottom w:val="single" w:color="auto" w:sz="4" w:space="0"/>
                    <w:right w:val="single" w:color="auto" w:sz="4" w:space="0"/>
                  </w:tcBorders>
                  <w:noWrap w:val="0"/>
                  <w:vAlign w:val="center"/>
                </w:tcPr>
                <w:p w14:paraId="353988E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eastAsia="宋体" w:cs="Times New Roman"/>
                      <w:bCs/>
                      <w:color w:val="auto"/>
                      <w:sz w:val="21"/>
                      <w:szCs w:val="21"/>
                      <w:highlight w:val="none"/>
                    </w:rPr>
                    <w:t>1050</w:t>
                  </w:r>
                </w:p>
              </w:tc>
              <w:tc>
                <w:tcPr>
                  <w:tcW w:w="752" w:type="dxa"/>
                  <w:vMerge w:val="continue"/>
                  <w:tcBorders>
                    <w:left w:val="single" w:color="auto" w:sz="4" w:space="0"/>
                    <w:bottom w:val="single" w:color="auto" w:sz="4" w:space="0"/>
                    <w:right w:val="single" w:color="auto" w:sz="4" w:space="0"/>
                  </w:tcBorders>
                  <w:noWrap w:val="0"/>
                  <w:vAlign w:val="center"/>
                </w:tcPr>
                <w:p w14:paraId="578DBDC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p>
              </w:tc>
            </w:tr>
            <w:tr w14:paraId="784AB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331" w:type="dxa"/>
                  <w:tcBorders>
                    <w:top w:val="single" w:color="auto" w:sz="4" w:space="0"/>
                    <w:left w:val="single" w:color="auto" w:sz="4" w:space="0"/>
                    <w:bottom w:val="single" w:color="auto" w:sz="4" w:space="0"/>
                    <w:right w:val="single" w:color="auto" w:sz="4" w:space="0"/>
                  </w:tcBorders>
                  <w:noWrap w:val="0"/>
                  <w:vAlign w:val="center"/>
                </w:tcPr>
                <w:p w14:paraId="585554E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11404-12#</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012942B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39473420.793</w:t>
                  </w:r>
                </w:p>
              </w:tc>
              <w:tc>
                <w:tcPr>
                  <w:tcW w:w="1434" w:type="dxa"/>
                  <w:tcBorders>
                    <w:top w:val="single" w:color="auto" w:sz="4" w:space="0"/>
                    <w:left w:val="single" w:color="auto" w:sz="4" w:space="0"/>
                    <w:bottom w:val="single" w:color="auto" w:sz="4" w:space="0"/>
                    <w:right w:val="single" w:color="auto" w:sz="4" w:space="0"/>
                  </w:tcBorders>
                  <w:noWrap w:val="0"/>
                  <w:vAlign w:val="center"/>
                </w:tcPr>
                <w:p w14:paraId="7065D98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3641716.286</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3386ECC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23.0</w:t>
                  </w:r>
                </w:p>
              </w:tc>
              <w:tc>
                <w:tcPr>
                  <w:tcW w:w="880" w:type="dxa"/>
                  <w:tcBorders>
                    <w:top w:val="single" w:color="auto" w:sz="4" w:space="0"/>
                    <w:left w:val="single" w:color="auto" w:sz="4" w:space="0"/>
                    <w:bottom w:val="single" w:color="auto" w:sz="4" w:space="0"/>
                    <w:right w:val="single" w:color="auto" w:sz="4" w:space="0"/>
                  </w:tcBorders>
                  <w:noWrap w:val="0"/>
                  <w:vAlign w:val="center"/>
                </w:tcPr>
                <w:p w14:paraId="0E8F8F2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445</w:t>
                  </w:r>
                </w:p>
              </w:tc>
              <w:tc>
                <w:tcPr>
                  <w:tcW w:w="843" w:type="dxa"/>
                  <w:tcBorders>
                    <w:top w:val="single" w:color="auto" w:sz="4" w:space="0"/>
                    <w:left w:val="single" w:color="auto" w:sz="4" w:space="0"/>
                    <w:bottom w:val="single" w:color="auto" w:sz="4" w:space="0"/>
                    <w:right w:val="single" w:color="auto" w:sz="4" w:space="0"/>
                  </w:tcBorders>
                  <w:noWrap w:val="0"/>
                  <w:vAlign w:val="center"/>
                </w:tcPr>
                <w:p w14:paraId="7379767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eastAsia="宋体" w:cs="Times New Roman"/>
                      <w:bCs/>
                      <w:color w:val="auto"/>
                      <w:sz w:val="21"/>
                      <w:szCs w:val="21"/>
                      <w:highlight w:val="none"/>
                    </w:rPr>
                    <w:t>1050</w:t>
                  </w:r>
                </w:p>
              </w:tc>
              <w:tc>
                <w:tcPr>
                  <w:tcW w:w="752" w:type="dxa"/>
                  <w:vMerge w:val="continue"/>
                  <w:tcBorders>
                    <w:left w:val="single" w:color="auto" w:sz="4" w:space="0"/>
                    <w:bottom w:val="single" w:color="auto" w:sz="4" w:space="0"/>
                    <w:right w:val="single" w:color="auto" w:sz="4" w:space="0"/>
                  </w:tcBorders>
                  <w:noWrap w:val="0"/>
                  <w:vAlign w:val="center"/>
                </w:tcPr>
                <w:p w14:paraId="60D9CBE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p>
              </w:tc>
            </w:tr>
            <w:tr w14:paraId="7EF77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331" w:type="dxa"/>
                  <w:tcBorders>
                    <w:top w:val="single" w:color="auto" w:sz="4" w:space="0"/>
                    <w:left w:val="single" w:color="auto" w:sz="4" w:space="0"/>
                    <w:bottom w:val="single" w:color="auto" w:sz="4" w:space="0"/>
                    <w:right w:val="single" w:color="auto" w:sz="4" w:space="0"/>
                  </w:tcBorders>
                  <w:noWrap w:val="0"/>
                  <w:vAlign w:val="center"/>
                </w:tcPr>
                <w:p w14:paraId="0EBC6EF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11404-13#</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05D07C5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39473437.614</w:t>
                  </w:r>
                </w:p>
              </w:tc>
              <w:tc>
                <w:tcPr>
                  <w:tcW w:w="1434" w:type="dxa"/>
                  <w:tcBorders>
                    <w:top w:val="single" w:color="auto" w:sz="4" w:space="0"/>
                    <w:left w:val="single" w:color="auto" w:sz="4" w:space="0"/>
                    <w:bottom w:val="single" w:color="auto" w:sz="4" w:space="0"/>
                    <w:right w:val="single" w:color="auto" w:sz="4" w:space="0"/>
                  </w:tcBorders>
                  <w:noWrap w:val="0"/>
                  <w:vAlign w:val="center"/>
                </w:tcPr>
                <w:p w14:paraId="498A868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3641855.272</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762A7A3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22.6</w:t>
                  </w:r>
                </w:p>
              </w:tc>
              <w:tc>
                <w:tcPr>
                  <w:tcW w:w="880" w:type="dxa"/>
                  <w:tcBorders>
                    <w:top w:val="single" w:color="auto" w:sz="4" w:space="0"/>
                    <w:left w:val="single" w:color="auto" w:sz="4" w:space="0"/>
                    <w:bottom w:val="single" w:color="auto" w:sz="4" w:space="0"/>
                    <w:right w:val="single" w:color="auto" w:sz="4" w:space="0"/>
                  </w:tcBorders>
                  <w:noWrap w:val="0"/>
                  <w:vAlign w:val="center"/>
                </w:tcPr>
                <w:p w14:paraId="660484F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445</w:t>
                  </w:r>
                </w:p>
              </w:tc>
              <w:tc>
                <w:tcPr>
                  <w:tcW w:w="843" w:type="dxa"/>
                  <w:tcBorders>
                    <w:top w:val="single" w:color="auto" w:sz="4" w:space="0"/>
                    <w:left w:val="single" w:color="auto" w:sz="4" w:space="0"/>
                    <w:bottom w:val="single" w:color="auto" w:sz="4" w:space="0"/>
                    <w:right w:val="single" w:color="auto" w:sz="4" w:space="0"/>
                  </w:tcBorders>
                  <w:noWrap w:val="0"/>
                  <w:vAlign w:val="center"/>
                </w:tcPr>
                <w:p w14:paraId="1F8E0BC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eastAsia="宋体" w:cs="Times New Roman"/>
                      <w:bCs/>
                      <w:color w:val="auto"/>
                      <w:sz w:val="21"/>
                      <w:szCs w:val="21"/>
                      <w:highlight w:val="none"/>
                    </w:rPr>
                    <w:t>1050</w:t>
                  </w:r>
                </w:p>
              </w:tc>
              <w:tc>
                <w:tcPr>
                  <w:tcW w:w="752" w:type="dxa"/>
                  <w:vMerge w:val="continue"/>
                  <w:tcBorders>
                    <w:left w:val="single" w:color="auto" w:sz="4" w:space="0"/>
                    <w:bottom w:val="single" w:color="auto" w:sz="4" w:space="0"/>
                    <w:right w:val="single" w:color="auto" w:sz="4" w:space="0"/>
                  </w:tcBorders>
                  <w:noWrap w:val="0"/>
                  <w:vAlign w:val="center"/>
                </w:tcPr>
                <w:p w14:paraId="1726AD7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p>
              </w:tc>
            </w:tr>
            <w:tr w14:paraId="397C0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6247" w:type="dxa"/>
                  <w:gridSpan w:val="5"/>
                  <w:tcBorders>
                    <w:top w:val="single" w:color="auto" w:sz="4" w:space="0"/>
                    <w:left w:val="single" w:color="auto" w:sz="4" w:space="0"/>
                    <w:bottom w:val="single" w:color="auto" w:sz="4" w:space="0"/>
                    <w:right w:val="single" w:color="auto" w:sz="4" w:space="0"/>
                  </w:tcBorders>
                  <w:noWrap w:val="0"/>
                  <w:vAlign w:val="center"/>
                </w:tcPr>
                <w:p w14:paraId="25BECE2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钻探工程量合计（实际孔深以联系单为准）</w:t>
                  </w:r>
                </w:p>
              </w:tc>
              <w:tc>
                <w:tcPr>
                  <w:tcW w:w="843" w:type="dxa"/>
                  <w:tcBorders>
                    <w:top w:val="single" w:color="auto" w:sz="4" w:space="0"/>
                    <w:left w:val="single" w:color="auto" w:sz="4" w:space="0"/>
                    <w:bottom w:val="single" w:color="auto" w:sz="4" w:space="0"/>
                    <w:right w:val="single" w:color="auto" w:sz="4" w:space="0"/>
                  </w:tcBorders>
                  <w:noWrap w:val="0"/>
                  <w:vAlign w:val="center"/>
                </w:tcPr>
                <w:p w14:paraId="7F10CDF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13650</w:t>
                  </w:r>
                </w:p>
              </w:tc>
              <w:tc>
                <w:tcPr>
                  <w:tcW w:w="752" w:type="dxa"/>
                  <w:tcBorders>
                    <w:top w:val="single" w:color="auto" w:sz="4" w:space="0"/>
                    <w:left w:val="single" w:color="auto" w:sz="4" w:space="0"/>
                    <w:bottom w:val="single" w:color="auto" w:sz="4" w:space="0"/>
                    <w:right w:val="single" w:color="auto" w:sz="4" w:space="0"/>
                  </w:tcBorders>
                  <w:noWrap w:val="0"/>
                  <w:vAlign w:val="center"/>
                </w:tcPr>
                <w:p w14:paraId="68D294B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p>
              </w:tc>
            </w:tr>
          </w:tbl>
          <w:p w14:paraId="0EFC4A35">
            <w:pPr>
              <w:spacing w:line="360" w:lineRule="auto"/>
              <w:jc w:val="both"/>
              <w:rPr>
                <w:rFonts w:ascii="Times New Roman" w:hAnsi="Times New Roman"/>
                <w:b/>
                <w:color w:val="auto"/>
                <w:szCs w:val="21"/>
              </w:rPr>
            </w:pPr>
          </w:p>
          <w:p w14:paraId="3E63AAE4">
            <w:pPr>
              <w:spacing w:line="360" w:lineRule="auto"/>
              <w:ind w:firstLine="482" w:firstLineChars="200"/>
              <w:rPr>
                <w:rFonts w:ascii="Times New Roman" w:hAnsi="Times New Roman" w:eastAsia="宋体" w:cs="Times New Roman"/>
                <w:b/>
                <w:bCs/>
                <w:color w:val="auto"/>
                <w:sz w:val="24"/>
                <w:shd w:val="clear" w:color="auto" w:fill="FFFFFF"/>
              </w:rPr>
            </w:pPr>
            <w:r>
              <w:rPr>
                <w:rFonts w:ascii="Times New Roman" w:hAnsi="Times New Roman" w:eastAsia="宋体" w:cs="Times New Roman"/>
                <w:b/>
                <w:bCs/>
                <w:color w:val="auto"/>
                <w:sz w:val="24"/>
                <w:shd w:val="clear" w:color="auto" w:fill="FFFFFF"/>
              </w:rPr>
              <w:t>4、项目工程任务</w:t>
            </w:r>
          </w:p>
          <w:p w14:paraId="5E5105A0">
            <w:pPr>
              <w:spacing w:line="360" w:lineRule="auto"/>
              <w:ind w:firstLine="480" w:firstLineChars="200"/>
              <w:outlineLvl w:val="0"/>
              <w:rPr>
                <w:rFonts w:ascii="Times New Roman" w:hAnsi="Times New Roman"/>
                <w:color w:val="auto"/>
                <w:sz w:val="24"/>
              </w:rPr>
            </w:pPr>
            <w:r>
              <w:rPr>
                <w:rFonts w:ascii="Times New Roman" w:hAnsi="Times New Roman"/>
                <w:color w:val="auto"/>
                <w:sz w:val="24"/>
              </w:rPr>
              <w:t>4.1煤采区概况</w:t>
            </w:r>
          </w:p>
          <w:p w14:paraId="47AB0A69">
            <w:pPr>
              <w:spacing w:line="360" w:lineRule="auto"/>
              <w:ind w:firstLine="480" w:firstLineChars="200"/>
              <w:rPr>
                <w:rFonts w:hint="eastAsia" w:ascii="Times New Roman" w:hAnsi="宋体"/>
                <w:color w:val="auto"/>
                <w:sz w:val="24"/>
              </w:rPr>
            </w:pPr>
            <w:r>
              <w:rPr>
                <w:rFonts w:hint="eastAsia" w:ascii="Times New Roman" w:hAnsi="宋体"/>
                <w:color w:val="auto"/>
                <w:sz w:val="24"/>
              </w:rPr>
              <w:t>11404工作面为矿井11煤四采区的接替工作面，工作面北起11-2煤大巷保护煤柱线，南至井田边界，西邻11403工作面，东邻新四采区。该工作面巷道布置包括11404运输顺槽、11404轨道顺槽、11404工作面切眼、11404顶板瓦斯抽放巷。</w:t>
            </w:r>
          </w:p>
          <w:p w14:paraId="7BCEF3C1">
            <w:pPr>
              <w:spacing w:line="360" w:lineRule="auto"/>
              <w:ind w:firstLine="480" w:firstLineChars="200"/>
              <w:outlineLvl w:val="0"/>
              <w:rPr>
                <w:rFonts w:hint="eastAsia" w:ascii="Times New Roman" w:hAnsi="Times New Roman" w:eastAsia="宋体"/>
                <w:color w:val="auto"/>
                <w:sz w:val="24"/>
                <w:lang w:eastAsia="zh-CN"/>
              </w:rPr>
            </w:pPr>
            <w:r>
              <w:rPr>
                <w:rFonts w:ascii="Times New Roman" w:hAnsi="Times New Roman"/>
                <w:color w:val="auto"/>
                <w:sz w:val="24"/>
              </w:rPr>
              <w:t>4.2工作面</w:t>
            </w:r>
            <w:r>
              <w:rPr>
                <w:rFonts w:hint="eastAsia" w:ascii="Times New Roman" w:hAnsi="Times New Roman"/>
                <w:color w:val="auto"/>
                <w:sz w:val="24"/>
                <w:lang w:val="en-US" w:eastAsia="zh-CN"/>
              </w:rPr>
              <w:t>概况</w:t>
            </w:r>
          </w:p>
          <w:p w14:paraId="666F4EF1">
            <w:pPr>
              <w:overflowPunct w:val="0"/>
              <w:spacing w:line="360" w:lineRule="auto"/>
              <w:ind w:firstLine="480" w:firstLineChars="200"/>
              <w:rPr>
                <w:rFonts w:ascii="Times New Roman" w:hAnsi="Times New Roman"/>
                <w:color w:val="auto"/>
                <w:sz w:val="24"/>
              </w:rPr>
            </w:pPr>
            <w:r>
              <w:rPr>
                <w:rFonts w:ascii="Times New Roman" w:hAnsi="Times New Roman"/>
                <w:color w:val="auto"/>
                <w:sz w:val="24"/>
              </w:rPr>
              <w:t>（1）工作面情况</w:t>
            </w:r>
          </w:p>
          <w:p w14:paraId="68E1825E">
            <w:pPr>
              <w:spacing w:line="360" w:lineRule="auto"/>
              <w:ind w:firstLine="480" w:firstLineChars="200"/>
              <w:rPr>
                <w:rFonts w:ascii="Times New Roman" w:hAnsi="Times New Roman"/>
                <w:color w:val="auto"/>
                <w:sz w:val="24"/>
                <w:lang w:val="en-GB"/>
              </w:rPr>
            </w:pPr>
            <w:r>
              <w:rPr>
                <w:rFonts w:hint="eastAsia" w:ascii="Times New Roman" w:hAnsi="Times New Roman"/>
                <w:color w:val="auto"/>
                <w:sz w:val="24"/>
              </w:rPr>
              <w:t>本工作面11-2煤层全部可采，煤层赋存情况稳定。11-2煤位于上石盒子组中下部，与上覆13-1煤间距71.4～74.7m，平均间距72.9，与下伏11-1煤间距5.2m～8.6m，平均间距6.6m。本工作面11-1煤厚0.7m～0.95m，平均煤厚0.82m。本工作面11-2煤厚1.25m～2.2m，平均煤厚1.59m。</w:t>
            </w:r>
            <w:r>
              <w:rPr>
                <w:rFonts w:hint="eastAsia" w:ascii="Times New Roman" w:hAnsi="宋体"/>
                <w:color w:val="auto"/>
                <w:sz w:val="24"/>
              </w:rPr>
              <w:t>11404工作面采用综合机械化回采工艺，倾斜长壁采煤方法，工作面采用“一面三巷”布置方式；通风方式采用“U”型通风。</w:t>
            </w:r>
          </w:p>
          <w:p w14:paraId="546FDE9D">
            <w:pPr>
              <w:overflowPunct w:val="0"/>
              <w:spacing w:line="360" w:lineRule="auto"/>
              <w:ind w:firstLine="480" w:firstLineChars="200"/>
              <w:rPr>
                <w:rFonts w:ascii="Times New Roman" w:hAnsi="Times New Roman"/>
                <w:color w:val="auto"/>
                <w:sz w:val="24"/>
              </w:rPr>
            </w:pPr>
            <w:r>
              <w:rPr>
                <w:rFonts w:ascii="Times New Roman" w:hAnsi="Times New Roman"/>
                <w:color w:val="auto"/>
                <w:sz w:val="24"/>
              </w:rPr>
              <w:t>（</w:t>
            </w:r>
            <w:r>
              <w:rPr>
                <w:rFonts w:hint="eastAsia" w:ascii="Times New Roman" w:hAnsi="Times New Roman"/>
                <w:color w:val="auto"/>
                <w:sz w:val="24"/>
                <w:lang w:val="en-US" w:eastAsia="zh-CN"/>
              </w:rPr>
              <w:t>2</w:t>
            </w:r>
            <w:r>
              <w:rPr>
                <w:rFonts w:ascii="Times New Roman" w:hAnsi="Times New Roman"/>
                <w:color w:val="auto"/>
                <w:sz w:val="24"/>
              </w:rPr>
              <w:t>）地质构造情况</w:t>
            </w:r>
          </w:p>
          <w:p w14:paraId="7DC7D969">
            <w:pPr>
              <w:tabs>
                <w:tab w:val="left" w:pos="4815"/>
              </w:tabs>
              <w:spacing w:line="360" w:lineRule="auto"/>
              <w:ind w:firstLine="480" w:firstLineChars="200"/>
              <w:rPr>
                <w:rFonts w:hint="eastAsia" w:ascii="Times New Roman" w:hAnsi="宋体"/>
                <w:color w:val="auto"/>
                <w:sz w:val="24"/>
              </w:rPr>
            </w:pPr>
            <w:r>
              <w:rPr>
                <w:rFonts w:hint="eastAsia" w:ascii="Times New Roman" w:hAnsi="宋体"/>
                <w:color w:val="auto"/>
                <w:sz w:val="24"/>
              </w:rPr>
              <w:t>综合生产地质报告、地面三维地震资料、11404顶板瓦斯抽放巷、11403轨道顺槽实揭资料分析，影响工作面掘进的地质构造具体如下：</w:t>
            </w:r>
          </w:p>
          <w:p w14:paraId="3F95D88F">
            <w:pPr>
              <w:tabs>
                <w:tab w:val="left" w:pos="4815"/>
              </w:tabs>
              <w:spacing w:line="360" w:lineRule="auto"/>
              <w:ind w:firstLine="480" w:firstLineChars="200"/>
              <w:rPr>
                <w:rFonts w:hint="eastAsia" w:ascii="Times New Roman" w:hAnsi="宋体"/>
                <w:color w:val="auto"/>
                <w:sz w:val="24"/>
              </w:rPr>
            </w:pPr>
            <w:r>
              <w:rPr>
                <w:rFonts w:hint="eastAsia" w:ascii="Times New Roman" w:hAnsi="宋体"/>
                <w:color w:val="auto"/>
                <w:sz w:val="24"/>
              </w:rPr>
              <w:t>1）褶曲</w:t>
            </w:r>
          </w:p>
          <w:p w14:paraId="5E4B6365">
            <w:pPr>
              <w:tabs>
                <w:tab w:val="left" w:pos="4815"/>
              </w:tabs>
              <w:spacing w:line="360" w:lineRule="auto"/>
              <w:ind w:firstLine="480" w:firstLineChars="200"/>
              <w:rPr>
                <w:rFonts w:hint="eastAsia" w:ascii="Times New Roman" w:hAnsi="宋体"/>
                <w:color w:val="auto"/>
                <w:sz w:val="24"/>
              </w:rPr>
            </w:pPr>
            <w:r>
              <w:rPr>
                <w:rFonts w:hint="eastAsia" w:ascii="Times New Roman" w:hAnsi="宋体"/>
                <w:color w:val="auto"/>
                <w:sz w:val="24"/>
              </w:rPr>
              <w:t>史圩向斜西起39-3钻孔东至贺疃镇，总体呈北西西方向，地层倾角7°左右，延伸长度约4.8km，位于工作面中南部。受此褶曲影响，煤（岩）层产状变化较大，小断裂构造相对发育。</w:t>
            </w:r>
          </w:p>
          <w:p w14:paraId="2912F107">
            <w:pPr>
              <w:tabs>
                <w:tab w:val="left" w:pos="4815"/>
              </w:tabs>
              <w:spacing w:line="360" w:lineRule="auto"/>
              <w:ind w:firstLine="480" w:firstLineChars="200"/>
              <w:rPr>
                <w:rFonts w:hint="eastAsia" w:ascii="Times New Roman" w:hAnsi="宋体"/>
                <w:color w:val="auto"/>
                <w:sz w:val="24"/>
              </w:rPr>
            </w:pPr>
            <w:r>
              <w:rPr>
                <w:rFonts w:hint="eastAsia" w:ascii="Times New Roman" w:hAnsi="宋体"/>
                <w:color w:val="auto"/>
                <w:sz w:val="24"/>
              </w:rPr>
              <w:t>2）断层</w:t>
            </w:r>
          </w:p>
          <w:p w14:paraId="79FDA5E2">
            <w:pPr>
              <w:tabs>
                <w:tab w:val="left" w:pos="4815"/>
              </w:tabs>
              <w:spacing w:line="360" w:lineRule="auto"/>
              <w:ind w:firstLine="480" w:firstLineChars="200"/>
              <w:rPr>
                <w:rFonts w:hint="eastAsia" w:ascii="Times New Roman" w:hAnsi="宋体"/>
                <w:color w:val="auto"/>
                <w:sz w:val="24"/>
              </w:rPr>
            </w:pPr>
            <w:r>
              <w:rPr>
                <w:rFonts w:hint="eastAsia" w:ascii="Times New Roman" w:hAnsi="宋体"/>
                <w:color w:val="auto"/>
                <w:sz w:val="24"/>
              </w:rPr>
              <w:t>巷道揭露1米以上的断层3条，具体如下：</w:t>
            </w:r>
          </w:p>
          <w:p w14:paraId="664B0D6C">
            <w:pPr>
              <w:tabs>
                <w:tab w:val="left" w:pos="4815"/>
              </w:tabs>
              <w:spacing w:line="360" w:lineRule="auto"/>
              <w:ind w:firstLine="480" w:firstLineChars="200"/>
              <w:rPr>
                <w:rFonts w:hint="eastAsia" w:ascii="Times New Roman" w:hAnsi="宋体"/>
                <w:color w:val="auto"/>
                <w:sz w:val="24"/>
              </w:rPr>
            </w:pPr>
            <w:r>
              <w:rPr>
                <w:rFonts w:hint="eastAsia" w:ascii="Times New Roman" w:hAnsi="宋体"/>
                <w:color w:val="auto"/>
                <w:sz w:val="24"/>
              </w:rPr>
              <w:t>（1）XF9逆断层：159°∠60°H=1m±。根据三维地震分析，预计11404工作面轨道顺槽拨门施工519 m±揭露XF9逆断层西部末端，落差为1m±；11404轨道顺槽由北向南N187°方位施工，巷道施工至该断层位置时巷道应下山掘进，断层在实际揭露中可能会现局部摆动。</w:t>
            </w:r>
          </w:p>
          <w:p w14:paraId="2682292F">
            <w:pPr>
              <w:tabs>
                <w:tab w:val="left" w:pos="4815"/>
              </w:tabs>
              <w:spacing w:line="360" w:lineRule="auto"/>
              <w:ind w:firstLine="480" w:firstLineChars="200"/>
              <w:rPr>
                <w:rFonts w:hint="eastAsia" w:ascii="Times New Roman" w:hAnsi="宋体"/>
                <w:color w:val="auto"/>
                <w:sz w:val="24"/>
              </w:rPr>
            </w:pPr>
            <w:r>
              <w:rPr>
                <w:rFonts w:hint="eastAsia" w:ascii="Times New Roman" w:hAnsi="宋体"/>
                <w:color w:val="auto"/>
                <w:sz w:val="24"/>
              </w:rPr>
              <w:t>（2）11403轨-1正断层：180°∠50°H=1.0m。11403轨道顺槽实揭断层，预计11404运输顺槽662m±揭露11403轨-1正断层，落差为1.0m，11404运输顺槽由北向南N187°方位施工，巷道施工至该断层位置时巷道应下山掘进。</w:t>
            </w:r>
          </w:p>
          <w:p w14:paraId="16657A62">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outlineLvl w:val="0"/>
              <w:rPr>
                <w:rFonts w:hint="eastAsia" w:ascii="Times New Roman" w:hAnsi="宋体"/>
                <w:color w:val="auto"/>
                <w:sz w:val="24"/>
              </w:rPr>
            </w:pPr>
            <w:r>
              <w:rPr>
                <w:rFonts w:hint="eastAsia" w:ascii="Times New Roman" w:hAnsi="宋体" w:eastAsia="宋体" w:cs="Times New Roman"/>
                <w:color w:val="auto"/>
                <w:kern w:val="2"/>
                <w:sz w:val="24"/>
                <w:szCs w:val="24"/>
                <w:lang w:val="en-US" w:eastAsia="zh-CN" w:bidi="ar-SA"/>
              </w:rPr>
              <w:t>（3）11403轨-7逆断层：27°∠20-30°H=1.8m。11403轨道顺槽实揭断层，预计11404运输顺槽1750m±揭露11403轨-7逆断层，落差为1.8m，11404运输顺槽由北向南N187°方位施工，巷道施工至该断层位置时巷道应下山掘进。</w:t>
            </w:r>
          </w:p>
          <w:p w14:paraId="32CBA0B0">
            <w:pPr>
              <w:tabs>
                <w:tab w:val="left" w:pos="4815"/>
              </w:tabs>
              <w:spacing w:line="360" w:lineRule="auto"/>
              <w:rPr>
                <w:rFonts w:hint="eastAsia" w:ascii="Times New Roman" w:hAnsi="Times New Roman" w:eastAsia="宋体"/>
                <w:color w:val="auto"/>
                <w:lang w:eastAsia="zh-CN"/>
              </w:rPr>
            </w:pPr>
          </w:p>
          <w:p w14:paraId="532D69F8">
            <w:pPr>
              <w:pStyle w:val="23"/>
              <w:rPr>
                <w:rFonts w:hint="eastAsia" w:ascii="Times New Roman" w:hAnsi="Times New Roman" w:eastAsia="宋体"/>
                <w:color w:val="auto"/>
                <w:lang w:eastAsia="zh-CN"/>
              </w:rPr>
            </w:pPr>
          </w:p>
          <w:p w14:paraId="5BAC4A92">
            <w:pPr>
              <w:pStyle w:val="23"/>
              <w:rPr>
                <w:rFonts w:hint="eastAsia" w:ascii="Times New Roman" w:hAnsi="Times New Roman" w:eastAsia="宋体"/>
                <w:color w:val="auto"/>
                <w:lang w:eastAsia="zh-CN"/>
              </w:rPr>
            </w:pPr>
          </w:p>
          <w:p w14:paraId="3D6BE7E7">
            <w:pPr>
              <w:pStyle w:val="23"/>
              <w:rPr>
                <w:rFonts w:hint="eastAsia" w:ascii="Times New Roman" w:hAnsi="Times New Roman" w:eastAsia="宋体"/>
                <w:color w:val="auto"/>
                <w:lang w:eastAsia="zh-CN"/>
              </w:rPr>
            </w:pPr>
          </w:p>
          <w:p w14:paraId="1F56EDDB">
            <w:pPr>
              <w:pStyle w:val="23"/>
              <w:rPr>
                <w:rFonts w:hint="eastAsia" w:ascii="Times New Roman" w:hAnsi="Times New Roman" w:eastAsia="宋体"/>
                <w:color w:val="auto"/>
                <w:lang w:eastAsia="zh-CN"/>
              </w:rPr>
            </w:pPr>
          </w:p>
          <w:p w14:paraId="4384B8E8">
            <w:pPr>
              <w:pStyle w:val="23"/>
              <w:rPr>
                <w:rFonts w:hint="eastAsia" w:ascii="Times New Roman" w:hAnsi="Times New Roman" w:eastAsia="宋体"/>
                <w:color w:val="auto"/>
                <w:lang w:eastAsia="zh-CN"/>
              </w:rPr>
            </w:pPr>
          </w:p>
          <w:p w14:paraId="4E348F8C">
            <w:pPr>
              <w:pStyle w:val="23"/>
              <w:rPr>
                <w:rFonts w:hint="eastAsia" w:ascii="Times New Roman" w:hAnsi="Times New Roman" w:eastAsia="宋体"/>
                <w:color w:val="auto"/>
                <w:lang w:eastAsia="zh-CN"/>
              </w:rPr>
            </w:pPr>
          </w:p>
        </w:tc>
      </w:tr>
    </w:tbl>
    <w:p w14:paraId="433EF20F">
      <w:pPr>
        <w:pStyle w:val="16"/>
        <w:widowControl/>
        <w:numPr>
          <w:ilvl w:val="0"/>
          <w:numId w:val="0"/>
        </w:numPr>
        <w:spacing w:before="100" w:beforeAutospacing="1" w:after="100" w:afterAutospacing="1"/>
        <w:jc w:val="center"/>
        <w:outlineLvl w:val="0"/>
        <w:rPr>
          <w:rFonts w:ascii="Times New Roman" w:hAnsi="Times New Roman" w:eastAsia="黑体"/>
          <w:snapToGrid w:val="0"/>
          <w:color w:val="auto"/>
          <w:sz w:val="30"/>
          <w:szCs w:val="30"/>
        </w:rPr>
        <w:sectPr>
          <w:pgSz w:w="11906" w:h="16838"/>
          <w:pgMar w:top="1440" w:right="1800" w:bottom="1440" w:left="1800" w:header="851" w:footer="1077" w:gutter="0"/>
          <w:cols w:space="720" w:num="1"/>
          <w:docGrid w:linePitch="312" w:charSpace="0"/>
        </w:sect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13753"/>
      </w:tblGrid>
      <w:tr w14:paraId="6C554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1" w:type="dxa"/>
          </w:tcPr>
          <w:p w14:paraId="4B1351BD">
            <w:pPr>
              <w:adjustRightInd w:val="0"/>
              <w:snapToGrid w:val="0"/>
              <w:jc w:val="center"/>
              <w:rPr>
                <w:rFonts w:hint="eastAsia" w:ascii="Times New Roman" w:hAnsi="Times New Roman" w:eastAsia="黑体"/>
                <w:snapToGrid w:val="0"/>
                <w:color w:val="auto"/>
                <w:sz w:val="30"/>
                <w:szCs w:val="30"/>
                <w:vertAlign w:val="baseline"/>
                <w:lang w:val="en-US" w:eastAsia="zh-CN"/>
              </w:rPr>
            </w:pPr>
            <w:r>
              <w:rPr>
                <w:rFonts w:hint="eastAsia" w:ascii="Times New Roman" w:hAnsi="Times New Roman" w:eastAsia="宋体" w:cs="Times New Roman"/>
                <w:color w:val="auto"/>
                <w:kern w:val="0"/>
                <w:sz w:val="24"/>
                <w:lang w:val="en-US" w:eastAsia="zh-CN"/>
              </w:rPr>
              <w:t>项目组成及规模</w:t>
            </w:r>
          </w:p>
        </w:tc>
        <w:tc>
          <w:tcPr>
            <w:tcW w:w="13753" w:type="dxa"/>
          </w:tcPr>
          <w:p w14:paraId="64BC2575">
            <w:pPr>
              <w:pStyle w:val="28"/>
              <w:bidi w:val="0"/>
              <w:rPr>
                <w:rFonts w:hint="default"/>
                <w:color w:val="auto"/>
                <w:lang w:val="en-US" w:eastAsia="zh-CN"/>
              </w:rPr>
            </w:pPr>
            <w:r>
              <w:rPr>
                <w:rFonts w:hint="eastAsia"/>
                <w:color w:val="auto"/>
                <w:lang w:val="en-US" w:eastAsia="zh-CN"/>
              </w:rPr>
              <w:t>表2-3钻孔点位及井场现状一览表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958"/>
              <w:gridCol w:w="1917"/>
              <w:gridCol w:w="7062"/>
              <w:gridCol w:w="971"/>
              <w:gridCol w:w="981"/>
              <w:gridCol w:w="1037"/>
            </w:tblGrid>
            <w:tr w14:paraId="48DDF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22" w:type="pct"/>
                  <w:vAlign w:val="center"/>
                </w:tcPr>
                <w:p w14:paraId="75A06730">
                  <w:pPr>
                    <w:pStyle w:val="29"/>
                    <w:bidi w:val="0"/>
                    <w:rPr>
                      <w:rFonts w:hint="eastAsia"/>
                      <w:color w:val="auto"/>
                      <w:lang w:eastAsia="zh-CN"/>
                    </w:rPr>
                  </w:pPr>
                  <w:r>
                    <w:rPr>
                      <w:rFonts w:hint="eastAsia"/>
                      <w:color w:val="auto"/>
                      <w:lang w:eastAsia="zh-CN"/>
                    </w:rPr>
                    <w:t>序号</w:t>
                  </w:r>
                </w:p>
              </w:tc>
              <w:tc>
                <w:tcPr>
                  <w:tcW w:w="354" w:type="pct"/>
                  <w:vAlign w:val="center"/>
                </w:tcPr>
                <w:p w14:paraId="4816028C">
                  <w:pPr>
                    <w:pStyle w:val="29"/>
                    <w:bidi w:val="0"/>
                    <w:rPr>
                      <w:rFonts w:hint="eastAsia"/>
                      <w:color w:val="auto"/>
                      <w:lang w:eastAsia="zh-CN"/>
                    </w:rPr>
                  </w:pPr>
                  <w:r>
                    <w:rPr>
                      <w:color w:val="auto"/>
                    </w:rPr>
                    <w:t>钻孔点位</w:t>
                  </w:r>
                  <w:r>
                    <w:rPr>
                      <w:rFonts w:hint="eastAsia"/>
                      <w:color w:val="auto"/>
                      <w:lang w:eastAsia="zh-CN"/>
                    </w:rPr>
                    <w:t>编号</w:t>
                  </w:r>
                </w:p>
              </w:tc>
              <w:tc>
                <w:tcPr>
                  <w:tcW w:w="708" w:type="pct"/>
                  <w:vAlign w:val="center"/>
                </w:tcPr>
                <w:p w14:paraId="094A8E07">
                  <w:pPr>
                    <w:pStyle w:val="29"/>
                    <w:bidi w:val="0"/>
                    <w:rPr>
                      <w:rFonts w:hint="eastAsia"/>
                      <w:color w:val="auto"/>
                      <w:lang w:eastAsia="zh-CN"/>
                    </w:rPr>
                  </w:pPr>
                  <w:r>
                    <w:rPr>
                      <w:color w:val="auto"/>
                    </w:rPr>
                    <w:t>钻孔坐标</w:t>
                  </w:r>
                </w:p>
              </w:tc>
              <w:tc>
                <w:tcPr>
                  <w:tcW w:w="2610" w:type="pct"/>
                  <w:vAlign w:val="center"/>
                </w:tcPr>
                <w:p w14:paraId="79F6EC28">
                  <w:pPr>
                    <w:pStyle w:val="29"/>
                    <w:bidi w:val="0"/>
                    <w:rPr>
                      <w:rFonts w:hint="eastAsia"/>
                      <w:color w:val="auto"/>
                      <w:lang w:eastAsia="zh-CN"/>
                    </w:rPr>
                  </w:pPr>
                  <w:r>
                    <w:rPr>
                      <w:color w:val="auto"/>
                    </w:rPr>
                    <w:t>现状</w:t>
                  </w:r>
                  <w:r>
                    <w:rPr>
                      <w:rFonts w:hint="eastAsia"/>
                      <w:color w:val="auto"/>
                      <w:lang w:eastAsia="zh-CN"/>
                    </w:rPr>
                    <w:t>图片</w:t>
                  </w:r>
                </w:p>
              </w:tc>
              <w:tc>
                <w:tcPr>
                  <w:tcW w:w="358" w:type="pct"/>
                  <w:vAlign w:val="center"/>
                </w:tcPr>
                <w:p w14:paraId="2BA23285">
                  <w:pPr>
                    <w:pStyle w:val="29"/>
                    <w:bidi w:val="0"/>
                    <w:rPr>
                      <w:rFonts w:hint="eastAsia"/>
                      <w:color w:val="auto"/>
                      <w:lang w:eastAsia="zh-CN"/>
                    </w:rPr>
                  </w:pPr>
                  <w:r>
                    <w:rPr>
                      <w:rFonts w:hint="eastAsia"/>
                      <w:color w:val="auto"/>
                      <w:lang w:eastAsia="zh-CN"/>
                    </w:rPr>
                    <w:t>占地类型</w:t>
                  </w:r>
                </w:p>
              </w:tc>
              <w:tc>
                <w:tcPr>
                  <w:tcW w:w="362" w:type="pct"/>
                  <w:vAlign w:val="center"/>
                </w:tcPr>
                <w:p w14:paraId="791EE036">
                  <w:pPr>
                    <w:pStyle w:val="29"/>
                    <w:bidi w:val="0"/>
                    <w:rPr>
                      <w:rFonts w:hint="eastAsia"/>
                      <w:color w:val="auto"/>
                      <w:lang w:eastAsia="zh-CN"/>
                    </w:rPr>
                  </w:pPr>
                  <w:r>
                    <w:rPr>
                      <w:rFonts w:hint="eastAsia"/>
                      <w:color w:val="auto"/>
                      <w:lang w:eastAsia="zh-CN"/>
                    </w:rPr>
                    <w:t>占地面积（</w:t>
                  </w:r>
                  <w:r>
                    <w:rPr>
                      <w:rFonts w:hint="default"/>
                      <w:color w:val="auto"/>
                      <w:lang w:val="en-US" w:eastAsia="zh-CN"/>
                    </w:rPr>
                    <w:t>m</w:t>
                  </w:r>
                  <w:r>
                    <w:rPr>
                      <w:rFonts w:hint="default"/>
                      <w:color w:val="auto"/>
                      <w:vertAlign w:val="superscript"/>
                      <w:lang w:val="en-US" w:eastAsia="zh-CN"/>
                    </w:rPr>
                    <w:t>2</w:t>
                  </w:r>
                  <w:r>
                    <w:rPr>
                      <w:rFonts w:hint="eastAsia"/>
                      <w:color w:val="auto"/>
                      <w:lang w:eastAsia="zh-CN"/>
                    </w:rPr>
                    <w:t>）</w:t>
                  </w:r>
                </w:p>
              </w:tc>
              <w:tc>
                <w:tcPr>
                  <w:tcW w:w="383" w:type="pct"/>
                  <w:vAlign w:val="center"/>
                </w:tcPr>
                <w:p w14:paraId="73C60FC8">
                  <w:pPr>
                    <w:pStyle w:val="29"/>
                    <w:bidi w:val="0"/>
                    <w:rPr>
                      <w:rFonts w:hint="eastAsia"/>
                      <w:color w:val="auto"/>
                      <w:lang w:eastAsia="zh-CN"/>
                    </w:rPr>
                  </w:pPr>
                  <w:r>
                    <w:rPr>
                      <w:rFonts w:hint="eastAsia"/>
                      <w:color w:val="auto"/>
                      <w:lang w:eastAsia="zh-CN"/>
                    </w:rPr>
                    <w:t>表土剥离量（</w:t>
                  </w:r>
                  <w:r>
                    <w:rPr>
                      <w:rFonts w:hint="default"/>
                      <w:color w:val="auto"/>
                      <w:lang w:val="en-US" w:eastAsia="zh-CN"/>
                    </w:rPr>
                    <w:t>m</w:t>
                  </w:r>
                  <w:r>
                    <w:rPr>
                      <w:rFonts w:hint="eastAsia"/>
                      <w:color w:val="auto"/>
                      <w:vertAlign w:val="superscript"/>
                      <w:lang w:val="en-US" w:eastAsia="zh-CN"/>
                    </w:rPr>
                    <w:t>3</w:t>
                  </w:r>
                  <w:r>
                    <w:rPr>
                      <w:rFonts w:hint="eastAsia"/>
                      <w:color w:val="auto"/>
                      <w:lang w:eastAsia="zh-CN"/>
                    </w:rPr>
                    <w:t>）</w:t>
                  </w:r>
                </w:p>
              </w:tc>
            </w:tr>
            <w:tr w14:paraId="6155D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7" w:hRule="atLeast"/>
              </w:trPr>
              <w:tc>
                <w:tcPr>
                  <w:tcW w:w="222" w:type="pct"/>
                  <w:vAlign w:val="center"/>
                </w:tcPr>
                <w:p w14:paraId="61A2305B">
                  <w:pPr>
                    <w:pStyle w:val="29"/>
                    <w:bidi w:val="0"/>
                    <w:rPr>
                      <w:rFonts w:hint="default"/>
                      <w:color w:val="auto"/>
                      <w:lang w:val="en-US" w:eastAsia="zh-CN"/>
                    </w:rPr>
                  </w:pPr>
                  <w:r>
                    <w:rPr>
                      <w:rFonts w:hint="eastAsia"/>
                      <w:color w:val="auto"/>
                      <w:lang w:val="en-US" w:eastAsia="zh-CN"/>
                    </w:rPr>
                    <w:t>1</w:t>
                  </w:r>
                </w:p>
              </w:tc>
              <w:tc>
                <w:tcPr>
                  <w:tcW w:w="354" w:type="pct"/>
                  <w:vAlign w:val="center"/>
                </w:tcPr>
                <w:p w14:paraId="57AD0163">
                  <w:pPr>
                    <w:pStyle w:val="29"/>
                    <w:bidi w:val="0"/>
                    <w:rPr>
                      <w:rFonts w:hint="default"/>
                      <w:color w:val="auto"/>
                      <w:lang w:val="en-US" w:eastAsia="zh-CN"/>
                    </w:rPr>
                  </w:pPr>
                  <w:r>
                    <w:rPr>
                      <w:rFonts w:hint="eastAsia"/>
                      <w:color w:val="auto"/>
                    </w:rPr>
                    <w:t>11404-1#</w:t>
                  </w:r>
                </w:p>
              </w:tc>
              <w:tc>
                <w:tcPr>
                  <w:tcW w:w="708" w:type="pct"/>
                  <w:vAlign w:val="center"/>
                </w:tcPr>
                <w:p w14:paraId="40AAF63F">
                  <w:pPr>
                    <w:pStyle w:val="29"/>
                    <w:bidi w:val="0"/>
                    <w:rPr>
                      <w:rFonts w:hint="eastAsia"/>
                      <w:color w:val="auto"/>
                      <w:lang w:val="en-US" w:eastAsia="zh-CN"/>
                    </w:rPr>
                  </w:pPr>
                  <w:r>
                    <w:rPr>
                      <w:rFonts w:hint="eastAsia"/>
                      <w:color w:val="auto"/>
                      <w:lang w:val="en-US" w:eastAsia="zh-CN"/>
                    </w:rPr>
                    <w:t>经</w:t>
                  </w:r>
                  <w:r>
                    <w:rPr>
                      <w:rFonts w:hint="eastAsia"/>
                      <w:color w:val="auto"/>
                      <w:lang w:eastAsia="zh-CN"/>
                    </w:rPr>
                    <w:t>度</w:t>
                  </w:r>
                  <w:r>
                    <w:rPr>
                      <w:rFonts w:hint="eastAsia"/>
                      <w:color w:val="auto"/>
                      <w:lang w:val="en-US" w:eastAsia="zh-CN"/>
                    </w:rPr>
                    <w:t>:116.72050577,</w:t>
                  </w:r>
                </w:p>
                <w:p w14:paraId="01EFBA7F">
                  <w:pPr>
                    <w:pStyle w:val="29"/>
                    <w:bidi w:val="0"/>
                    <w:rPr>
                      <w:rFonts w:hint="default"/>
                      <w:color w:val="auto"/>
                    </w:rPr>
                  </w:pPr>
                  <w:r>
                    <w:rPr>
                      <w:rFonts w:hint="eastAsia"/>
                      <w:color w:val="auto"/>
                      <w:lang w:eastAsia="zh-CN"/>
                    </w:rPr>
                    <w:t>纬度：32.88445639</w:t>
                  </w:r>
                </w:p>
              </w:tc>
              <w:tc>
                <w:tcPr>
                  <w:tcW w:w="2610" w:type="pct"/>
                  <w:vAlign w:val="center"/>
                </w:tcPr>
                <w:p w14:paraId="48AF8618">
                  <w:pPr>
                    <w:pStyle w:val="29"/>
                    <w:bidi w:val="0"/>
                    <w:rPr>
                      <w:rFonts w:hint="eastAsia"/>
                      <w:color w:val="auto"/>
                      <w:lang w:eastAsia="zh-CN"/>
                    </w:rPr>
                  </w:pPr>
                  <w:r>
                    <w:rPr>
                      <w:color w:val="auto"/>
                    </w:rPr>
                    <w:drawing>
                      <wp:inline distT="0" distB="0" distL="114300" distR="114300">
                        <wp:extent cx="3628390" cy="2164715"/>
                        <wp:effectExtent l="0" t="0" r="10160" b="6985"/>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7"/>
                                <a:stretch>
                                  <a:fillRect/>
                                </a:stretch>
                              </pic:blipFill>
                              <pic:spPr>
                                <a:xfrm>
                                  <a:off x="0" y="0"/>
                                  <a:ext cx="3628390" cy="2164715"/>
                                </a:xfrm>
                                <a:prstGeom prst="rect">
                                  <a:avLst/>
                                </a:prstGeom>
                                <a:noFill/>
                                <a:ln>
                                  <a:noFill/>
                                </a:ln>
                              </pic:spPr>
                            </pic:pic>
                          </a:graphicData>
                        </a:graphic>
                      </wp:inline>
                    </w:drawing>
                  </w:r>
                </w:p>
              </w:tc>
              <w:tc>
                <w:tcPr>
                  <w:tcW w:w="358" w:type="pct"/>
                  <w:vAlign w:val="center"/>
                </w:tcPr>
                <w:p w14:paraId="5B6A8F85">
                  <w:pPr>
                    <w:pStyle w:val="29"/>
                    <w:bidi w:val="0"/>
                    <w:rPr>
                      <w:rFonts w:hint="default"/>
                      <w:color w:val="auto"/>
                      <w:lang w:val="en-US" w:eastAsia="zh-CN"/>
                    </w:rPr>
                  </w:pPr>
                  <w:r>
                    <w:rPr>
                      <w:rFonts w:hint="eastAsia"/>
                      <w:color w:val="auto"/>
                      <w:lang w:val="en-US" w:eastAsia="zh-CN"/>
                    </w:rPr>
                    <w:t>基本农田</w:t>
                  </w:r>
                </w:p>
              </w:tc>
              <w:tc>
                <w:tcPr>
                  <w:tcW w:w="981" w:type="dxa"/>
                  <w:vAlign w:val="center"/>
                </w:tcPr>
                <w:p w14:paraId="2208D223">
                  <w:pPr>
                    <w:keepNext w:val="0"/>
                    <w:keepLines w:val="0"/>
                    <w:pageBreakBefore w:val="0"/>
                    <w:widowControl/>
                    <w:suppressLineNumbers w:val="0"/>
                    <w:shd w:val="clear"/>
                    <w:wordWrap/>
                    <w:overflowPunct/>
                    <w:topLinePunct w:val="0"/>
                    <w:bidi w:val="0"/>
                    <w:spacing w:line="240" w:lineRule="exact"/>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i w:val="0"/>
                      <w:iCs w:val="0"/>
                      <w:snapToGrid w:val="0"/>
                      <w:color w:val="auto"/>
                      <w:kern w:val="0"/>
                      <w:sz w:val="18"/>
                      <w:szCs w:val="18"/>
                      <w:highlight w:val="none"/>
                      <w:u w:val="none"/>
                      <w:lang w:val="en-US" w:eastAsia="zh-CN" w:bidi="ar"/>
                    </w:rPr>
                    <w:t>1393</w:t>
                  </w:r>
                </w:p>
              </w:tc>
              <w:tc>
                <w:tcPr>
                  <w:tcW w:w="1037" w:type="dxa"/>
                  <w:vAlign w:val="center"/>
                </w:tcPr>
                <w:p w14:paraId="39CC702B">
                  <w:pPr>
                    <w:keepNext w:val="0"/>
                    <w:keepLines w:val="0"/>
                    <w:pageBreakBefore w:val="0"/>
                    <w:widowControl/>
                    <w:suppressLineNumbers w:val="0"/>
                    <w:shd w:val="clear"/>
                    <w:wordWrap/>
                    <w:overflowPunct/>
                    <w:topLinePunct w:val="0"/>
                    <w:bidi w:val="0"/>
                    <w:spacing w:line="240" w:lineRule="exact"/>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i w:val="0"/>
                      <w:iCs w:val="0"/>
                      <w:snapToGrid w:val="0"/>
                      <w:color w:val="auto"/>
                      <w:kern w:val="0"/>
                      <w:sz w:val="18"/>
                      <w:szCs w:val="18"/>
                      <w:highlight w:val="none"/>
                      <w:u w:val="none"/>
                      <w:lang w:val="en-US" w:eastAsia="zh-CN" w:bidi="ar"/>
                    </w:rPr>
                    <w:t>368</w:t>
                  </w:r>
                </w:p>
              </w:tc>
            </w:tr>
            <w:tr w14:paraId="41704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9" w:hRule="atLeast"/>
              </w:trPr>
              <w:tc>
                <w:tcPr>
                  <w:tcW w:w="222" w:type="pct"/>
                  <w:vAlign w:val="center"/>
                </w:tcPr>
                <w:p w14:paraId="43304E6A">
                  <w:pPr>
                    <w:pStyle w:val="29"/>
                    <w:bidi w:val="0"/>
                    <w:rPr>
                      <w:rFonts w:hint="default"/>
                      <w:color w:val="auto"/>
                      <w:lang w:val="en-US" w:eastAsia="zh-CN"/>
                    </w:rPr>
                  </w:pPr>
                  <w:r>
                    <w:rPr>
                      <w:rFonts w:hint="eastAsia"/>
                      <w:color w:val="auto"/>
                      <w:lang w:val="en-US" w:eastAsia="zh-CN"/>
                    </w:rPr>
                    <w:t>2</w:t>
                  </w:r>
                </w:p>
              </w:tc>
              <w:tc>
                <w:tcPr>
                  <w:tcW w:w="354" w:type="pct"/>
                  <w:vAlign w:val="center"/>
                </w:tcPr>
                <w:p w14:paraId="386E6768">
                  <w:pPr>
                    <w:pStyle w:val="29"/>
                    <w:bidi w:val="0"/>
                    <w:rPr>
                      <w:rFonts w:hint="default"/>
                      <w:color w:val="auto"/>
                      <w:lang w:val="en-US" w:eastAsia="zh-CN"/>
                    </w:rPr>
                  </w:pPr>
                  <w:r>
                    <w:rPr>
                      <w:rFonts w:hint="eastAsia"/>
                      <w:color w:val="auto"/>
                    </w:rPr>
                    <w:t>11404-2#</w:t>
                  </w:r>
                </w:p>
              </w:tc>
              <w:tc>
                <w:tcPr>
                  <w:tcW w:w="708" w:type="pct"/>
                  <w:vAlign w:val="center"/>
                </w:tcPr>
                <w:p w14:paraId="6BBF4D08">
                  <w:pPr>
                    <w:pStyle w:val="29"/>
                    <w:bidi w:val="0"/>
                    <w:rPr>
                      <w:rFonts w:hint="eastAsia"/>
                      <w:color w:val="auto"/>
                      <w:lang w:val="en-US" w:eastAsia="zh-CN"/>
                    </w:rPr>
                  </w:pPr>
                  <w:r>
                    <w:rPr>
                      <w:rFonts w:hint="eastAsia"/>
                      <w:color w:val="auto"/>
                      <w:lang w:eastAsia="zh-CN"/>
                    </w:rPr>
                    <w:t>经度</w:t>
                  </w:r>
                  <w:r>
                    <w:rPr>
                      <w:rFonts w:hint="eastAsia"/>
                      <w:color w:val="auto"/>
                      <w:lang w:val="en-US" w:eastAsia="zh-CN"/>
                    </w:rPr>
                    <w:t>:116.72068145，</w:t>
                  </w:r>
                </w:p>
                <w:p w14:paraId="37374A9A">
                  <w:pPr>
                    <w:pStyle w:val="29"/>
                    <w:bidi w:val="0"/>
                    <w:rPr>
                      <w:color w:val="auto"/>
                    </w:rPr>
                  </w:pPr>
                  <w:r>
                    <w:rPr>
                      <w:rFonts w:hint="eastAsia"/>
                      <w:color w:val="auto"/>
                      <w:lang w:eastAsia="zh-CN"/>
                    </w:rPr>
                    <w:t>纬度：</w:t>
                  </w:r>
                  <w:r>
                    <w:rPr>
                      <w:rFonts w:hint="eastAsia"/>
                      <w:color w:val="auto"/>
                      <w:lang w:val="en-US" w:eastAsia="zh-CN"/>
                    </w:rPr>
                    <w:t>32.88571094</w:t>
                  </w:r>
                </w:p>
              </w:tc>
              <w:tc>
                <w:tcPr>
                  <w:tcW w:w="2610" w:type="pct"/>
                  <w:vAlign w:val="center"/>
                </w:tcPr>
                <w:p w14:paraId="15BDFECE">
                  <w:pPr>
                    <w:pStyle w:val="29"/>
                    <w:bidi w:val="0"/>
                    <w:rPr>
                      <w:rFonts w:hint="eastAsia"/>
                      <w:color w:val="auto"/>
                      <w:lang w:eastAsia="zh-CN"/>
                    </w:rPr>
                  </w:pPr>
                  <w:r>
                    <w:rPr>
                      <w:color w:val="auto"/>
                    </w:rPr>
                    <w:drawing>
                      <wp:inline distT="0" distB="0" distL="114300" distR="114300">
                        <wp:extent cx="3672205" cy="2054225"/>
                        <wp:effectExtent l="0" t="0" r="4445" b="3175"/>
                        <wp:docPr id="6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
                                <pic:cNvPicPr>
                                  <a:picLocks noChangeAspect="1"/>
                                </pic:cNvPicPr>
                              </pic:nvPicPr>
                              <pic:blipFill>
                                <a:blip r:embed="rId8"/>
                                <a:stretch>
                                  <a:fillRect/>
                                </a:stretch>
                              </pic:blipFill>
                              <pic:spPr>
                                <a:xfrm>
                                  <a:off x="0" y="0"/>
                                  <a:ext cx="3672205" cy="2054225"/>
                                </a:xfrm>
                                <a:prstGeom prst="rect">
                                  <a:avLst/>
                                </a:prstGeom>
                                <a:noFill/>
                                <a:ln>
                                  <a:noFill/>
                                </a:ln>
                              </pic:spPr>
                            </pic:pic>
                          </a:graphicData>
                        </a:graphic>
                      </wp:inline>
                    </w:drawing>
                  </w:r>
                </w:p>
              </w:tc>
              <w:tc>
                <w:tcPr>
                  <w:tcW w:w="358" w:type="pct"/>
                  <w:vAlign w:val="center"/>
                </w:tcPr>
                <w:p w14:paraId="08201A09">
                  <w:pPr>
                    <w:bidi w:val="0"/>
                    <w:rPr>
                      <w:rFonts w:hint="eastAsia"/>
                      <w:color w:val="auto"/>
                      <w:sz w:val="18"/>
                      <w:szCs w:val="18"/>
                      <w:lang w:eastAsia="zh-CN"/>
                    </w:rPr>
                  </w:pPr>
                  <w:r>
                    <w:rPr>
                      <w:rFonts w:hint="eastAsia"/>
                      <w:color w:val="auto"/>
                      <w:sz w:val="18"/>
                      <w:szCs w:val="18"/>
                      <w:lang w:val="en-US" w:eastAsia="zh-CN"/>
                    </w:rPr>
                    <w:t>基本农田</w:t>
                  </w:r>
                </w:p>
              </w:tc>
              <w:tc>
                <w:tcPr>
                  <w:tcW w:w="981" w:type="dxa"/>
                  <w:vAlign w:val="center"/>
                </w:tcPr>
                <w:p w14:paraId="0F423956">
                  <w:pPr>
                    <w:keepNext w:val="0"/>
                    <w:keepLines w:val="0"/>
                    <w:pageBreakBefore w:val="0"/>
                    <w:widowControl/>
                    <w:suppressLineNumbers w:val="0"/>
                    <w:shd w:val="clear"/>
                    <w:wordWrap/>
                    <w:overflowPunct/>
                    <w:topLinePunct w:val="0"/>
                    <w:bidi w:val="0"/>
                    <w:spacing w:line="240" w:lineRule="exact"/>
                    <w:jc w:val="center"/>
                    <w:textAlignment w:val="center"/>
                    <w:rPr>
                      <w:rFonts w:hint="default" w:ascii="宋体" w:hAnsi="宋体" w:eastAsia="宋体" w:cs="宋体"/>
                      <w:color w:val="auto"/>
                      <w:sz w:val="18"/>
                      <w:szCs w:val="18"/>
                      <w:lang w:val="en-US" w:eastAsia="zh-CN"/>
                    </w:rPr>
                  </w:pPr>
                  <w:r>
                    <w:rPr>
                      <w:rFonts w:hint="eastAsia" w:ascii="宋体" w:hAnsi="宋体" w:cs="宋体"/>
                      <w:i w:val="0"/>
                      <w:iCs w:val="0"/>
                      <w:snapToGrid w:val="0"/>
                      <w:color w:val="auto"/>
                      <w:kern w:val="0"/>
                      <w:sz w:val="18"/>
                      <w:szCs w:val="18"/>
                      <w:highlight w:val="none"/>
                      <w:u w:val="none"/>
                      <w:lang w:val="en-US" w:eastAsia="zh-CN" w:bidi="ar"/>
                    </w:rPr>
                    <w:t>1991</w:t>
                  </w:r>
                </w:p>
              </w:tc>
              <w:tc>
                <w:tcPr>
                  <w:tcW w:w="1037" w:type="dxa"/>
                  <w:vAlign w:val="center"/>
                </w:tcPr>
                <w:p w14:paraId="7536F6AA">
                  <w:pPr>
                    <w:keepNext w:val="0"/>
                    <w:keepLines w:val="0"/>
                    <w:pageBreakBefore w:val="0"/>
                    <w:widowControl/>
                    <w:suppressLineNumbers w:val="0"/>
                    <w:shd w:val="clear"/>
                    <w:wordWrap/>
                    <w:overflowPunct/>
                    <w:topLinePunct w:val="0"/>
                    <w:bidi w:val="0"/>
                    <w:spacing w:line="240" w:lineRule="exact"/>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i w:val="0"/>
                      <w:iCs w:val="0"/>
                      <w:snapToGrid w:val="0"/>
                      <w:color w:val="auto"/>
                      <w:kern w:val="0"/>
                      <w:sz w:val="18"/>
                      <w:szCs w:val="18"/>
                      <w:highlight w:val="none"/>
                      <w:u w:val="none"/>
                      <w:lang w:val="en-US" w:eastAsia="zh-CN" w:bidi="ar"/>
                    </w:rPr>
                    <w:t>523</w:t>
                  </w:r>
                </w:p>
              </w:tc>
            </w:tr>
            <w:tr w14:paraId="13711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3" w:hRule="atLeast"/>
              </w:trPr>
              <w:tc>
                <w:tcPr>
                  <w:tcW w:w="222" w:type="pct"/>
                  <w:vAlign w:val="center"/>
                </w:tcPr>
                <w:p w14:paraId="6F3F33B3">
                  <w:pPr>
                    <w:pStyle w:val="29"/>
                    <w:bidi w:val="0"/>
                    <w:rPr>
                      <w:rFonts w:hint="default"/>
                      <w:color w:val="auto"/>
                      <w:lang w:val="en-US" w:eastAsia="zh-CN"/>
                    </w:rPr>
                  </w:pPr>
                  <w:r>
                    <w:rPr>
                      <w:rFonts w:hint="eastAsia"/>
                      <w:color w:val="auto"/>
                      <w:lang w:val="en-US" w:eastAsia="zh-CN"/>
                    </w:rPr>
                    <w:t>3</w:t>
                  </w:r>
                </w:p>
              </w:tc>
              <w:tc>
                <w:tcPr>
                  <w:tcW w:w="354" w:type="pct"/>
                  <w:vAlign w:val="center"/>
                </w:tcPr>
                <w:p w14:paraId="41EE01A8">
                  <w:pPr>
                    <w:pStyle w:val="29"/>
                    <w:bidi w:val="0"/>
                    <w:rPr>
                      <w:rFonts w:hint="default"/>
                      <w:color w:val="auto"/>
                      <w:lang w:val="en-US" w:eastAsia="zh-CN"/>
                    </w:rPr>
                  </w:pPr>
                  <w:r>
                    <w:rPr>
                      <w:rFonts w:hint="eastAsia"/>
                      <w:color w:val="auto"/>
                    </w:rPr>
                    <w:t>11404-3#</w:t>
                  </w:r>
                </w:p>
              </w:tc>
              <w:tc>
                <w:tcPr>
                  <w:tcW w:w="708" w:type="pct"/>
                  <w:vAlign w:val="center"/>
                </w:tcPr>
                <w:p w14:paraId="1C1C32A4">
                  <w:pPr>
                    <w:pStyle w:val="29"/>
                    <w:bidi w:val="0"/>
                    <w:rPr>
                      <w:rFonts w:hint="eastAsia"/>
                      <w:color w:val="auto"/>
                      <w:lang w:val="en-US" w:eastAsia="zh-CN"/>
                    </w:rPr>
                  </w:pPr>
                  <w:r>
                    <w:rPr>
                      <w:rFonts w:hint="eastAsia"/>
                      <w:color w:val="auto"/>
                      <w:lang w:eastAsia="zh-CN"/>
                    </w:rPr>
                    <w:t>经度</w:t>
                  </w:r>
                  <w:r>
                    <w:rPr>
                      <w:rFonts w:hint="eastAsia"/>
                      <w:color w:val="auto"/>
                      <w:lang w:val="en-US" w:eastAsia="zh-CN"/>
                    </w:rPr>
                    <w:t>:116.72066752，</w:t>
                  </w:r>
                </w:p>
                <w:p w14:paraId="4AD99BFA">
                  <w:pPr>
                    <w:pStyle w:val="29"/>
                    <w:bidi w:val="0"/>
                    <w:rPr>
                      <w:rFonts w:hint="eastAsia"/>
                      <w:color w:val="auto"/>
                      <w:lang w:eastAsia="zh-CN"/>
                    </w:rPr>
                  </w:pPr>
                  <w:r>
                    <w:rPr>
                      <w:rFonts w:hint="eastAsia"/>
                      <w:color w:val="auto"/>
                      <w:lang w:val="en-US" w:eastAsia="zh-CN"/>
                    </w:rPr>
                    <w:t>纬度32.88673933</w:t>
                  </w:r>
                </w:p>
              </w:tc>
              <w:tc>
                <w:tcPr>
                  <w:tcW w:w="2610" w:type="pct"/>
                  <w:vAlign w:val="center"/>
                </w:tcPr>
                <w:p w14:paraId="386BB6D2">
                  <w:pPr>
                    <w:pStyle w:val="29"/>
                    <w:bidi w:val="0"/>
                    <w:rPr>
                      <w:rFonts w:hint="eastAsia"/>
                      <w:color w:val="auto"/>
                      <w:lang w:eastAsia="zh-CN"/>
                    </w:rPr>
                  </w:pPr>
                  <w:r>
                    <w:rPr>
                      <w:color w:val="auto"/>
                    </w:rPr>
                    <w:drawing>
                      <wp:inline distT="0" distB="0" distL="114300" distR="114300">
                        <wp:extent cx="3542030" cy="2388235"/>
                        <wp:effectExtent l="0" t="0" r="1270" b="12065"/>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9"/>
                                <a:stretch>
                                  <a:fillRect/>
                                </a:stretch>
                              </pic:blipFill>
                              <pic:spPr>
                                <a:xfrm>
                                  <a:off x="0" y="0"/>
                                  <a:ext cx="3542030" cy="2388235"/>
                                </a:xfrm>
                                <a:prstGeom prst="rect">
                                  <a:avLst/>
                                </a:prstGeom>
                                <a:noFill/>
                                <a:ln>
                                  <a:noFill/>
                                </a:ln>
                              </pic:spPr>
                            </pic:pic>
                          </a:graphicData>
                        </a:graphic>
                      </wp:inline>
                    </w:drawing>
                  </w:r>
                </w:p>
              </w:tc>
              <w:tc>
                <w:tcPr>
                  <w:tcW w:w="358" w:type="pct"/>
                  <w:vAlign w:val="center"/>
                </w:tcPr>
                <w:p w14:paraId="5CF96BD0">
                  <w:pPr>
                    <w:bidi w:val="0"/>
                    <w:rPr>
                      <w:color w:val="auto"/>
                      <w:sz w:val="18"/>
                      <w:szCs w:val="18"/>
                    </w:rPr>
                  </w:pPr>
                  <w:r>
                    <w:rPr>
                      <w:rFonts w:hint="eastAsia"/>
                      <w:color w:val="auto"/>
                      <w:sz w:val="18"/>
                      <w:szCs w:val="18"/>
                      <w:lang w:val="en-US" w:eastAsia="zh-CN"/>
                    </w:rPr>
                    <w:t>基本农田</w:t>
                  </w:r>
                </w:p>
              </w:tc>
              <w:tc>
                <w:tcPr>
                  <w:tcW w:w="981" w:type="dxa"/>
                  <w:vAlign w:val="center"/>
                </w:tcPr>
                <w:p w14:paraId="5FFF8419">
                  <w:pPr>
                    <w:keepNext w:val="0"/>
                    <w:keepLines w:val="0"/>
                    <w:pageBreakBefore w:val="0"/>
                    <w:widowControl/>
                    <w:suppressLineNumbers w:val="0"/>
                    <w:shd w:val="clear"/>
                    <w:wordWrap/>
                    <w:overflowPunct/>
                    <w:topLinePunct w:val="0"/>
                    <w:bidi w:val="0"/>
                    <w:spacing w:line="240" w:lineRule="exact"/>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i w:val="0"/>
                      <w:iCs w:val="0"/>
                      <w:snapToGrid w:val="0"/>
                      <w:color w:val="auto"/>
                      <w:kern w:val="0"/>
                      <w:sz w:val="18"/>
                      <w:szCs w:val="18"/>
                      <w:highlight w:val="none"/>
                      <w:u w:val="none"/>
                      <w:lang w:val="en-US" w:eastAsia="zh-CN" w:bidi="ar"/>
                    </w:rPr>
                    <w:t>1647</w:t>
                  </w:r>
                </w:p>
              </w:tc>
              <w:tc>
                <w:tcPr>
                  <w:tcW w:w="1037" w:type="dxa"/>
                  <w:vAlign w:val="center"/>
                </w:tcPr>
                <w:p w14:paraId="3A370F1B">
                  <w:pPr>
                    <w:keepNext w:val="0"/>
                    <w:keepLines w:val="0"/>
                    <w:pageBreakBefore w:val="0"/>
                    <w:widowControl/>
                    <w:suppressLineNumbers w:val="0"/>
                    <w:shd w:val="clear"/>
                    <w:wordWrap/>
                    <w:overflowPunct/>
                    <w:topLinePunct w:val="0"/>
                    <w:bidi w:val="0"/>
                    <w:spacing w:line="240" w:lineRule="exact"/>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i w:val="0"/>
                      <w:iCs w:val="0"/>
                      <w:snapToGrid w:val="0"/>
                      <w:color w:val="auto"/>
                      <w:kern w:val="0"/>
                      <w:sz w:val="18"/>
                      <w:szCs w:val="18"/>
                      <w:highlight w:val="none"/>
                      <w:u w:val="none"/>
                      <w:lang w:val="en-US" w:eastAsia="zh-CN" w:bidi="ar"/>
                    </w:rPr>
                    <w:t>435</w:t>
                  </w:r>
                </w:p>
              </w:tc>
            </w:tr>
            <w:tr w14:paraId="0472E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0" w:hRule="atLeast"/>
              </w:trPr>
              <w:tc>
                <w:tcPr>
                  <w:tcW w:w="222" w:type="pct"/>
                  <w:vAlign w:val="center"/>
                </w:tcPr>
                <w:p w14:paraId="2495802E">
                  <w:pPr>
                    <w:pStyle w:val="29"/>
                    <w:bidi w:val="0"/>
                    <w:rPr>
                      <w:rFonts w:hint="default"/>
                      <w:color w:val="auto"/>
                      <w:lang w:val="en-US" w:eastAsia="zh-CN"/>
                    </w:rPr>
                  </w:pPr>
                  <w:r>
                    <w:rPr>
                      <w:rFonts w:hint="eastAsia"/>
                      <w:color w:val="auto"/>
                      <w:lang w:val="en-US" w:eastAsia="zh-CN"/>
                    </w:rPr>
                    <w:t>4</w:t>
                  </w:r>
                </w:p>
              </w:tc>
              <w:tc>
                <w:tcPr>
                  <w:tcW w:w="354" w:type="pct"/>
                  <w:vAlign w:val="center"/>
                </w:tcPr>
                <w:p w14:paraId="6F93A627">
                  <w:pPr>
                    <w:pStyle w:val="29"/>
                    <w:bidi w:val="0"/>
                    <w:rPr>
                      <w:rFonts w:hint="default"/>
                      <w:color w:val="auto"/>
                      <w:lang w:val="en-US" w:eastAsia="zh-CN"/>
                    </w:rPr>
                  </w:pPr>
                  <w:r>
                    <w:rPr>
                      <w:rFonts w:hint="eastAsia"/>
                      <w:color w:val="auto"/>
                    </w:rPr>
                    <w:t>11404-4#</w:t>
                  </w:r>
                </w:p>
              </w:tc>
              <w:tc>
                <w:tcPr>
                  <w:tcW w:w="708" w:type="pct"/>
                  <w:vAlign w:val="center"/>
                </w:tcPr>
                <w:p w14:paraId="6A4A55D5">
                  <w:pPr>
                    <w:pStyle w:val="29"/>
                    <w:bidi w:val="0"/>
                    <w:rPr>
                      <w:rFonts w:hint="eastAsia"/>
                      <w:color w:val="auto"/>
                      <w:lang w:eastAsia="zh-CN"/>
                    </w:rPr>
                  </w:pPr>
                  <w:r>
                    <w:rPr>
                      <w:rFonts w:hint="eastAsia"/>
                      <w:color w:val="auto"/>
                      <w:lang w:eastAsia="zh-CN"/>
                    </w:rPr>
                    <w:t>经度116.72110757，</w:t>
                  </w:r>
                </w:p>
                <w:p w14:paraId="20F7F642">
                  <w:pPr>
                    <w:pStyle w:val="29"/>
                    <w:bidi w:val="0"/>
                    <w:rPr>
                      <w:color w:val="auto"/>
                    </w:rPr>
                  </w:pPr>
                  <w:r>
                    <w:rPr>
                      <w:rFonts w:hint="eastAsia"/>
                      <w:color w:val="auto"/>
                      <w:lang w:eastAsia="zh-CN"/>
                    </w:rPr>
                    <w:t>纬度32.88821192</w:t>
                  </w:r>
                </w:p>
              </w:tc>
              <w:tc>
                <w:tcPr>
                  <w:tcW w:w="2610" w:type="pct"/>
                  <w:vAlign w:val="center"/>
                </w:tcPr>
                <w:p w14:paraId="3253A9EA">
                  <w:pPr>
                    <w:pStyle w:val="29"/>
                    <w:bidi w:val="0"/>
                    <w:rPr>
                      <w:rFonts w:hint="eastAsia"/>
                      <w:color w:val="auto"/>
                      <w:lang w:eastAsia="zh-CN"/>
                    </w:rPr>
                  </w:pPr>
                  <w:r>
                    <w:rPr>
                      <w:color w:val="auto"/>
                    </w:rPr>
                    <w:drawing>
                      <wp:inline distT="0" distB="0" distL="114300" distR="114300">
                        <wp:extent cx="3609340" cy="2513965"/>
                        <wp:effectExtent l="0" t="0" r="10160" b="635"/>
                        <wp:docPr id="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pic:cNvPicPr>
                                  <a:picLocks noChangeAspect="1"/>
                                </pic:cNvPicPr>
                              </pic:nvPicPr>
                              <pic:blipFill>
                                <a:blip r:embed="rId10"/>
                                <a:stretch>
                                  <a:fillRect/>
                                </a:stretch>
                              </pic:blipFill>
                              <pic:spPr>
                                <a:xfrm>
                                  <a:off x="0" y="0"/>
                                  <a:ext cx="3609340" cy="2513965"/>
                                </a:xfrm>
                                <a:prstGeom prst="rect">
                                  <a:avLst/>
                                </a:prstGeom>
                                <a:noFill/>
                                <a:ln>
                                  <a:noFill/>
                                </a:ln>
                              </pic:spPr>
                            </pic:pic>
                          </a:graphicData>
                        </a:graphic>
                      </wp:inline>
                    </w:drawing>
                  </w:r>
                </w:p>
              </w:tc>
              <w:tc>
                <w:tcPr>
                  <w:tcW w:w="358" w:type="pct"/>
                  <w:vAlign w:val="center"/>
                </w:tcPr>
                <w:p w14:paraId="531EDF20">
                  <w:pPr>
                    <w:bidi w:val="0"/>
                    <w:rPr>
                      <w:color w:val="auto"/>
                      <w:sz w:val="18"/>
                      <w:szCs w:val="18"/>
                    </w:rPr>
                  </w:pPr>
                  <w:r>
                    <w:rPr>
                      <w:rFonts w:hint="eastAsia"/>
                      <w:color w:val="auto"/>
                      <w:sz w:val="18"/>
                      <w:szCs w:val="18"/>
                      <w:lang w:val="en-US" w:eastAsia="zh-CN"/>
                    </w:rPr>
                    <w:t>基本农田</w:t>
                  </w:r>
                </w:p>
              </w:tc>
              <w:tc>
                <w:tcPr>
                  <w:tcW w:w="981" w:type="dxa"/>
                  <w:vAlign w:val="center"/>
                </w:tcPr>
                <w:p w14:paraId="2D4B56C2">
                  <w:pPr>
                    <w:keepNext w:val="0"/>
                    <w:keepLines w:val="0"/>
                    <w:pageBreakBefore w:val="0"/>
                    <w:widowControl/>
                    <w:suppressLineNumbers w:val="0"/>
                    <w:shd w:val="clear"/>
                    <w:wordWrap/>
                    <w:overflowPunct/>
                    <w:topLinePunct w:val="0"/>
                    <w:bidi w:val="0"/>
                    <w:spacing w:line="240" w:lineRule="exact"/>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i w:val="0"/>
                      <w:iCs w:val="0"/>
                      <w:snapToGrid w:val="0"/>
                      <w:color w:val="auto"/>
                      <w:kern w:val="0"/>
                      <w:sz w:val="18"/>
                      <w:szCs w:val="18"/>
                      <w:highlight w:val="none"/>
                      <w:u w:val="none"/>
                      <w:lang w:val="en-US" w:eastAsia="zh-CN" w:bidi="ar"/>
                    </w:rPr>
                    <w:t>1523</w:t>
                  </w:r>
                </w:p>
              </w:tc>
              <w:tc>
                <w:tcPr>
                  <w:tcW w:w="1037" w:type="dxa"/>
                  <w:vAlign w:val="center"/>
                </w:tcPr>
                <w:p w14:paraId="2DD2E1CA">
                  <w:pPr>
                    <w:keepNext w:val="0"/>
                    <w:keepLines w:val="0"/>
                    <w:pageBreakBefore w:val="0"/>
                    <w:widowControl/>
                    <w:suppressLineNumbers w:val="0"/>
                    <w:shd w:val="clear"/>
                    <w:wordWrap/>
                    <w:overflowPunct/>
                    <w:topLinePunct w:val="0"/>
                    <w:bidi w:val="0"/>
                    <w:spacing w:line="240" w:lineRule="exact"/>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i w:val="0"/>
                      <w:iCs w:val="0"/>
                      <w:snapToGrid w:val="0"/>
                      <w:color w:val="auto"/>
                      <w:kern w:val="0"/>
                      <w:sz w:val="18"/>
                      <w:szCs w:val="18"/>
                      <w:highlight w:val="none"/>
                      <w:u w:val="none"/>
                      <w:lang w:val="en-US" w:eastAsia="zh-CN" w:bidi="ar"/>
                    </w:rPr>
                    <w:t>402</w:t>
                  </w:r>
                </w:p>
              </w:tc>
            </w:tr>
            <w:tr w14:paraId="5BFD5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8" w:hRule="atLeast"/>
              </w:trPr>
              <w:tc>
                <w:tcPr>
                  <w:tcW w:w="222" w:type="pct"/>
                  <w:vAlign w:val="center"/>
                </w:tcPr>
                <w:p w14:paraId="4C5448B5">
                  <w:pPr>
                    <w:pStyle w:val="29"/>
                    <w:bidi w:val="0"/>
                    <w:rPr>
                      <w:rFonts w:hint="default"/>
                      <w:color w:val="auto"/>
                      <w:lang w:val="en-US" w:eastAsia="zh-CN"/>
                    </w:rPr>
                  </w:pPr>
                  <w:r>
                    <w:rPr>
                      <w:rFonts w:hint="eastAsia"/>
                      <w:color w:val="auto"/>
                      <w:lang w:val="en-US" w:eastAsia="zh-CN"/>
                    </w:rPr>
                    <w:t>5</w:t>
                  </w:r>
                </w:p>
              </w:tc>
              <w:tc>
                <w:tcPr>
                  <w:tcW w:w="354" w:type="pct"/>
                  <w:vAlign w:val="center"/>
                </w:tcPr>
                <w:p w14:paraId="786E41FD">
                  <w:pPr>
                    <w:pStyle w:val="29"/>
                    <w:bidi w:val="0"/>
                    <w:rPr>
                      <w:rFonts w:hint="default"/>
                      <w:color w:val="auto"/>
                      <w:lang w:val="en-US" w:eastAsia="zh-CN"/>
                    </w:rPr>
                  </w:pPr>
                  <w:r>
                    <w:rPr>
                      <w:rFonts w:hint="eastAsia"/>
                      <w:color w:val="auto"/>
                    </w:rPr>
                    <w:t>11404-5#</w:t>
                  </w:r>
                </w:p>
              </w:tc>
              <w:tc>
                <w:tcPr>
                  <w:tcW w:w="708" w:type="pct"/>
                  <w:vAlign w:val="center"/>
                </w:tcPr>
                <w:p w14:paraId="7EF8B9D3">
                  <w:pPr>
                    <w:pStyle w:val="29"/>
                    <w:bidi w:val="0"/>
                    <w:rPr>
                      <w:rFonts w:hint="default"/>
                      <w:color w:val="auto"/>
                      <w:lang w:val="en-US" w:eastAsia="zh-CN"/>
                    </w:rPr>
                  </w:pPr>
                  <w:r>
                    <w:rPr>
                      <w:rFonts w:hint="eastAsia"/>
                      <w:color w:val="auto"/>
                      <w:lang w:eastAsia="zh-CN"/>
                    </w:rPr>
                    <w:t>经度</w:t>
                  </w:r>
                  <w:r>
                    <w:rPr>
                      <w:rFonts w:hint="eastAsia"/>
                      <w:color w:val="auto"/>
                      <w:lang w:val="en-US" w:eastAsia="zh-CN"/>
                    </w:rPr>
                    <w:t>:116.72121591，</w:t>
                  </w:r>
                </w:p>
                <w:p w14:paraId="29CB720F">
                  <w:pPr>
                    <w:pStyle w:val="29"/>
                    <w:bidi w:val="0"/>
                    <w:rPr>
                      <w:color w:val="auto"/>
                    </w:rPr>
                  </w:pPr>
                  <w:r>
                    <w:rPr>
                      <w:rFonts w:hint="eastAsia"/>
                      <w:color w:val="auto"/>
                      <w:lang w:eastAsia="zh-CN"/>
                    </w:rPr>
                    <w:t>纬度：</w:t>
                  </w:r>
                  <w:r>
                    <w:rPr>
                      <w:rFonts w:hint="eastAsia"/>
                      <w:color w:val="auto"/>
                      <w:lang w:val="en-US" w:eastAsia="zh-CN"/>
                    </w:rPr>
                    <w:t>32.88947380</w:t>
                  </w:r>
                </w:p>
              </w:tc>
              <w:tc>
                <w:tcPr>
                  <w:tcW w:w="2610" w:type="pct"/>
                  <w:vAlign w:val="center"/>
                </w:tcPr>
                <w:p w14:paraId="216A2F4C">
                  <w:pPr>
                    <w:pStyle w:val="29"/>
                    <w:bidi w:val="0"/>
                    <w:rPr>
                      <w:rFonts w:hint="eastAsia"/>
                      <w:color w:val="auto"/>
                      <w:lang w:eastAsia="zh-CN"/>
                    </w:rPr>
                  </w:pPr>
                  <w:r>
                    <w:rPr>
                      <w:color w:val="auto"/>
                    </w:rPr>
                    <w:drawing>
                      <wp:inline distT="0" distB="0" distL="114300" distR="114300">
                        <wp:extent cx="3681095" cy="2275205"/>
                        <wp:effectExtent l="0" t="0" r="14605" b="10795"/>
                        <wp:docPr id="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
                                <pic:cNvPicPr>
                                  <a:picLocks noChangeAspect="1"/>
                                </pic:cNvPicPr>
                              </pic:nvPicPr>
                              <pic:blipFill>
                                <a:blip r:embed="rId11"/>
                                <a:stretch>
                                  <a:fillRect/>
                                </a:stretch>
                              </pic:blipFill>
                              <pic:spPr>
                                <a:xfrm>
                                  <a:off x="0" y="0"/>
                                  <a:ext cx="3681095" cy="2275205"/>
                                </a:xfrm>
                                <a:prstGeom prst="rect">
                                  <a:avLst/>
                                </a:prstGeom>
                                <a:noFill/>
                                <a:ln>
                                  <a:noFill/>
                                </a:ln>
                              </pic:spPr>
                            </pic:pic>
                          </a:graphicData>
                        </a:graphic>
                      </wp:inline>
                    </w:drawing>
                  </w:r>
                </w:p>
              </w:tc>
              <w:tc>
                <w:tcPr>
                  <w:tcW w:w="358" w:type="pct"/>
                  <w:vAlign w:val="center"/>
                </w:tcPr>
                <w:p w14:paraId="2ECFD98E">
                  <w:pPr>
                    <w:bidi w:val="0"/>
                    <w:rPr>
                      <w:color w:val="auto"/>
                      <w:sz w:val="18"/>
                      <w:szCs w:val="18"/>
                    </w:rPr>
                  </w:pPr>
                  <w:r>
                    <w:rPr>
                      <w:rFonts w:hint="eastAsia"/>
                      <w:color w:val="auto"/>
                      <w:sz w:val="18"/>
                      <w:szCs w:val="18"/>
                      <w:lang w:val="en-US" w:eastAsia="zh-CN"/>
                    </w:rPr>
                    <w:t>基本农田</w:t>
                  </w:r>
                </w:p>
              </w:tc>
              <w:tc>
                <w:tcPr>
                  <w:tcW w:w="981" w:type="dxa"/>
                  <w:vAlign w:val="center"/>
                </w:tcPr>
                <w:p w14:paraId="28D9DDB0">
                  <w:pPr>
                    <w:keepNext w:val="0"/>
                    <w:keepLines w:val="0"/>
                    <w:pageBreakBefore w:val="0"/>
                    <w:widowControl/>
                    <w:suppressLineNumbers w:val="0"/>
                    <w:shd w:val="clear"/>
                    <w:wordWrap/>
                    <w:overflowPunct/>
                    <w:topLinePunct w:val="0"/>
                    <w:bidi w:val="0"/>
                    <w:spacing w:line="240" w:lineRule="exact"/>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i w:val="0"/>
                      <w:iCs w:val="0"/>
                      <w:snapToGrid w:val="0"/>
                      <w:color w:val="auto"/>
                      <w:kern w:val="0"/>
                      <w:sz w:val="18"/>
                      <w:szCs w:val="18"/>
                      <w:highlight w:val="none"/>
                      <w:u w:val="none"/>
                      <w:lang w:val="en-US" w:eastAsia="zh-CN" w:bidi="ar"/>
                    </w:rPr>
                    <w:t>1654</w:t>
                  </w:r>
                </w:p>
              </w:tc>
              <w:tc>
                <w:tcPr>
                  <w:tcW w:w="1037" w:type="dxa"/>
                  <w:vAlign w:val="center"/>
                </w:tcPr>
                <w:p w14:paraId="4DF0FA00">
                  <w:pPr>
                    <w:keepNext w:val="0"/>
                    <w:keepLines w:val="0"/>
                    <w:pageBreakBefore w:val="0"/>
                    <w:widowControl/>
                    <w:suppressLineNumbers w:val="0"/>
                    <w:shd w:val="clear"/>
                    <w:wordWrap/>
                    <w:overflowPunct/>
                    <w:topLinePunct w:val="0"/>
                    <w:bidi w:val="0"/>
                    <w:spacing w:line="240" w:lineRule="exact"/>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i w:val="0"/>
                      <w:iCs w:val="0"/>
                      <w:snapToGrid w:val="0"/>
                      <w:color w:val="auto"/>
                      <w:kern w:val="0"/>
                      <w:sz w:val="18"/>
                      <w:szCs w:val="18"/>
                      <w:highlight w:val="none"/>
                      <w:u w:val="none"/>
                      <w:lang w:val="en-US" w:eastAsia="zh-CN" w:bidi="ar"/>
                    </w:rPr>
                    <w:t xml:space="preserve">437 </w:t>
                  </w:r>
                </w:p>
              </w:tc>
            </w:tr>
            <w:tr w14:paraId="44752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 w:type="pct"/>
                  <w:vAlign w:val="center"/>
                </w:tcPr>
                <w:p w14:paraId="347ABE4A">
                  <w:pPr>
                    <w:pStyle w:val="29"/>
                    <w:bidi w:val="0"/>
                    <w:rPr>
                      <w:rFonts w:hint="default"/>
                      <w:color w:val="auto"/>
                      <w:lang w:val="en-US" w:eastAsia="zh-CN"/>
                    </w:rPr>
                  </w:pPr>
                  <w:r>
                    <w:rPr>
                      <w:rFonts w:hint="eastAsia"/>
                      <w:color w:val="auto"/>
                      <w:lang w:val="en-US" w:eastAsia="zh-CN"/>
                    </w:rPr>
                    <w:t>6</w:t>
                  </w:r>
                </w:p>
              </w:tc>
              <w:tc>
                <w:tcPr>
                  <w:tcW w:w="354" w:type="pct"/>
                  <w:vAlign w:val="center"/>
                </w:tcPr>
                <w:p w14:paraId="3FE5B606">
                  <w:pPr>
                    <w:pStyle w:val="29"/>
                    <w:bidi w:val="0"/>
                    <w:rPr>
                      <w:rFonts w:hint="default"/>
                      <w:color w:val="auto"/>
                      <w:lang w:val="en-US" w:eastAsia="zh-CN"/>
                    </w:rPr>
                  </w:pPr>
                  <w:r>
                    <w:rPr>
                      <w:rFonts w:hint="eastAsia"/>
                      <w:color w:val="auto"/>
                    </w:rPr>
                    <w:t>11404-6#</w:t>
                  </w:r>
                </w:p>
              </w:tc>
              <w:tc>
                <w:tcPr>
                  <w:tcW w:w="708" w:type="pct"/>
                  <w:vAlign w:val="center"/>
                </w:tcPr>
                <w:p w14:paraId="66F59227">
                  <w:pPr>
                    <w:pStyle w:val="29"/>
                    <w:bidi w:val="0"/>
                    <w:rPr>
                      <w:color w:val="auto"/>
                    </w:rPr>
                  </w:pPr>
                  <w:r>
                    <w:rPr>
                      <w:rFonts w:hint="eastAsia"/>
                      <w:color w:val="auto"/>
                      <w:lang w:eastAsia="zh-CN"/>
                    </w:rPr>
                    <w:t>经度</w:t>
                  </w:r>
                  <w:r>
                    <w:rPr>
                      <w:rFonts w:hint="eastAsia"/>
                      <w:color w:val="auto"/>
                      <w:lang w:val="en-US" w:eastAsia="zh-CN"/>
                    </w:rPr>
                    <w:t>:</w:t>
                  </w:r>
                  <w:r>
                    <w:rPr>
                      <w:rFonts w:hint="eastAsia"/>
                      <w:color w:val="auto"/>
                    </w:rPr>
                    <w:t>116.72139150，</w:t>
                  </w:r>
                  <w:r>
                    <w:rPr>
                      <w:rFonts w:hint="eastAsia"/>
                      <w:color w:val="auto"/>
                      <w:lang w:val="en-US" w:eastAsia="zh-CN"/>
                    </w:rPr>
                    <w:t>纬度:</w:t>
                  </w:r>
                  <w:r>
                    <w:rPr>
                      <w:rFonts w:hint="eastAsia"/>
                      <w:color w:val="auto"/>
                    </w:rPr>
                    <w:t>32.89072741</w:t>
                  </w:r>
                </w:p>
              </w:tc>
              <w:tc>
                <w:tcPr>
                  <w:tcW w:w="2610" w:type="pct"/>
                  <w:vAlign w:val="center"/>
                </w:tcPr>
                <w:p w14:paraId="2EF744BC">
                  <w:pPr>
                    <w:pStyle w:val="29"/>
                    <w:bidi w:val="0"/>
                    <w:rPr>
                      <w:rFonts w:hint="eastAsia"/>
                      <w:color w:val="auto"/>
                      <w:lang w:eastAsia="zh-CN"/>
                    </w:rPr>
                  </w:pPr>
                  <w:r>
                    <w:rPr>
                      <w:color w:val="auto"/>
                    </w:rPr>
                    <w:drawing>
                      <wp:inline distT="0" distB="0" distL="114300" distR="114300">
                        <wp:extent cx="3660140" cy="2460625"/>
                        <wp:effectExtent l="0" t="0" r="16510" b="15875"/>
                        <wp:docPr id="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
                                <pic:cNvPicPr>
                                  <a:picLocks noChangeAspect="1"/>
                                </pic:cNvPicPr>
                              </pic:nvPicPr>
                              <pic:blipFill>
                                <a:blip r:embed="rId12"/>
                                <a:stretch>
                                  <a:fillRect/>
                                </a:stretch>
                              </pic:blipFill>
                              <pic:spPr>
                                <a:xfrm>
                                  <a:off x="0" y="0"/>
                                  <a:ext cx="3660140" cy="2460625"/>
                                </a:xfrm>
                                <a:prstGeom prst="rect">
                                  <a:avLst/>
                                </a:prstGeom>
                                <a:noFill/>
                                <a:ln>
                                  <a:noFill/>
                                </a:ln>
                              </pic:spPr>
                            </pic:pic>
                          </a:graphicData>
                        </a:graphic>
                      </wp:inline>
                    </w:drawing>
                  </w:r>
                </w:p>
              </w:tc>
              <w:tc>
                <w:tcPr>
                  <w:tcW w:w="358" w:type="pct"/>
                  <w:vAlign w:val="center"/>
                </w:tcPr>
                <w:p w14:paraId="3EFFD2C2">
                  <w:pPr>
                    <w:bidi w:val="0"/>
                    <w:rPr>
                      <w:color w:val="auto"/>
                      <w:sz w:val="18"/>
                      <w:szCs w:val="18"/>
                    </w:rPr>
                  </w:pPr>
                  <w:r>
                    <w:rPr>
                      <w:rFonts w:hint="eastAsia"/>
                      <w:color w:val="auto"/>
                      <w:sz w:val="18"/>
                      <w:szCs w:val="18"/>
                      <w:lang w:val="en-US" w:eastAsia="zh-CN"/>
                    </w:rPr>
                    <w:t>基本农田</w:t>
                  </w:r>
                </w:p>
              </w:tc>
              <w:tc>
                <w:tcPr>
                  <w:tcW w:w="981" w:type="dxa"/>
                  <w:vAlign w:val="center"/>
                </w:tcPr>
                <w:p w14:paraId="36E4B901">
                  <w:pPr>
                    <w:keepNext w:val="0"/>
                    <w:keepLines w:val="0"/>
                    <w:pageBreakBefore w:val="0"/>
                    <w:widowControl/>
                    <w:suppressLineNumbers w:val="0"/>
                    <w:shd w:val="clear"/>
                    <w:wordWrap/>
                    <w:overflowPunct/>
                    <w:topLinePunct w:val="0"/>
                    <w:bidi w:val="0"/>
                    <w:spacing w:line="240" w:lineRule="exact"/>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i w:val="0"/>
                      <w:iCs w:val="0"/>
                      <w:snapToGrid w:val="0"/>
                      <w:color w:val="auto"/>
                      <w:kern w:val="0"/>
                      <w:sz w:val="18"/>
                      <w:szCs w:val="18"/>
                      <w:highlight w:val="none"/>
                      <w:u w:val="none"/>
                      <w:lang w:val="en-US" w:eastAsia="zh-CN" w:bidi="ar"/>
                    </w:rPr>
                    <w:t>1660</w:t>
                  </w:r>
                </w:p>
              </w:tc>
              <w:tc>
                <w:tcPr>
                  <w:tcW w:w="1037" w:type="dxa"/>
                  <w:vAlign w:val="center"/>
                </w:tcPr>
                <w:p w14:paraId="44F8134E">
                  <w:pPr>
                    <w:keepNext w:val="0"/>
                    <w:keepLines w:val="0"/>
                    <w:pageBreakBefore w:val="0"/>
                    <w:widowControl/>
                    <w:suppressLineNumbers w:val="0"/>
                    <w:shd w:val="clear"/>
                    <w:wordWrap/>
                    <w:overflowPunct/>
                    <w:topLinePunct w:val="0"/>
                    <w:bidi w:val="0"/>
                    <w:spacing w:line="240" w:lineRule="exact"/>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i w:val="0"/>
                      <w:iCs w:val="0"/>
                      <w:snapToGrid w:val="0"/>
                      <w:color w:val="auto"/>
                      <w:kern w:val="0"/>
                      <w:sz w:val="18"/>
                      <w:szCs w:val="18"/>
                      <w:highlight w:val="none"/>
                      <w:u w:val="none"/>
                      <w:lang w:val="en-US" w:eastAsia="zh-CN" w:bidi="ar"/>
                    </w:rPr>
                    <w:t xml:space="preserve">438 </w:t>
                  </w:r>
                </w:p>
              </w:tc>
            </w:tr>
            <w:tr w14:paraId="1B199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 w:type="pct"/>
                  <w:vAlign w:val="center"/>
                </w:tcPr>
                <w:p w14:paraId="00A8B5E1">
                  <w:pPr>
                    <w:pStyle w:val="29"/>
                    <w:bidi w:val="0"/>
                    <w:rPr>
                      <w:rFonts w:hint="default"/>
                      <w:color w:val="auto"/>
                      <w:lang w:val="en-US" w:eastAsia="zh-CN"/>
                    </w:rPr>
                  </w:pPr>
                  <w:r>
                    <w:rPr>
                      <w:rFonts w:hint="eastAsia"/>
                      <w:color w:val="auto"/>
                      <w:lang w:val="en-US" w:eastAsia="zh-CN"/>
                    </w:rPr>
                    <w:t>7</w:t>
                  </w:r>
                </w:p>
              </w:tc>
              <w:tc>
                <w:tcPr>
                  <w:tcW w:w="354" w:type="pct"/>
                  <w:vAlign w:val="center"/>
                </w:tcPr>
                <w:p w14:paraId="796EBE4E">
                  <w:pPr>
                    <w:pStyle w:val="29"/>
                    <w:bidi w:val="0"/>
                    <w:rPr>
                      <w:rFonts w:hint="default"/>
                      <w:color w:val="auto"/>
                      <w:lang w:val="en-US" w:eastAsia="zh-CN"/>
                    </w:rPr>
                  </w:pPr>
                  <w:r>
                    <w:rPr>
                      <w:rFonts w:hint="eastAsia"/>
                      <w:color w:val="auto"/>
                    </w:rPr>
                    <w:t>11404-7#</w:t>
                  </w:r>
                </w:p>
              </w:tc>
              <w:tc>
                <w:tcPr>
                  <w:tcW w:w="708" w:type="pct"/>
                  <w:vAlign w:val="center"/>
                </w:tcPr>
                <w:p w14:paraId="0D5EF66D">
                  <w:pPr>
                    <w:pStyle w:val="29"/>
                    <w:bidi w:val="0"/>
                    <w:rPr>
                      <w:rFonts w:hint="eastAsia"/>
                      <w:color w:val="auto"/>
                      <w:lang w:val="en-US" w:eastAsia="zh-CN"/>
                    </w:rPr>
                  </w:pPr>
                  <w:r>
                    <w:rPr>
                      <w:rFonts w:hint="eastAsia"/>
                      <w:color w:val="auto"/>
                      <w:lang w:eastAsia="zh-CN"/>
                    </w:rPr>
                    <w:t>经度</w:t>
                  </w:r>
                  <w:r>
                    <w:rPr>
                      <w:rFonts w:hint="eastAsia"/>
                      <w:color w:val="auto"/>
                      <w:lang w:val="en-US" w:eastAsia="zh-CN"/>
                    </w:rPr>
                    <w:t>:116.72157440</w:t>
                  </w:r>
                  <w:r>
                    <w:rPr>
                      <w:rFonts w:hint="eastAsia"/>
                      <w:color w:val="auto"/>
                      <w:lang w:eastAsia="zh-CN"/>
                    </w:rPr>
                    <w:t>，</w:t>
                  </w:r>
                </w:p>
                <w:p w14:paraId="19DA6807">
                  <w:pPr>
                    <w:pStyle w:val="29"/>
                    <w:bidi w:val="0"/>
                    <w:rPr>
                      <w:color w:val="auto"/>
                    </w:rPr>
                  </w:pPr>
                  <w:r>
                    <w:rPr>
                      <w:rFonts w:hint="eastAsia"/>
                      <w:color w:val="auto"/>
                      <w:lang w:val="en-US" w:eastAsia="zh-CN"/>
                    </w:rPr>
                    <w:t>纬度:</w:t>
                  </w:r>
                  <w:r>
                    <w:rPr>
                      <w:rFonts w:hint="eastAsia"/>
                      <w:color w:val="auto"/>
                      <w:lang w:eastAsia="zh-CN"/>
                    </w:rPr>
                    <w:t>32.89198169</w:t>
                  </w:r>
                </w:p>
              </w:tc>
              <w:tc>
                <w:tcPr>
                  <w:tcW w:w="2610" w:type="pct"/>
                  <w:vAlign w:val="center"/>
                </w:tcPr>
                <w:p w14:paraId="01F99A69">
                  <w:pPr>
                    <w:pStyle w:val="29"/>
                    <w:bidi w:val="0"/>
                    <w:rPr>
                      <w:rFonts w:hint="eastAsia"/>
                      <w:color w:val="auto"/>
                      <w:lang w:eastAsia="zh-CN"/>
                    </w:rPr>
                  </w:pPr>
                  <w:r>
                    <w:rPr>
                      <w:color w:val="auto"/>
                    </w:rPr>
                    <w:drawing>
                      <wp:inline distT="0" distB="0" distL="114300" distR="114300">
                        <wp:extent cx="3406140" cy="2379980"/>
                        <wp:effectExtent l="0" t="0" r="3810" b="1270"/>
                        <wp:docPr id="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
                                <pic:cNvPicPr>
                                  <a:picLocks noChangeAspect="1"/>
                                </pic:cNvPicPr>
                              </pic:nvPicPr>
                              <pic:blipFill>
                                <a:blip r:embed="rId13"/>
                                <a:stretch>
                                  <a:fillRect/>
                                </a:stretch>
                              </pic:blipFill>
                              <pic:spPr>
                                <a:xfrm>
                                  <a:off x="0" y="0"/>
                                  <a:ext cx="3406140" cy="2379980"/>
                                </a:xfrm>
                                <a:prstGeom prst="rect">
                                  <a:avLst/>
                                </a:prstGeom>
                                <a:noFill/>
                                <a:ln>
                                  <a:noFill/>
                                </a:ln>
                              </pic:spPr>
                            </pic:pic>
                          </a:graphicData>
                        </a:graphic>
                      </wp:inline>
                    </w:drawing>
                  </w:r>
                </w:p>
              </w:tc>
              <w:tc>
                <w:tcPr>
                  <w:tcW w:w="358" w:type="pct"/>
                  <w:vAlign w:val="center"/>
                </w:tcPr>
                <w:p w14:paraId="1E082DBE">
                  <w:pPr>
                    <w:bidi w:val="0"/>
                    <w:rPr>
                      <w:color w:val="auto"/>
                      <w:sz w:val="18"/>
                      <w:szCs w:val="18"/>
                    </w:rPr>
                  </w:pPr>
                  <w:r>
                    <w:rPr>
                      <w:rFonts w:hint="eastAsia"/>
                      <w:color w:val="auto"/>
                      <w:sz w:val="18"/>
                      <w:szCs w:val="18"/>
                      <w:lang w:val="en-US" w:eastAsia="zh-CN"/>
                    </w:rPr>
                    <w:t>基本农田</w:t>
                  </w:r>
                </w:p>
              </w:tc>
              <w:tc>
                <w:tcPr>
                  <w:tcW w:w="981" w:type="dxa"/>
                  <w:vAlign w:val="center"/>
                </w:tcPr>
                <w:p w14:paraId="32B71C45">
                  <w:pPr>
                    <w:keepNext w:val="0"/>
                    <w:keepLines w:val="0"/>
                    <w:pageBreakBefore w:val="0"/>
                    <w:widowControl/>
                    <w:suppressLineNumbers w:val="0"/>
                    <w:shd w:val="clear"/>
                    <w:wordWrap/>
                    <w:overflowPunct/>
                    <w:topLinePunct w:val="0"/>
                    <w:bidi w:val="0"/>
                    <w:spacing w:line="240" w:lineRule="exact"/>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i w:val="0"/>
                      <w:iCs w:val="0"/>
                      <w:snapToGrid w:val="0"/>
                      <w:color w:val="auto"/>
                      <w:kern w:val="0"/>
                      <w:sz w:val="18"/>
                      <w:szCs w:val="18"/>
                      <w:highlight w:val="none"/>
                      <w:u w:val="none"/>
                      <w:lang w:val="en-US" w:eastAsia="zh-CN" w:bidi="ar"/>
                    </w:rPr>
                    <w:t>1642</w:t>
                  </w:r>
                </w:p>
              </w:tc>
              <w:tc>
                <w:tcPr>
                  <w:tcW w:w="1037" w:type="dxa"/>
                  <w:vAlign w:val="center"/>
                </w:tcPr>
                <w:p w14:paraId="78857EC8">
                  <w:pPr>
                    <w:keepNext w:val="0"/>
                    <w:keepLines w:val="0"/>
                    <w:pageBreakBefore w:val="0"/>
                    <w:widowControl/>
                    <w:suppressLineNumbers w:val="0"/>
                    <w:shd w:val="clear"/>
                    <w:wordWrap/>
                    <w:overflowPunct/>
                    <w:topLinePunct w:val="0"/>
                    <w:bidi w:val="0"/>
                    <w:spacing w:line="240" w:lineRule="exact"/>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i w:val="0"/>
                      <w:iCs w:val="0"/>
                      <w:snapToGrid w:val="0"/>
                      <w:color w:val="auto"/>
                      <w:kern w:val="0"/>
                      <w:sz w:val="18"/>
                      <w:szCs w:val="18"/>
                      <w:highlight w:val="none"/>
                      <w:u w:val="none"/>
                      <w:lang w:val="en-US" w:eastAsia="zh-CN" w:bidi="ar"/>
                    </w:rPr>
                    <w:t>434</w:t>
                  </w:r>
                </w:p>
              </w:tc>
            </w:tr>
            <w:tr w14:paraId="46E10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5" w:hRule="atLeast"/>
              </w:trPr>
              <w:tc>
                <w:tcPr>
                  <w:tcW w:w="222" w:type="pct"/>
                  <w:vAlign w:val="center"/>
                </w:tcPr>
                <w:p w14:paraId="533C4940">
                  <w:pPr>
                    <w:pStyle w:val="29"/>
                    <w:bidi w:val="0"/>
                    <w:rPr>
                      <w:rFonts w:hint="default"/>
                      <w:color w:val="auto"/>
                      <w:lang w:val="en-US" w:eastAsia="zh-CN"/>
                    </w:rPr>
                  </w:pPr>
                  <w:r>
                    <w:rPr>
                      <w:rFonts w:hint="eastAsia"/>
                      <w:color w:val="auto"/>
                      <w:lang w:val="en-US" w:eastAsia="zh-CN"/>
                    </w:rPr>
                    <w:t>8</w:t>
                  </w:r>
                </w:p>
              </w:tc>
              <w:tc>
                <w:tcPr>
                  <w:tcW w:w="354" w:type="pct"/>
                  <w:vAlign w:val="center"/>
                </w:tcPr>
                <w:p w14:paraId="61B390A8">
                  <w:pPr>
                    <w:pStyle w:val="29"/>
                    <w:bidi w:val="0"/>
                    <w:rPr>
                      <w:rFonts w:hint="default"/>
                      <w:color w:val="auto"/>
                      <w:lang w:val="en-US" w:eastAsia="zh-CN"/>
                    </w:rPr>
                  </w:pPr>
                  <w:r>
                    <w:rPr>
                      <w:rFonts w:hint="eastAsia"/>
                      <w:color w:val="auto"/>
                    </w:rPr>
                    <w:t>11404-8#</w:t>
                  </w:r>
                </w:p>
              </w:tc>
              <w:tc>
                <w:tcPr>
                  <w:tcW w:w="708" w:type="pct"/>
                  <w:shd w:val="clear" w:color="auto" w:fill="auto"/>
                  <w:vAlign w:val="center"/>
                </w:tcPr>
                <w:p w14:paraId="13D5D1F1">
                  <w:pPr>
                    <w:pStyle w:val="29"/>
                    <w:bidi w:val="0"/>
                    <w:rPr>
                      <w:rFonts w:hint="eastAsia"/>
                      <w:color w:val="auto"/>
                      <w:lang w:val="en-US" w:eastAsia="zh-CN"/>
                    </w:rPr>
                  </w:pPr>
                  <w:r>
                    <w:rPr>
                      <w:rFonts w:hint="eastAsia"/>
                      <w:color w:val="auto"/>
                      <w:lang w:eastAsia="zh-CN"/>
                    </w:rPr>
                    <w:t>经度</w:t>
                  </w:r>
                  <w:r>
                    <w:rPr>
                      <w:rFonts w:hint="eastAsia"/>
                      <w:color w:val="auto"/>
                      <w:lang w:val="en-US" w:eastAsia="zh-CN"/>
                    </w:rPr>
                    <w:t>:116.72175111，</w:t>
                  </w:r>
                </w:p>
                <w:p w14:paraId="00C6C14F">
                  <w:pPr>
                    <w:pStyle w:val="29"/>
                    <w:bidi w:val="0"/>
                    <w:rPr>
                      <w:color w:val="auto"/>
                      <w:lang w:val="en-US" w:eastAsia="zh-CN"/>
                    </w:rPr>
                  </w:pPr>
                  <w:r>
                    <w:rPr>
                      <w:rFonts w:hint="eastAsia"/>
                      <w:color w:val="auto"/>
                      <w:lang w:val="en-US" w:eastAsia="zh-CN"/>
                    </w:rPr>
                    <w:t>纬度:32.89323654</w:t>
                  </w:r>
                </w:p>
              </w:tc>
              <w:tc>
                <w:tcPr>
                  <w:tcW w:w="2610" w:type="pct"/>
                  <w:vAlign w:val="center"/>
                </w:tcPr>
                <w:p w14:paraId="3F031830">
                  <w:pPr>
                    <w:pStyle w:val="29"/>
                    <w:bidi w:val="0"/>
                    <w:rPr>
                      <w:rFonts w:hint="eastAsia"/>
                      <w:color w:val="auto"/>
                      <w:lang w:eastAsia="zh-CN"/>
                    </w:rPr>
                  </w:pPr>
                  <w:r>
                    <w:rPr>
                      <w:color w:val="auto"/>
                    </w:rPr>
                    <w:drawing>
                      <wp:inline distT="0" distB="0" distL="114300" distR="114300">
                        <wp:extent cx="3403600" cy="2585720"/>
                        <wp:effectExtent l="0" t="0" r="6350" b="5080"/>
                        <wp:docPr id="5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8"/>
                                <pic:cNvPicPr>
                                  <a:picLocks noChangeAspect="1"/>
                                </pic:cNvPicPr>
                              </pic:nvPicPr>
                              <pic:blipFill>
                                <a:blip r:embed="rId14"/>
                                <a:stretch>
                                  <a:fillRect/>
                                </a:stretch>
                              </pic:blipFill>
                              <pic:spPr>
                                <a:xfrm>
                                  <a:off x="0" y="0"/>
                                  <a:ext cx="3403600" cy="2585720"/>
                                </a:xfrm>
                                <a:prstGeom prst="rect">
                                  <a:avLst/>
                                </a:prstGeom>
                                <a:noFill/>
                                <a:ln>
                                  <a:noFill/>
                                </a:ln>
                              </pic:spPr>
                            </pic:pic>
                          </a:graphicData>
                        </a:graphic>
                      </wp:inline>
                    </w:drawing>
                  </w:r>
                </w:p>
              </w:tc>
              <w:tc>
                <w:tcPr>
                  <w:tcW w:w="358" w:type="pct"/>
                  <w:vAlign w:val="center"/>
                </w:tcPr>
                <w:p w14:paraId="7A4B20BB">
                  <w:pPr>
                    <w:bidi w:val="0"/>
                    <w:rPr>
                      <w:color w:val="auto"/>
                      <w:sz w:val="18"/>
                      <w:szCs w:val="18"/>
                    </w:rPr>
                  </w:pPr>
                  <w:r>
                    <w:rPr>
                      <w:rFonts w:hint="eastAsia"/>
                      <w:color w:val="auto"/>
                      <w:sz w:val="18"/>
                      <w:szCs w:val="18"/>
                      <w:lang w:val="en-US" w:eastAsia="zh-CN"/>
                    </w:rPr>
                    <w:t>基本农田</w:t>
                  </w:r>
                </w:p>
              </w:tc>
              <w:tc>
                <w:tcPr>
                  <w:tcW w:w="981" w:type="dxa"/>
                  <w:vAlign w:val="center"/>
                </w:tcPr>
                <w:p w14:paraId="0122E547">
                  <w:pPr>
                    <w:keepNext w:val="0"/>
                    <w:keepLines w:val="0"/>
                    <w:pageBreakBefore w:val="0"/>
                    <w:widowControl/>
                    <w:suppressLineNumbers w:val="0"/>
                    <w:shd w:val="clear"/>
                    <w:wordWrap/>
                    <w:overflowPunct/>
                    <w:topLinePunct w:val="0"/>
                    <w:bidi w:val="0"/>
                    <w:spacing w:line="240" w:lineRule="exact"/>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i w:val="0"/>
                      <w:iCs w:val="0"/>
                      <w:snapToGrid w:val="0"/>
                      <w:color w:val="auto"/>
                      <w:kern w:val="0"/>
                      <w:sz w:val="18"/>
                      <w:szCs w:val="18"/>
                      <w:highlight w:val="none"/>
                      <w:u w:val="none"/>
                      <w:lang w:val="en-US" w:eastAsia="zh-CN" w:bidi="ar"/>
                    </w:rPr>
                    <w:t>1624</w:t>
                  </w:r>
                </w:p>
              </w:tc>
              <w:tc>
                <w:tcPr>
                  <w:tcW w:w="1037" w:type="dxa"/>
                  <w:vAlign w:val="center"/>
                </w:tcPr>
                <w:p w14:paraId="35880DC4">
                  <w:pPr>
                    <w:keepNext w:val="0"/>
                    <w:keepLines w:val="0"/>
                    <w:pageBreakBefore w:val="0"/>
                    <w:widowControl/>
                    <w:suppressLineNumbers w:val="0"/>
                    <w:shd w:val="clear"/>
                    <w:wordWrap/>
                    <w:overflowPunct/>
                    <w:topLinePunct w:val="0"/>
                    <w:bidi w:val="0"/>
                    <w:spacing w:line="240" w:lineRule="exact"/>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i w:val="0"/>
                      <w:iCs w:val="0"/>
                      <w:snapToGrid w:val="0"/>
                      <w:color w:val="auto"/>
                      <w:kern w:val="0"/>
                      <w:sz w:val="18"/>
                      <w:szCs w:val="18"/>
                      <w:highlight w:val="none"/>
                      <w:u w:val="none"/>
                      <w:lang w:val="en-US" w:eastAsia="zh-CN" w:bidi="ar"/>
                    </w:rPr>
                    <w:t>429</w:t>
                  </w:r>
                </w:p>
              </w:tc>
            </w:tr>
            <w:tr w14:paraId="5D648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9" w:hRule="atLeast"/>
              </w:trPr>
              <w:tc>
                <w:tcPr>
                  <w:tcW w:w="222" w:type="pct"/>
                  <w:vAlign w:val="center"/>
                </w:tcPr>
                <w:p w14:paraId="2B9F7FEA">
                  <w:pPr>
                    <w:pStyle w:val="29"/>
                    <w:bidi w:val="0"/>
                    <w:rPr>
                      <w:rFonts w:hint="default"/>
                      <w:color w:val="auto"/>
                      <w:lang w:val="en-US" w:eastAsia="zh-CN"/>
                    </w:rPr>
                  </w:pPr>
                  <w:r>
                    <w:rPr>
                      <w:rFonts w:hint="eastAsia"/>
                      <w:color w:val="auto"/>
                      <w:lang w:val="en-US" w:eastAsia="zh-CN"/>
                    </w:rPr>
                    <w:t>9</w:t>
                  </w:r>
                </w:p>
              </w:tc>
              <w:tc>
                <w:tcPr>
                  <w:tcW w:w="354" w:type="pct"/>
                  <w:vAlign w:val="center"/>
                </w:tcPr>
                <w:p w14:paraId="599DC068">
                  <w:pPr>
                    <w:pStyle w:val="29"/>
                    <w:bidi w:val="0"/>
                    <w:rPr>
                      <w:rFonts w:hint="default"/>
                      <w:color w:val="auto"/>
                      <w:lang w:val="en-US" w:eastAsia="zh-CN"/>
                    </w:rPr>
                  </w:pPr>
                  <w:r>
                    <w:rPr>
                      <w:rFonts w:hint="eastAsia"/>
                      <w:color w:val="auto"/>
                    </w:rPr>
                    <w:t>11404-9#</w:t>
                  </w:r>
                </w:p>
              </w:tc>
              <w:tc>
                <w:tcPr>
                  <w:tcW w:w="708" w:type="pct"/>
                  <w:shd w:val="clear" w:color="auto" w:fill="auto"/>
                  <w:vAlign w:val="center"/>
                </w:tcPr>
                <w:p w14:paraId="55617E15">
                  <w:pPr>
                    <w:pStyle w:val="29"/>
                    <w:bidi w:val="0"/>
                    <w:rPr>
                      <w:color w:val="auto"/>
                      <w:lang w:val="en-US" w:eastAsia="zh-CN"/>
                    </w:rPr>
                  </w:pPr>
                  <w:r>
                    <w:rPr>
                      <w:rFonts w:hint="eastAsia"/>
                      <w:color w:val="auto"/>
                      <w:lang w:eastAsia="zh-CN"/>
                    </w:rPr>
                    <w:t>经度</w:t>
                  </w:r>
                  <w:r>
                    <w:rPr>
                      <w:rFonts w:hint="eastAsia"/>
                      <w:color w:val="auto"/>
                      <w:lang w:val="en-US" w:eastAsia="zh-CN"/>
                    </w:rPr>
                    <w:t>:116.72192066，纬度:32.89449022</w:t>
                  </w:r>
                </w:p>
              </w:tc>
              <w:tc>
                <w:tcPr>
                  <w:tcW w:w="2610" w:type="pct"/>
                  <w:vAlign w:val="center"/>
                </w:tcPr>
                <w:p w14:paraId="076722EF">
                  <w:pPr>
                    <w:pStyle w:val="29"/>
                    <w:bidi w:val="0"/>
                    <w:rPr>
                      <w:rFonts w:hint="eastAsia"/>
                      <w:color w:val="auto"/>
                      <w:lang w:eastAsia="zh-CN"/>
                    </w:rPr>
                  </w:pPr>
                  <w:r>
                    <w:rPr>
                      <w:color w:val="auto"/>
                    </w:rPr>
                    <w:drawing>
                      <wp:inline distT="0" distB="0" distL="114300" distR="114300">
                        <wp:extent cx="3605530" cy="2296795"/>
                        <wp:effectExtent l="0" t="0" r="13970" b="8255"/>
                        <wp:docPr id="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9"/>
                                <pic:cNvPicPr>
                                  <a:picLocks noChangeAspect="1"/>
                                </pic:cNvPicPr>
                              </pic:nvPicPr>
                              <pic:blipFill>
                                <a:blip r:embed="rId15"/>
                                <a:stretch>
                                  <a:fillRect/>
                                </a:stretch>
                              </pic:blipFill>
                              <pic:spPr>
                                <a:xfrm>
                                  <a:off x="0" y="0"/>
                                  <a:ext cx="3605530" cy="2296795"/>
                                </a:xfrm>
                                <a:prstGeom prst="rect">
                                  <a:avLst/>
                                </a:prstGeom>
                                <a:noFill/>
                                <a:ln>
                                  <a:noFill/>
                                </a:ln>
                              </pic:spPr>
                            </pic:pic>
                          </a:graphicData>
                        </a:graphic>
                      </wp:inline>
                    </w:drawing>
                  </w:r>
                </w:p>
              </w:tc>
              <w:tc>
                <w:tcPr>
                  <w:tcW w:w="358" w:type="pct"/>
                  <w:vAlign w:val="center"/>
                </w:tcPr>
                <w:p w14:paraId="01FEDA89">
                  <w:pPr>
                    <w:bidi w:val="0"/>
                    <w:rPr>
                      <w:rFonts w:hint="eastAsia"/>
                      <w:color w:val="auto"/>
                      <w:sz w:val="18"/>
                      <w:szCs w:val="18"/>
                      <w:lang w:eastAsia="zh-CN"/>
                    </w:rPr>
                  </w:pPr>
                  <w:r>
                    <w:rPr>
                      <w:rFonts w:hint="eastAsia"/>
                      <w:color w:val="auto"/>
                      <w:sz w:val="18"/>
                      <w:szCs w:val="18"/>
                      <w:lang w:val="en-US" w:eastAsia="zh-CN"/>
                    </w:rPr>
                    <w:t>基本农田</w:t>
                  </w:r>
                </w:p>
              </w:tc>
              <w:tc>
                <w:tcPr>
                  <w:tcW w:w="981" w:type="dxa"/>
                  <w:vAlign w:val="center"/>
                </w:tcPr>
                <w:p w14:paraId="1C3EBC95">
                  <w:pPr>
                    <w:keepNext w:val="0"/>
                    <w:keepLines w:val="0"/>
                    <w:pageBreakBefore w:val="0"/>
                    <w:widowControl/>
                    <w:suppressLineNumbers w:val="0"/>
                    <w:shd w:val="clear"/>
                    <w:wordWrap/>
                    <w:overflowPunct/>
                    <w:topLinePunct w:val="0"/>
                    <w:bidi w:val="0"/>
                    <w:spacing w:line="240" w:lineRule="exact"/>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i w:val="0"/>
                      <w:iCs w:val="0"/>
                      <w:snapToGrid w:val="0"/>
                      <w:color w:val="auto"/>
                      <w:kern w:val="0"/>
                      <w:sz w:val="18"/>
                      <w:szCs w:val="18"/>
                      <w:highlight w:val="none"/>
                      <w:u w:val="none"/>
                      <w:lang w:val="en-US" w:eastAsia="zh-CN" w:bidi="ar"/>
                    </w:rPr>
                    <w:t>1544</w:t>
                  </w:r>
                </w:p>
              </w:tc>
              <w:tc>
                <w:tcPr>
                  <w:tcW w:w="1037" w:type="dxa"/>
                  <w:vAlign w:val="center"/>
                </w:tcPr>
                <w:p w14:paraId="4A3C6476">
                  <w:pPr>
                    <w:keepNext w:val="0"/>
                    <w:keepLines w:val="0"/>
                    <w:pageBreakBefore w:val="0"/>
                    <w:widowControl/>
                    <w:suppressLineNumbers w:val="0"/>
                    <w:shd w:val="clear"/>
                    <w:wordWrap/>
                    <w:overflowPunct/>
                    <w:topLinePunct w:val="0"/>
                    <w:bidi w:val="0"/>
                    <w:spacing w:line="240" w:lineRule="exact"/>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i w:val="0"/>
                      <w:iCs w:val="0"/>
                      <w:snapToGrid w:val="0"/>
                      <w:color w:val="auto"/>
                      <w:kern w:val="0"/>
                      <w:sz w:val="18"/>
                      <w:szCs w:val="18"/>
                      <w:highlight w:val="none"/>
                      <w:u w:val="none"/>
                      <w:lang w:val="en-US" w:eastAsia="zh-CN" w:bidi="ar"/>
                    </w:rPr>
                    <w:t>408</w:t>
                  </w:r>
                </w:p>
              </w:tc>
            </w:tr>
            <w:tr w14:paraId="43193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2" w:hRule="atLeast"/>
              </w:trPr>
              <w:tc>
                <w:tcPr>
                  <w:tcW w:w="222" w:type="pct"/>
                  <w:vAlign w:val="center"/>
                </w:tcPr>
                <w:p w14:paraId="1D55E7EC">
                  <w:pPr>
                    <w:pStyle w:val="29"/>
                    <w:bidi w:val="0"/>
                    <w:rPr>
                      <w:rFonts w:hint="default"/>
                      <w:color w:val="auto"/>
                      <w:lang w:val="en-US" w:eastAsia="zh-CN"/>
                    </w:rPr>
                  </w:pPr>
                  <w:r>
                    <w:rPr>
                      <w:rFonts w:hint="eastAsia"/>
                      <w:color w:val="auto"/>
                      <w:lang w:val="en-US" w:eastAsia="zh-CN"/>
                    </w:rPr>
                    <w:t>10</w:t>
                  </w:r>
                </w:p>
              </w:tc>
              <w:tc>
                <w:tcPr>
                  <w:tcW w:w="354" w:type="pct"/>
                  <w:vAlign w:val="center"/>
                </w:tcPr>
                <w:p w14:paraId="3E9C2EAA">
                  <w:pPr>
                    <w:pStyle w:val="29"/>
                    <w:bidi w:val="0"/>
                    <w:rPr>
                      <w:rFonts w:hint="default"/>
                      <w:color w:val="auto"/>
                      <w:lang w:val="en-US" w:eastAsia="zh-CN"/>
                    </w:rPr>
                  </w:pPr>
                  <w:r>
                    <w:rPr>
                      <w:rFonts w:hint="eastAsia"/>
                      <w:color w:val="auto"/>
                    </w:rPr>
                    <w:t>11404-10#</w:t>
                  </w:r>
                </w:p>
              </w:tc>
              <w:tc>
                <w:tcPr>
                  <w:tcW w:w="708" w:type="pct"/>
                  <w:shd w:val="clear" w:color="auto" w:fill="auto"/>
                  <w:vAlign w:val="center"/>
                </w:tcPr>
                <w:p w14:paraId="7E197B7A">
                  <w:pPr>
                    <w:pStyle w:val="29"/>
                    <w:bidi w:val="0"/>
                    <w:rPr>
                      <w:rFonts w:hint="eastAsia"/>
                      <w:color w:val="auto"/>
                      <w:lang w:val="en-US" w:eastAsia="zh-CN"/>
                    </w:rPr>
                  </w:pPr>
                  <w:r>
                    <w:rPr>
                      <w:rFonts w:hint="eastAsia"/>
                      <w:color w:val="auto"/>
                      <w:lang w:eastAsia="zh-CN"/>
                    </w:rPr>
                    <w:t>经度</w:t>
                  </w:r>
                  <w:r>
                    <w:rPr>
                      <w:rFonts w:hint="eastAsia"/>
                      <w:color w:val="auto"/>
                      <w:lang w:val="en-US" w:eastAsia="zh-CN"/>
                    </w:rPr>
                    <w:t>:116.72209292，</w:t>
                  </w:r>
                </w:p>
                <w:p w14:paraId="2E4354E5">
                  <w:pPr>
                    <w:pStyle w:val="29"/>
                    <w:bidi w:val="0"/>
                    <w:rPr>
                      <w:color w:val="auto"/>
                      <w:lang w:val="en-US" w:eastAsia="zh-CN"/>
                    </w:rPr>
                  </w:pPr>
                  <w:r>
                    <w:rPr>
                      <w:rFonts w:hint="eastAsia"/>
                      <w:color w:val="auto"/>
                      <w:lang w:val="en-US" w:eastAsia="zh-CN"/>
                    </w:rPr>
                    <w:t>纬度:32.89574541</w:t>
                  </w:r>
                </w:p>
              </w:tc>
              <w:tc>
                <w:tcPr>
                  <w:tcW w:w="2610" w:type="pct"/>
                  <w:vAlign w:val="center"/>
                </w:tcPr>
                <w:p w14:paraId="346A99B9">
                  <w:pPr>
                    <w:pStyle w:val="29"/>
                    <w:bidi w:val="0"/>
                    <w:rPr>
                      <w:rFonts w:hint="eastAsia"/>
                      <w:color w:val="auto"/>
                      <w:lang w:eastAsia="zh-CN"/>
                    </w:rPr>
                  </w:pPr>
                  <w:r>
                    <w:rPr>
                      <w:color w:val="auto"/>
                    </w:rPr>
                    <w:drawing>
                      <wp:inline distT="0" distB="0" distL="114300" distR="114300">
                        <wp:extent cx="3571875" cy="2597785"/>
                        <wp:effectExtent l="0" t="0" r="9525" b="12065"/>
                        <wp:docPr id="5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0"/>
                                <pic:cNvPicPr>
                                  <a:picLocks noChangeAspect="1"/>
                                </pic:cNvPicPr>
                              </pic:nvPicPr>
                              <pic:blipFill>
                                <a:blip r:embed="rId16"/>
                                <a:stretch>
                                  <a:fillRect/>
                                </a:stretch>
                              </pic:blipFill>
                              <pic:spPr>
                                <a:xfrm>
                                  <a:off x="0" y="0"/>
                                  <a:ext cx="3571875" cy="2597785"/>
                                </a:xfrm>
                                <a:prstGeom prst="rect">
                                  <a:avLst/>
                                </a:prstGeom>
                                <a:noFill/>
                                <a:ln>
                                  <a:noFill/>
                                </a:ln>
                              </pic:spPr>
                            </pic:pic>
                          </a:graphicData>
                        </a:graphic>
                      </wp:inline>
                    </w:drawing>
                  </w:r>
                </w:p>
              </w:tc>
              <w:tc>
                <w:tcPr>
                  <w:tcW w:w="358" w:type="pct"/>
                  <w:vAlign w:val="center"/>
                </w:tcPr>
                <w:p w14:paraId="0CB7DC56">
                  <w:pPr>
                    <w:bidi w:val="0"/>
                    <w:rPr>
                      <w:rFonts w:hint="eastAsia"/>
                      <w:color w:val="auto"/>
                      <w:sz w:val="18"/>
                      <w:szCs w:val="18"/>
                      <w:lang w:eastAsia="zh-CN"/>
                    </w:rPr>
                  </w:pPr>
                  <w:r>
                    <w:rPr>
                      <w:rFonts w:hint="eastAsia"/>
                      <w:color w:val="auto"/>
                      <w:sz w:val="18"/>
                      <w:szCs w:val="18"/>
                      <w:lang w:val="en-US" w:eastAsia="zh-CN"/>
                    </w:rPr>
                    <w:t>基本农田</w:t>
                  </w:r>
                </w:p>
              </w:tc>
              <w:tc>
                <w:tcPr>
                  <w:tcW w:w="981" w:type="dxa"/>
                  <w:vAlign w:val="center"/>
                </w:tcPr>
                <w:p w14:paraId="0DC7445D">
                  <w:pPr>
                    <w:keepNext w:val="0"/>
                    <w:keepLines w:val="0"/>
                    <w:pageBreakBefore w:val="0"/>
                    <w:widowControl/>
                    <w:suppressLineNumbers w:val="0"/>
                    <w:shd w:val="clear"/>
                    <w:wordWrap/>
                    <w:overflowPunct/>
                    <w:topLinePunct w:val="0"/>
                    <w:bidi w:val="0"/>
                    <w:spacing w:line="240" w:lineRule="exact"/>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i w:val="0"/>
                      <w:iCs w:val="0"/>
                      <w:snapToGrid w:val="0"/>
                      <w:color w:val="auto"/>
                      <w:kern w:val="0"/>
                      <w:sz w:val="18"/>
                      <w:szCs w:val="18"/>
                      <w:highlight w:val="none"/>
                      <w:u w:val="none"/>
                      <w:lang w:val="en-US" w:eastAsia="zh-CN" w:bidi="ar"/>
                    </w:rPr>
                    <w:t>1536</w:t>
                  </w:r>
                </w:p>
              </w:tc>
              <w:tc>
                <w:tcPr>
                  <w:tcW w:w="1037" w:type="dxa"/>
                  <w:vAlign w:val="center"/>
                </w:tcPr>
                <w:p w14:paraId="08FCD81B">
                  <w:pPr>
                    <w:keepNext w:val="0"/>
                    <w:keepLines w:val="0"/>
                    <w:pageBreakBefore w:val="0"/>
                    <w:widowControl/>
                    <w:suppressLineNumbers w:val="0"/>
                    <w:shd w:val="clear"/>
                    <w:wordWrap/>
                    <w:overflowPunct/>
                    <w:topLinePunct w:val="0"/>
                    <w:bidi w:val="0"/>
                    <w:spacing w:line="240" w:lineRule="exact"/>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i w:val="0"/>
                      <w:iCs w:val="0"/>
                      <w:snapToGrid w:val="0"/>
                      <w:color w:val="auto"/>
                      <w:kern w:val="0"/>
                      <w:sz w:val="18"/>
                      <w:szCs w:val="18"/>
                      <w:highlight w:val="none"/>
                      <w:u w:val="none"/>
                      <w:lang w:val="en-US" w:eastAsia="zh-CN" w:bidi="ar"/>
                    </w:rPr>
                    <w:t>406</w:t>
                  </w:r>
                </w:p>
              </w:tc>
            </w:tr>
            <w:tr w14:paraId="73AE4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4" w:hRule="atLeast"/>
              </w:trPr>
              <w:tc>
                <w:tcPr>
                  <w:tcW w:w="222" w:type="pct"/>
                  <w:vAlign w:val="center"/>
                </w:tcPr>
                <w:p w14:paraId="328D4264">
                  <w:pPr>
                    <w:pStyle w:val="29"/>
                    <w:bidi w:val="0"/>
                    <w:rPr>
                      <w:rFonts w:hint="default"/>
                      <w:color w:val="auto"/>
                      <w:lang w:val="en-US" w:eastAsia="zh-CN"/>
                    </w:rPr>
                  </w:pPr>
                  <w:r>
                    <w:rPr>
                      <w:rFonts w:hint="eastAsia"/>
                      <w:color w:val="auto"/>
                      <w:lang w:val="en-US" w:eastAsia="zh-CN"/>
                    </w:rPr>
                    <w:t>11</w:t>
                  </w:r>
                </w:p>
              </w:tc>
              <w:tc>
                <w:tcPr>
                  <w:tcW w:w="354" w:type="pct"/>
                  <w:vAlign w:val="center"/>
                </w:tcPr>
                <w:p w14:paraId="6368899E">
                  <w:pPr>
                    <w:pStyle w:val="29"/>
                    <w:bidi w:val="0"/>
                    <w:rPr>
                      <w:rFonts w:hint="default"/>
                      <w:color w:val="auto"/>
                      <w:lang w:val="en-US" w:eastAsia="zh-CN"/>
                    </w:rPr>
                  </w:pPr>
                  <w:r>
                    <w:rPr>
                      <w:rFonts w:hint="eastAsia"/>
                      <w:color w:val="auto"/>
                    </w:rPr>
                    <w:t>11404-11#</w:t>
                  </w:r>
                </w:p>
              </w:tc>
              <w:tc>
                <w:tcPr>
                  <w:tcW w:w="708" w:type="pct"/>
                  <w:shd w:val="clear" w:color="auto" w:fill="auto"/>
                  <w:vAlign w:val="center"/>
                </w:tcPr>
                <w:p w14:paraId="553FCAA6">
                  <w:pPr>
                    <w:pStyle w:val="29"/>
                    <w:bidi w:val="0"/>
                    <w:rPr>
                      <w:rFonts w:hint="eastAsia"/>
                      <w:color w:val="auto"/>
                      <w:lang w:val="en-US" w:eastAsia="zh-CN"/>
                    </w:rPr>
                  </w:pPr>
                  <w:r>
                    <w:rPr>
                      <w:rFonts w:hint="eastAsia"/>
                      <w:color w:val="auto"/>
                      <w:lang w:eastAsia="zh-CN"/>
                    </w:rPr>
                    <w:t>经度</w:t>
                  </w:r>
                  <w:r>
                    <w:rPr>
                      <w:rFonts w:hint="eastAsia"/>
                      <w:color w:val="auto"/>
                      <w:lang w:val="en-US" w:eastAsia="zh-CN"/>
                    </w:rPr>
                    <w:t>:116.72228864，</w:t>
                  </w:r>
                </w:p>
                <w:p w14:paraId="1B894782">
                  <w:pPr>
                    <w:pStyle w:val="29"/>
                    <w:bidi w:val="0"/>
                    <w:rPr>
                      <w:color w:val="auto"/>
                      <w:lang w:val="en-US" w:eastAsia="zh-CN"/>
                    </w:rPr>
                  </w:pPr>
                  <w:r>
                    <w:rPr>
                      <w:rFonts w:hint="eastAsia"/>
                      <w:color w:val="auto"/>
                      <w:lang w:val="en-US" w:eastAsia="zh-CN"/>
                    </w:rPr>
                    <w:t>纬度:32.89699842</w:t>
                  </w:r>
                </w:p>
              </w:tc>
              <w:tc>
                <w:tcPr>
                  <w:tcW w:w="2610" w:type="pct"/>
                  <w:vAlign w:val="center"/>
                </w:tcPr>
                <w:p w14:paraId="49E89491">
                  <w:pPr>
                    <w:pStyle w:val="29"/>
                    <w:bidi w:val="0"/>
                    <w:rPr>
                      <w:rFonts w:hint="eastAsia"/>
                      <w:color w:val="auto"/>
                      <w:lang w:eastAsia="zh-CN"/>
                    </w:rPr>
                  </w:pPr>
                  <w:r>
                    <w:rPr>
                      <w:color w:val="auto"/>
                    </w:rPr>
                    <w:drawing>
                      <wp:inline distT="0" distB="0" distL="114300" distR="114300">
                        <wp:extent cx="3358515" cy="2386330"/>
                        <wp:effectExtent l="0" t="0" r="13335" b="13970"/>
                        <wp:docPr id="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1"/>
                                <pic:cNvPicPr>
                                  <a:picLocks noChangeAspect="1"/>
                                </pic:cNvPicPr>
                              </pic:nvPicPr>
                              <pic:blipFill>
                                <a:blip r:embed="rId17"/>
                                <a:stretch>
                                  <a:fillRect/>
                                </a:stretch>
                              </pic:blipFill>
                              <pic:spPr>
                                <a:xfrm>
                                  <a:off x="0" y="0"/>
                                  <a:ext cx="3358515" cy="2386330"/>
                                </a:xfrm>
                                <a:prstGeom prst="rect">
                                  <a:avLst/>
                                </a:prstGeom>
                                <a:noFill/>
                                <a:ln>
                                  <a:noFill/>
                                </a:ln>
                              </pic:spPr>
                            </pic:pic>
                          </a:graphicData>
                        </a:graphic>
                      </wp:inline>
                    </w:drawing>
                  </w:r>
                </w:p>
              </w:tc>
              <w:tc>
                <w:tcPr>
                  <w:tcW w:w="358" w:type="pct"/>
                  <w:vAlign w:val="center"/>
                </w:tcPr>
                <w:p w14:paraId="00E5CAA5">
                  <w:pPr>
                    <w:bidi w:val="0"/>
                    <w:rPr>
                      <w:rFonts w:hint="eastAsia"/>
                      <w:color w:val="auto"/>
                      <w:sz w:val="18"/>
                      <w:szCs w:val="18"/>
                      <w:lang w:eastAsia="zh-CN"/>
                    </w:rPr>
                  </w:pPr>
                  <w:r>
                    <w:rPr>
                      <w:rFonts w:hint="eastAsia"/>
                      <w:color w:val="auto"/>
                      <w:sz w:val="18"/>
                      <w:szCs w:val="18"/>
                      <w:lang w:val="en-US" w:eastAsia="zh-CN"/>
                    </w:rPr>
                    <w:t>基本农田</w:t>
                  </w:r>
                </w:p>
              </w:tc>
              <w:tc>
                <w:tcPr>
                  <w:tcW w:w="981" w:type="dxa"/>
                  <w:vAlign w:val="center"/>
                </w:tcPr>
                <w:p w14:paraId="1C4E9C30">
                  <w:pPr>
                    <w:keepNext w:val="0"/>
                    <w:keepLines w:val="0"/>
                    <w:pageBreakBefore w:val="0"/>
                    <w:widowControl/>
                    <w:suppressLineNumbers w:val="0"/>
                    <w:shd w:val="clear"/>
                    <w:wordWrap/>
                    <w:overflowPunct/>
                    <w:topLinePunct w:val="0"/>
                    <w:bidi w:val="0"/>
                    <w:spacing w:line="240" w:lineRule="exact"/>
                    <w:jc w:val="center"/>
                    <w:textAlignment w:val="center"/>
                    <w:rPr>
                      <w:rFonts w:hint="default" w:ascii="宋体" w:hAnsi="宋体" w:eastAsia="宋体" w:cs="宋体"/>
                      <w:color w:val="auto"/>
                      <w:sz w:val="18"/>
                      <w:szCs w:val="18"/>
                      <w:lang w:val="en-US" w:eastAsia="zh-CN"/>
                    </w:rPr>
                  </w:pPr>
                  <w:r>
                    <w:rPr>
                      <w:rFonts w:hint="eastAsia" w:ascii="宋体" w:hAnsi="宋体" w:eastAsia="宋体" w:cs="宋体"/>
                      <w:i w:val="0"/>
                      <w:iCs w:val="0"/>
                      <w:snapToGrid w:val="0"/>
                      <w:color w:val="auto"/>
                      <w:kern w:val="0"/>
                      <w:sz w:val="18"/>
                      <w:szCs w:val="18"/>
                      <w:highlight w:val="none"/>
                      <w:u w:val="none"/>
                      <w:lang w:val="en-US" w:eastAsia="zh-CN" w:bidi="ar"/>
                    </w:rPr>
                    <w:t>14</w:t>
                  </w:r>
                  <w:r>
                    <w:rPr>
                      <w:rFonts w:hint="eastAsia" w:ascii="宋体" w:hAnsi="宋体" w:cs="宋体"/>
                      <w:i w:val="0"/>
                      <w:iCs w:val="0"/>
                      <w:snapToGrid w:val="0"/>
                      <w:color w:val="auto"/>
                      <w:kern w:val="0"/>
                      <w:sz w:val="18"/>
                      <w:szCs w:val="18"/>
                      <w:highlight w:val="none"/>
                      <w:u w:val="none"/>
                      <w:lang w:val="en-US" w:eastAsia="zh-CN" w:bidi="ar"/>
                    </w:rPr>
                    <w:t>99</w:t>
                  </w:r>
                </w:p>
              </w:tc>
              <w:tc>
                <w:tcPr>
                  <w:tcW w:w="1037" w:type="dxa"/>
                  <w:vAlign w:val="center"/>
                </w:tcPr>
                <w:p w14:paraId="14CE1F6B">
                  <w:pPr>
                    <w:keepNext w:val="0"/>
                    <w:keepLines w:val="0"/>
                    <w:pageBreakBefore w:val="0"/>
                    <w:widowControl/>
                    <w:suppressLineNumbers w:val="0"/>
                    <w:shd w:val="clear"/>
                    <w:wordWrap/>
                    <w:overflowPunct/>
                    <w:topLinePunct w:val="0"/>
                    <w:bidi w:val="0"/>
                    <w:spacing w:line="240" w:lineRule="exact"/>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i w:val="0"/>
                      <w:iCs w:val="0"/>
                      <w:snapToGrid w:val="0"/>
                      <w:color w:val="auto"/>
                      <w:kern w:val="0"/>
                      <w:sz w:val="18"/>
                      <w:szCs w:val="18"/>
                      <w:highlight w:val="none"/>
                      <w:u w:val="none"/>
                      <w:lang w:val="en-US" w:eastAsia="zh-CN" w:bidi="ar"/>
                    </w:rPr>
                    <w:t>379</w:t>
                  </w:r>
                </w:p>
              </w:tc>
            </w:tr>
            <w:tr w14:paraId="2B57D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 w:type="pct"/>
                  <w:vAlign w:val="center"/>
                </w:tcPr>
                <w:p w14:paraId="09AE47DF">
                  <w:pPr>
                    <w:pStyle w:val="29"/>
                    <w:bidi w:val="0"/>
                    <w:rPr>
                      <w:rFonts w:hint="default"/>
                      <w:color w:val="auto"/>
                      <w:lang w:val="en-US" w:eastAsia="zh-CN"/>
                    </w:rPr>
                  </w:pPr>
                  <w:r>
                    <w:rPr>
                      <w:rFonts w:hint="eastAsia"/>
                      <w:color w:val="auto"/>
                      <w:lang w:val="en-US" w:eastAsia="zh-CN"/>
                    </w:rPr>
                    <w:t>12</w:t>
                  </w:r>
                </w:p>
              </w:tc>
              <w:tc>
                <w:tcPr>
                  <w:tcW w:w="354" w:type="pct"/>
                  <w:vAlign w:val="center"/>
                </w:tcPr>
                <w:p w14:paraId="18C4E0F8">
                  <w:pPr>
                    <w:pStyle w:val="29"/>
                    <w:bidi w:val="0"/>
                    <w:rPr>
                      <w:rFonts w:hint="default"/>
                      <w:color w:val="auto"/>
                      <w:lang w:val="en-US" w:eastAsia="zh-CN"/>
                    </w:rPr>
                  </w:pPr>
                  <w:r>
                    <w:rPr>
                      <w:rFonts w:hint="eastAsia"/>
                      <w:color w:val="auto"/>
                    </w:rPr>
                    <w:t>11404-12#</w:t>
                  </w:r>
                </w:p>
              </w:tc>
              <w:tc>
                <w:tcPr>
                  <w:tcW w:w="708" w:type="pct"/>
                  <w:shd w:val="clear" w:color="auto" w:fill="auto"/>
                  <w:vAlign w:val="center"/>
                </w:tcPr>
                <w:p w14:paraId="4919BA0D">
                  <w:pPr>
                    <w:pStyle w:val="29"/>
                    <w:bidi w:val="0"/>
                    <w:rPr>
                      <w:rFonts w:hint="eastAsia"/>
                      <w:color w:val="auto"/>
                      <w:lang w:val="en-US" w:eastAsia="zh-CN"/>
                    </w:rPr>
                  </w:pPr>
                  <w:r>
                    <w:rPr>
                      <w:rFonts w:hint="eastAsia"/>
                      <w:color w:val="auto"/>
                      <w:lang w:eastAsia="zh-CN"/>
                    </w:rPr>
                    <w:t>经度</w:t>
                  </w:r>
                  <w:r>
                    <w:rPr>
                      <w:rFonts w:hint="eastAsia"/>
                      <w:color w:val="auto"/>
                      <w:lang w:val="en-US" w:eastAsia="zh-CN"/>
                    </w:rPr>
                    <w:t>:116.72244814，</w:t>
                  </w:r>
                </w:p>
                <w:p w14:paraId="1306FFC9">
                  <w:pPr>
                    <w:pStyle w:val="29"/>
                    <w:bidi w:val="0"/>
                    <w:rPr>
                      <w:color w:val="auto"/>
                      <w:lang w:val="en-US" w:eastAsia="zh-CN"/>
                    </w:rPr>
                  </w:pPr>
                  <w:r>
                    <w:rPr>
                      <w:rFonts w:hint="eastAsia"/>
                      <w:color w:val="auto"/>
                      <w:lang w:val="en-US" w:eastAsia="zh-CN"/>
                    </w:rPr>
                    <w:t>纬度:32.89825433</w:t>
                  </w:r>
                </w:p>
              </w:tc>
              <w:tc>
                <w:tcPr>
                  <w:tcW w:w="2610" w:type="pct"/>
                  <w:vAlign w:val="center"/>
                </w:tcPr>
                <w:p w14:paraId="39AAB0A9">
                  <w:pPr>
                    <w:pStyle w:val="29"/>
                    <w:bidi w:val="0"/>
                    <w:rPr>
                      <w:rFonts w:hint="eastAsia"/>
                      <w:color w:val="auto"/>
                      <w:lang w:eastAsia="zh-CN"/>
                    </w:rPr>
                  </w:pPr>
                  <w:r>
                    <w:rPr>
                      <w:color w:val="auto"/>
                    </w:rPr>
                    <w:drawing>
                      <wp:inline distT="0" distB="0" distL="114300" distR="114300">
                        <wp:extent cx="3401060" cy="2374900"/>
                        <wp:effectExtent l="0" t="0" r="8890" b="6350"/>
                        <wp:docPr id="6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2"/>
                                <pic:cNvPicPr>
                                  <a:picLocks noChangeAspect="1"/>
                                </pic:cNvPicPr>
                              </pic:nvPicPr>
                              <pic:blipFill>
                                <a:blip r:embed="rId18"/>
                                <a:stretch>
                                  <a:fillRect/>
                                </a:stretch>
                              </pic:blipFill>
                              <pic:spPr>
                                <a:xfrm>
                                  <a:off x="0" y="0"/>
                                  <a:ext cx="3401060" cy="2374900"/>
                                </a:xfrm>
                                <a:prstGeom prst="rect">
                                  <a:avLst/>
                                </a:prstGeom>
                                <a:noFill/>
                                <a:ln>
                                  <a:noFill/>
                                </a:ln>
                              </pic:spPr>
                            </pic:pic>
                          </a:graphicData>
                        </a:graphic>
                      </wp:inline>
                    </w:drawing>
                  </w:r>
                </w:p>
              </w:tc>
              <w:tc>
                <w:tcPr>
                  <w:tcW w:w="358" w:type="pct"/>
                  <w:vAlign w:val="center"/>
                </w:tcPr>
                <w:p w14:paraId="56D2A863">
                  <w:pPr>
                    <w:bidi w:val="0"/>
                    <w:rPr>
                      <w:rFonts w:hint="eastAsia"/>
                      <w:color w:val="auto"/>
                      <w:sz w:val="18"/>
                      <w:szCs w:val="18"/>
                      <w:lang w:eastAsia="zh-CN"/>
                    </w:rPr>
                  </w:pPr>
                  <w:r>
                    <w:rPr>
                      <w:rFonts w:hint="eastAsia"/>
                      <w:color w:val="auto"/>
                      <w:sz w:val="18"/>
                      <w:szCs w:val="18"/>
                      <w:lang w:val="en-US" w:eastAsia="zh-CN"/>
                    </w:rPr>
                    <w:t>基本农田</w:t>
                  </w:r>
                </w:p>
              </w:tc>
              <w:tc>
                <w:tcPr>
                  <w:tcW w:w="981" w:type="dxa"/>
                  <w:vAlign w:val="center"/>
                </w:tcPr>
                <w:p w14:paraId="4974F400">
                  <w:pPr>
                    <w:keepNext w:val="0"/>
                    <w:keepLines w:val="0"/>
                    <w:pageBreakBefore w:val="0"/>
                    <w:widowControl/>
                    <w:suppressLineNumbers w:val="0"/>
                    <w:shd w:val="clear"/>
                    <w:wordWrap/>
                    <w:overflowPunct/>
                    <w:topLinePunct w:val="0"/>
                    <w:bidi w:val="0"/>
                    <w:spacing w:line="240" w:lineRule="exact"/>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i w:val="0"/>
                      <w:iCs w:val="0"/>
                      <w:snapToGrid w:val="0"/>
                      <w:color w:val="auto"/>
                      <w:kern w:val="0"/>
                      <w:sz w:val="18"/>
                      <w:szCs w:val="18"/>
                      <w:highlight w:val="none"/>
                      <w:u w:val="none"/>
                      <w:lang w:val="en-US" w:eastAsia="zh-CN" w:bidi="ar"/>
                    </w:rPr>
                    <w:t>1413</w:t>
                  </w:r>
                </w:p>
              </w:tc>
              <w:tc>
                <w:tcPr>
                  <w:tcW w:w="1037" w:type="dxa"/>
                  <w:vAlign w:val="center"/>
                </w:tcPr>
                <w:p w14:paraId="0C74D5C2">
                  <w:pPr>
                    <w:keepNext w:val="0"/>
                    <w:keepLines w:val="0"/>
                    <w:pageBreakBefore w:val="0"/>
                    <w:widowControl/>
                    <w:suppressLineNumbers w:val="0"/>
                    <w:shd w:val="clear"/>
                    <w:wordWrap/>
                    <w:overflowPunct/>
                    <w:topLinePunct w:val="0"/>
                    <w:bidi w:val="0"/>
                    <w:spacing w:line="240" w:lineRule="exact"/>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i w:val="0"/>
                      <w:iCs w:val="0"/>
                      <w:snapToGrid w:val="0"/>
                      <w:color w:val="auto"/>
                      <w:kern w:val="0"/>
                      <w:sz w:val="18"/>
                      <w:szCs w:val="18"/>
                      <w:highlight w:val="none"/>
                      <w:u w:val="none"/>
                      <w:lang w:val="en-US" w:eastAsia="zh-CN" w:bidi="ar"/>
                    </w:rPr>
                    <w:t>373</w:t>
                  </w:r>
                </w:p>
              </w:tc>
            </w:tr>
            <w:tr w14:paraId="62E48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4" w:hRule="atLeast"/>
              </w:trPr>
              <w:tc>
                <w:tcPr>
                  <w:tcW w:w="222" w:type="pct"/>
                  <w:vAlign w:val="center"/>
                </w:tcPr>
                <w:p w14:paraId="52345F47">
                  <w:pPr>
                    <w:pStyle w:val="29"/>
                    <w:bidi w:val="0"/>
                    <w:rPr>
                      <w:rFonts w:hint="default"/>
                      <w:color w:val="auto"/>
                      <w:lang w:val="en-US" w:eastAsia="zh-CN"/>
                    </w:rPr>
                  </w:pPr>
                  <w:r>
                    <w:rPr>
                      <w:rFonts w:hint="eastAsia"/>
                      <w:color w:val="auto"/>
                      <w:lang w:val="en-US" w:eastAsia="zh-CN"/>
                    </w:rPr>
                    <w:t>13</w:t>
                  </w:r>
                </w:p>
              </w:tc>
              <w:tc>
                <w:tcPr>
                  <w:tcW w:w="354" w:type="pct"/>
                  <w:vAlign w:val="center"/>
                </w:tcPr>
                <w:p w14:paraId="3526FBC6">
                  <w:pPr>
                    <w:pStyle w:val="29"/>
                    <w:bidi w:val="0"/>
                    <w:rPr>
                      <w:rFonts w:hint="default"/>
                      <w:color w:val="auto"/>
                      <w:lang w:val="en-US" w:eastAsia="zh-CN"/>
                    </w:rPr>
                  </w:pPr>
                  <w:r>
                    <w:rPr>
                      <w:rFonts w:hint="eastAsia"/>
                      <w:color w:val="auto"/>
                    </w:rPr>
                    <w:t>11404-13#</w:t>
                  </w:r>
                </w:p>
              </w:tc>
              <w:tc>
                <w:tcPr>
                  <w:tcW w:w="708" w:type="pct"/>
                  <w:shd w:val="clear" w:color="auto" w:fill="auto"/>
                  <w:vAlign w:val="center"/>
                </w:tcPr>
                <w:p w14:paraId="5A32E90A">
                  <w:pPr>
                    <w:pStyle w:val="29"/>
                    <w:bidi w:val="0"/>
                    <w:rPr>
                      <w:rFonts w:hint="eastAsia"/>
                      <w:color w:val="auto"/>
                      <w:lang w:val="en-US" w:eastAsia="zh-CN"/>
                    </w:rPr>
                  </w:pPr>
                  <w:r>
                    <w:rPr>
                      <w:rFonts w:hint="eastAsia"/>
                      <w:color w:val="auto"/>
                      <w:lang w:eastAsia="zh-CN"/>
                    </w:rPr>
                    <w:t>经度</w:t>
                  </w:r>
                  <w:r>
                    <w:rPr>
                      <w:rFonts w:hint="eastAsia"/>
                      <w:color w:val="auto"/>
                      <w:lang w:val="en-US" w:eastAsia="zh-CN"/>
                    </w:rPr>
                    <w:t>:116.72262701，</w:t>
                  </w:r>
                </w:p>
                <w:p w14:paraId="5333E8D7">
                  <w:pPr>
                    <w:pStyle w:val="29"/>
                    <w:bidi w:val="0"/>
                    <w:rPr>
                      <w:rFonts w:hint="eastAsia"/>
                      <w:color w:val="auto"/>
                      <w:lang w:val="en-US" w:eastAsia="zh-CN"/>
                    </w:rPr>
                  </w:pPr>
                  <w:r>
                    <w:rPr>
                      <w:rFonts w:hint="eastAsia"/>
                      <w:color w:val="auto"/>
                      <w:lang w:val="en-US" w:eastAsia="zh-CN"/>
                    </w:rPr>
                    <w:t>纬度:32.89951107</w:t>
                  </w:r>
                </w:p>
              </w:tc>
              <w:tc>
                <w:tcPr>
                  <w:tcW w:w="2610" w:type="pct"/>
                  <w:vAlign w:val="center"/>
                </w:tcPr>
                <w:p w14:paraId="01E86BD2">
                  <w:pPr>
                    <w:pStyle w:val="29"/>
                    <w:bidi w:val="0"/>
                    <w:rPr>
                      <w:rFonts w:hint="eastAsia"/>
                      <w:color w:val="auto"/>
                      <w:lang w:eastAsia="zh-CN"/>
                    </w:rPr>
                  </w:pPr>
                  <w:r>
                    <w:rPr>
                      <w:color w:val="auto"/>
                    </w:rPr>
                    <w:drawing>
                      <wp:inline distT="0" distB="0" distL="114300" distR="114300">
                        <wp:extent cx="3287395" cy="2816225"/>
                        <wp:effectExtent l="0" t="0" r="8255" b="3175"/>
                        <wp:docPr id="6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
                                <pic:cNvPicPr>
                                  <a:picLocks noChangeAspect="1"/>
                                </pic:cNvPicPr>
                              </pic:nvPicPr>
                              <pic:blipFill>
                                <a:blip r:embed="rId19"/>
                                <a:stretch>
                                  <a:fillRect/>
                                </a:stretch>
                              </pic:blipFill>
                              <pic:spPr>
                                <a:xfrm>
                                  <a:off x="0" y="0"/>
                                  <a:ext cx="3287395" cy="2816225"/>
                                </a:xfrm>
                                <a:prstGeom prst="rect">
                                  <a:avLst/>
                                </a:prstGeom>
                                <a:noFill/>
                                <a:ln>
                                  <a:noFill/>
                                </a:ln>
                              </pic:spPr>
                            </pic:pic>
                          </a:graphicData>
                        </a:graphic>
                      </wp:inline>
                    </w:drawing>
                  </w:r>
                </w:p>
              </w:tc>
              <w:tc>
                <w:tcPr>
                  <w:tcW w:w="358" w:type="pct"/>
                  <w:vAlign w:val="center"/>
                </w:tcPr>
                <w:p w14:paraId="526CD9A7">
                  <w:pPr>
                    <w:bidi w:val="0"/>
                    <w:rPr>
                      <w:rFonts w:hint="eastAsia"/>
                      <w:color w:val="auto"/>
                      <w:sz w:val="18"/>
                      <w:szCs w:val="18"/>
                      <w:lang w:eastAsia="zh-CN"/>
                    </w:rPr>
                  </w:pPr>
                  <w:r>
                    <w:rPr>
                      <w:rFonts w:hint="eastAsia"/>
                      <w:color w:val="auto"/>
                      <w:sz w:val="18"/>
                      <w:szCs w:val="18"/>
                      <w:lang w:val="en-US" w:eastAsia="zh-CN"/>
                    </w:rPr>
                    <w:t>基本农田</w:t>
                  </w:r>
                </w:p>
              </w:tc>
              <w:tc>
                <w:tcPr>
                  <w:tcW w:w="981" w:type="dxa"/>
                  <w:vAlign w:val="center"/>
                </w:tcPr>
                <w:p w14:paraId="0580A4B0">
                  <w:pPr>
                    <w:keepNext w:val="0"/>
                    <w:keepLines w:val="0"/>
                    <w:pageBreakBefore w:val="0"/>
                    <w:widowControl/>
                    <w:suppressLineNumbers w:val="0"/>
                    <w:shd w:val="clear"/>
                    <w:wordWrap/>
                    <w:overflowPunct/>
                    <w:topLinePunct w:val="0"/>
                    <w:bidi w:val="0"/>
                    <w:spacing w:line="240" w:lineRule="exact"/>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i w:val="0"/>
                      <w:iCs w:val="0"/>
                      <w:snapToGrid w:val="0"/>
                      <w:color w:val="auto"/>
                      <w:kern w:val="0"/>
                      <w:sz w:val="18"/>
                      <w:szCs w:val="18"/>
                      <w:highlight w:val="none"/>
                      <w:u w:val="none"/>
                      <w:lang w:val="en-US" w:eastAsia="zh-CN" w:bidi="ar"/>
                    </w:rPr>
                    <w:t>1658</w:t>
                  </w:r>
                </w:p>
              </w:tc>
              <w:tc>
                <w:tcPr>
                  <w:tcW w:w="1037" w:type="dxa"/>
                  <w:vAlign w:val="center"/>
                </w:tcPr>
                <w:p w14:paraId="2F26AC2F">
                  <w:pPr>
                    <w:keepNext w:val="0"/>
                    <w:keepLines w:val="0"/>
                    <w:pageBreakBefore w:val="0"/>
                    <w:widowControl/>
                    <w:suppressLineNumbers w:val="0"/>
                    <w:shd w:val="clear"/>
                    <w:wordWrap/>
                    <w:overflowPunct/>
                    <w:topLinePunct w:val="0"/>
                    <w:bidi w:val="0"/>
                    <w:spacing w:line="240" w:lineRule="exact"/>
                    <w:jc w:val="center"/>
                    <w:textAlignment w:val="center"/>
                    <w:rPr>
                      <w:rFonts w:hint="eastAsia" w:ascii="宋体" w:hAnsi="宋体" w:eastAsia="宋体" w:cs="宋体"/>
                      <w:color w:val="auto"/>
                      <w:sz w:val="18"/>
                      <w:szCs w:val="18"/>
                      <w:lang w:val="en-US" w:eastAsia="zh-CN"/>
                    </w:rPr>
                  </w:pPr>
                  <w:r>
                    <w:rPr>
                      <w:rFonts w:hint="eastAsia" w:ascii="宋体" w:hAnsi="宋体" w:eastAsia="宋体" w:cs="宋体"/>
                      <w:i w:val="0"/>
                      <w:iCs w:val="0"/>
                      <w:snapToGrid w:val="0"/>
                      <w:color w:val="auto"/>
                      <w:kern w:val="0"/>
                      <w:sz w:val="18"/>
                      <w:szCs w:val="18"/>
                      <w:highlight w:val="none"/>
                      <w:u w:val="none"/>
                      <w:lang w:val="en-US" w:eastAsia="zh-CN" w:bidi="ar"/>
                    </w:rPr>
                    <w:t>438</w:t>
                  </w:r>
                </w:p>
              </w:tc>
            </w:tr>
          </w:tbl>
          <w:p w14:paraId="517BD0EE">
            <w:pPr>
              <w:pStyle w:val="16"/>
              <w:jc w:val="both"/>
              <w:outlineLvl w:val="0"/>
              <w:rPr>
                <w:rFonts w:hint="default" w:ascii="Times New Roman" w:hAnsi="Times New Roman" w:eastAsia="黑体"/>
                <w:snapToGrid w:val="0"/>
                <w:color w:val="auto"/>
                <w:sz w:val="30"/>
                <w:szCs w:val="30"/>
                <w:vertAlign w:val="baseline"/>
                <w:lang w:val="en-US" w:eastAsia="zh-CN"/>
              </w:rPr>
            </w:pPr>
          </w:p>
        </w:tc>
      </w:tr>
    </w:tbl>
    <w:p w14:paraId="34437EDA">
      <w:pPr>
        <w:pStyle w:val="16"/>
        <w:widowControl/>
        <w:numPr>
          <w:ilvl w:val="0"/>
          <w:numId w:val="0"/>
        </w:numPr>
        <w:spacing w:before="100" w:beforeAutospacing="1" w:after="100" w:afterAutospacing="1"/>
        <w:jc w:val="center"/>
        <w:outlineLvl w:val="0"/>
        <w:rPr>
          <w:rFonts w:ascii="Times New Roman" w:hAnsi="Times New Roman" w:eastAsia="黑体"/>
          <w:snapToGrid w:val="0"/>
          <w:color w:val="auto"/>
          <w:sz w:val="30"/>
          <w:szCs w:val="30"/>
        </w:rPr>
        <w:sectPr>
          <w:pgSz w:w="16838" w:h="11906" w:orient="landscape"/>
          <w:pgMar w:top="1800" w:right="1440" w:bottom="1800" w:left="1440" w:header="851" w:footer="1077" w:gutter="0"/>
          <w:cols w:space="720" w:num="1"/>
          <w:docGrid w:linePitch="312" w:charSpace="0"/>
        </w:sectPr>
      </w:pP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4"/>
        <w:gridCol w:w="8068"/>
      </w:tblGrid>
      <w:tr w14:paraId="69E70A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46" w:hRule="atLeast"/>
          <w:jc w:val="center"/>
        </w:trPr>
        <w:tc>
          <w:tcPr>
            <w:tcW w:w="454" w:type="dxa"/>
            <w:noWrap w:val="0"/>
            <w:vAlign w:val="center"/>
          </w:tcPr>
          <w:p w14:paraId="221F179F">
            <w:pPr>
              <w:adjustRightInd w:val="0"/>
              <w:snapToGrid w:val="0"/>
              <w:jc w:val="center"/>
              <w:rPr>
                <w:rFonts w:ascii="Times New Roman" w:hAnsi="Times New Roman"/>
                <w:color w:val="auto"/>
                <w:kern w:val="0"/>
                <w:sz w:val="24"/>
              </w:rPr>
            </w:pPr>
            <w:r>
              <w:rPr>
                <w:rFonts w:ascii="Times New Roman" w:hAnsi="Times New Roman"/>
                <w:color w:val="auto"/>
                <w:kern w:val="0"/>
                <w:sz w:val="24"/>
              </w:rPr>
              <w:t>总平面及现场布置</w:t>
            </w:r>
          </w:p>
        </w:tc>
        <w:tc>
          <w:tcPr>
            <w:tcW w:w="8068" w:type="dxa"/>
            <w:noWrap w:val="0"/>
            <w:vAlign w:val="center"/>
          </w:tcPr>
          <w:p w14:paraId="18E27C4B">
            <w:pPr>
              <w:spacing w:line="360" w:lineRule="auto"/>
              <w:ind w:firstLine="480" w:firstLineChars="200"/>
              <w:rPr>
                <w:rFonts w:hint="default" w:ascii="Times New Roman" w:hAnsi="Times New Roman" w:eastAsia="宋体"/>
                <w:color w:val="auto"/>
                <w:szCs w:val="21"/>
                <w:lang w:val="en-US" w:eastAsia="zh-CN"/>
              </w:rPr>
            </w:pPr>
            <w:r>
              <w:rPr>
                <w:rFonts w:ascii="Times New Roman" w:hAnsi="Times New Roman"/>
                <w:color w:val="auto"/>
                <w:sz w:val="24"/>
                <w:shd w:val="clear" w:color="auto" w:fill="FFFFFF"/>
              </w:rPr>
              <w:t>本项目每个井场均设置钻</w:t>
            </w:r>
            <w:r>
              <w:rPr>
                <w:rFonts w:hint="eastAsia" w:ascii="Times New Roman" w:hAnsi="Times New Roman"/>
                <w:color w:val="auto"/>
                <w:sz w:val="24"/>
                <w:shd w:val="clear" w:color="auto" w:fill="FFFFFF"/>
                <w:lang w:val="en-US" w:eastAsia="zh-CN"/>
              </w:rPr>
              <w:t>孔</w:t>
            </w:r>
            <w:r>
              <w:rPr>
                <w:rFonts w:ascii="Times New Roman" w:hAnsi="Times New Roman"/>
                <w:color w:val="auto"/>
                <w:sz w:val="24"/>
                <w:shd w:val="clear" w:color="auto" w:fill="FFFFFF"/>
              </w:rPr>
              <w:t>作业区、蓄水池、废</w:t>
            </w:r>
            <w:r>
              <w:rPr>
                <w:rFonts w:hint="eastAsia" w:ascii="Times New Roman" w:hAnsi="Times New Roman"/>
                <w:color w:val="auto"/>
                <w:sz w:val="24"/>
                <w:shd w:val="clear" w:color="auto" w:fill="FFFFFF"/>
                <w:lang w:val="en-US" w:eastAsia="zh-CN"/>
              </w:rPr>
              <w:t>浆</w:t>
            </w:r>
            <w:r>
              <w:rPr>
                <w:rFonts w:ascii="Times New Roman" w:hAnsi="Times New Roman"/>
                <w:color w:val="auto"/>
                <w:sz w:val="24"/>
                <w:shd w:val="clear" w:color="auto" w:fill="FFFFFF"/>
              </w:rPr>
              <w:t>池、干化池、材料库、</w:t>
            </w:r>
            <w:r>
              <w:rPr>
                <w:rFonts w:hint="eastAsia" w:ascii="Times New Roman" w:hAnsi="Times New Roman"/>
                <w:color w:val="auto"/>
                <w:sz w:val="24"/>
                <w:shd w:val="clear" w:color="auto" w:fill="FFFFFF"/>
                <w:lang w:val="en-US" w:eastAsia="zh-CN"/>
              </w:rPr>
              <w:t>原料区、</w:t>
            </w:r>
            <w:r>
              <w:rPr>
                <w:rFonts w:ascii="Times New Roman" w:hAnsi="Times New Roman"/>
                <w:color w:val="auto"/>
                <w:sz w:val="24"/>
                <w:shd w:val="clear" w:color="auto" w:fill="FFFFFF"/>
              </w:rPr>
              <w:t>临时办公区、控制配电室、</w:t>
            </w:r>
            <w:r>
              <w:rPr>
                <w:rFonts w:hint="eastAsia" w:ascii="Times New Roman" w:hAnsi="Times New Roman"/>
                <w:color w:val="auto"/>
                <w:sz w:val="24"/>
                <w:shd w:val="clear" w:color="auto" w:fill="FFFFFF"/>
                <w:lang w:val="en-US" w:eastAsia="zh-CN"/>
              </w:rPr>
              <w:t>表土剥离堆放场</w:t>
            </w:r>
            <w:r>
              <w:rPr>
                <w:rFonts w:ascii="Times New Roman" w:hAnsi="Times New Roman"/>
                <w:color w:val="auto"/>
                <w:sz w:val="24"/>
                <w:shd w:val="clear" w:color="auto" w:fill="FFFFFF"/>
              </w:rPr>
              <w:t>、弃土临时堆场、沉淀池等，项目出入口设置在靠近道路的一侧，根据现场施工远近情况铺设进场道路。项目总平面布置采取的原则是紧密结合地形、使工艺流程顺畅、功能分区明确、建筑物布置紧凑、对外交通运输联系方便、用地节约；在满足施工的前提下，使井场布置简洁、集中</w:t>
            </w:r>
            <w:r>
              <w:rPr>
                <w:rFonts w:hint="eastAsia" w:ascii="Times New Roman" w:hAnsi="Times New Roman"/>
                <w:color w:val="auto"/>
                <w:sz w:val="24"/>
                <w:shd w:val="clear" w:color="auto" w:fill="FFFFFF"/>
                <w:lang w:eastAsia="zh-CN"/>
              </w:rPr>
              <w:t>，</w:t>
            </w:r>
            <w:r>
              <w:rPr>
                <w:rFonts w:hint="eastAsia" w:ascii="Times New Roman" w:hAnsi="Times New Roman"/>
                <w:color w:val="auto"/>
                <w:sz w:val="24"/>
                <w:lang w:val="en-US" w:eastAsia="zh-CN"/>
              </w:rPr>
              <w:t>各井场平面布置图见附图3。</w:t>
            </w:r>
          </w:p>
        </w:tc>
      </w:tr>
      <w:tr w14:paraId="477C94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4" w:type="dxa"/>
            <w:noWrap w:val="0"/>
            <w:vAlign w:val="center"/>
          </w:tcPr>
          <w:p w14:paraId="5777C169">
            <w:pPr>
              <w:adjustRightInd w:val="0"/>
              <w:snapToGrid w:val="0"/>
              <w:jc w:val="center"/>
              <w:rPr>
                <w:rFonts w:ascii="Times New Roman" w:hAnsi="Times New Roman"/>
                <w:color w:val="auto"/>
                <w:kern w:val="0"/>
                <w:sz w:val="24"/>
              </w:rPr>
            </w:pPr>
            <w:r>
              <w:rPr>
                <w:rFonts w:ascii="Times New Roman" w:hAnsi="Times New Roman"/>
                <w:color w:val="auto"/>
                <w:kern w:val="0"/>
                <w:sz w:val="24"/>
              </w:rPr>
              <w:t>施工方案</w:t>
            </w:r>
          </w:p>
        </w:tc>
        <w:tc>
          <w:tcPr>
            <w:tcW w:w="8068" w:type="dxa"/>
            <w:noWrap w:val="0"/>
            <w:vAlign w:val="center"/>
          </w:tcPr>
          <w:p w14:paraId="3F944464">
            <w:pPr>
              <w:pStyle w:val="13"/>
              <w:tabs>
                <w:tab w:val="left" w:pos="0"/>
              </w:tabs>
              <w:spacing w:line="360" w:lineRule="auto"/>
              <w:ind w:firstLine="482" w:firstLineChars="200"/>
              <w:contextualSpacing/>
              <w:rPr>
                <w:rFonts w:ascii="Times New Roman" w:hAnsi="Times New Roman"/>
                <w:b/>
                <w:bCs/>
                <w:color w:val="auto"/>
                <w:sz w:val="24"/>
                <w:lang w:val="en-US" w:eastAsia="zh-CN"/>
              </w:rPr>
            </w:pPr>
            <w:r>
              <w:rPr>
                <w:rFonts w:ascii="Times New Roman" w:hAnsi="Times New Roman"/>
                <w:b/>
                <w:bCs/>
                <w:color w:val="auto"/>
                <w:sz w:val="24"/>
                <w:lang w:val="en-US" w:eastAsia="zh-CN"/>
              </w:rPr>
              <w:t>1、施工工艺</w:t>
            </w:r>
          </w:p>
          <w:p w14:paraId="76F0F114">
            <w:pPr>
              <w:pStyle w:val="13"/>
              <w:tabs>
                <w:tab w:val="left" w:pos="0"/>
              </w:tabs>
              <w:spacing w:line="360" w:lineRule="auto"/>
              <w:ind w:firstLine="482" w:firstLineChars="200"/>
              <w:contextualSpacing/>
              <w:rPr>
                <w:rFonts w:ascii="Times New Roman" w:hAnsi="Times New Roman"/>
                <w:b/>
                <w:bCs/>
                <w:color w:val="auto"/>
                <w:sz w:val="24"/>
                <w:lang w:val="en-US" w:eastAsia="zh-CN"/>
              </w:rPr>
            </w:pPr>
            <w:r>
              <w:rPr>
                <w:rFonts w:ascii="Times New Roman" w:hAnsi="Times New Roman"/>
                <w:b/>
                <w:bCs/>
                <w:color w:val="auto"/>
                <w:sz w:val="24"/>
                <w:lang w:val="en-US" w:eastAsia="zh-CN"/>
              </w:rPr>
              <w:t>施工方案分为钻前工程、钻井工程和生态恢复工程。</w:t>
            </w:r>
          </w:p>
          <w:p w14:paraId="7A869697">
            <w:pPr>
              <w:pStyle w:val="13"/>
              <w:tabs>
                <w:tab w:val="left" w:pos="0"/>
              </w:tabs>
              <w:spacing w:line="360" w:lineRule="auto"/>
              <w:ind w:firstLine="480" w:firstLineChars="200"/>
              <w:contextualSpacing/>
              <w:rPr>
                <w:rFonts w:ascii="Times New Roman" w:hAnsi="Times New Roman"/>
                <w:bCs/>
                <w:color w:val="auto"/>
                <w:sz w:val="24"/>
                <w:lang w:val="en-US" w:eastAsia="zh-CN"/>
              </w:rPr>
            </w:pPr>
            <w:r>
              <w:rPr>
                <w:rFonts w:ascii="Times New Roman" w:hAnsi="Times New Roman"/>
                <w:bCs/>
                <w:color w:val="auto"/>
                <w:sz w:val="24"/>
                <w:lang w:val="en-US" w:eastAsia="zh-CN"/>
              </w:rPr>
              <w:t>1、钻前工程</w:t>
            </w:r>
          </w:p>
          <w:p w14:paraId="6C782C45">
            <w:pPr>
              <w:pStyle w:val="13"/>
              <w:tabs>
                <w:tab w:val="left" w:pos="0"/>
              </w:tabs>
              <w:spacing w:line="360" w:lineRule="auto"/>
              <w:ind w:firstLine="480" w:firstLineChars="200"/>
              <w:contextualSpacing/>
              <w:rPr>
                <w:rFonts w:ascii="Times New Roman" w:hAnsi="Times New Roman"/>
                <w:bCs/>
                <w:color w:val="auto"/>
                <w:sz w:val="24"/>
                <w:lang w:val="en-US" w:eastAsia="zh-CN"/>
              </w:rPr>
            </w:pPr>
            <w:r>
              <w:rPr>
                <w:rFonts w:ascii="Times New Roman" w:hAnsi="Times New Roman"/>
                <w:bCs/>
                <w:color w:val="auto"/>
                <w:sz w:val="24"/>
                <w:lang w:val="en-US" w:eastAsia="zh-CN"/>
              </w:rPr>
              <w:t>项目钻前工程是为钻井工程进行前期的基础设施建设，主要包括场地建设和整平、安装钻探设备、搭设临时建筑物以及相关附属设施建设等。钻前工程工艺流程见下图。</w:t>
            </w:r>
          </w:p>
          <w:p w14:paraId="1C883BD3">
            <w:pPr>
              <w:pStyle w:val="8"/>
              <w:jc w:val="center"/>
              <w:rPr>
                <w:rFonts w:ascii="Times New Roman" w:hAnsi="Times New Roman"/>
                <w:color w:val="auto"/>
              </w:rPr>
            </w:pPr>
            <w:r>
              <w:rPr>
                <w:rFonts w:ascii="Times New Roman" w:hAnsi="Times New Roman"/>
                <w:color w:val="auto"/>
              </w:rPr>
              <w:drawing>
                <wp:inline distT="0" distB="0" distL="114300" distR="114300">
                  <wp:extent cx="4244340" cy="1308100"/>
                  <wp:effectExtent l="0" t="0" r="3810" b="6350"/>
                  <wp:docPr id="6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3"/>
                          <pic:cNvPicPr>
                            <a:picLocks noChangeAspect="1"/>
                          </pic:cNvPicPr>
                        </pic:nvPicPr>
                        <pic:blipFill>
                          <a:blip r:embed="rId20"/>
                          <a:stretch>
                            <a:fillRect/>
                          </a:stretch>
                        </pic:blipFill>
                        <pic:spPr>
                          <a:xfrm>
                            <a:off x="0" y="0"/>
                            <a:ext cx="4244340" cy="1308100"/>
                          </a:xfrm>
                          <a:prstGeom prst="rect">
                            <a:avLst/>
                          </a:prstGeom>
                          <a:noFill/>
                          <a:ln>
                            <a:noFill/>
                          </a:ln>
                        </pic:spPr>
                      </pic:pic>
                    </a:graphicData>
                  </a:graphic>
                </wp:inline>
              </w:drawing>
            </w:r>
          </w:p>
          <w:p w14:paraId="437ED175">
            <w:pPr>
              <w:pStyle w:val="8"/>
              <w:jc w:val="center"/>
              <w:rPr>
                <w:rFonts w:hint="eastAsia" w:ascii="Times New Roman" w:hAnsi="Times New Roman" w:eastAsia="宋体"/>
                <w:b/>
                <w:color w:val="auto"/>
                <w:lang w:val="en-US" w:eastAsia="zh-CN"/>
              </w:rPr>
            </w:pPr>
            <w:r>
              <w:rPr>
                <w:rFonts w:ascii="Times New Roman" w:hAnsi="Times New Roman"/>
                <w:b/>
                <w:color w:val="auto"/>
              </w:rPr>
              <w:t>图2-</w:t>
            </w:r>
            <w:r>
              <w:rPr>
                <w:rFonts w:hint="eastAsia" w:ascii="Times New Roman" w:hAnsi="Times New Roman"/>
                <w:b/>
                <w:color w:val="auto"/>
                <w:lang w:val="en-US" w:eastAsia="zh-CN"/>
              </w:rPr>
              <w:t>2</w:t>
            </w:r>
            <w:r>
              <w:rPr>
                <w:rFonts w:ascii="Times New Roman" w:hAnsi="Times New Roman"/>
                <w:b/>
                <w:color w:val="auto"/>
              </w:rPr>
              <w:t xml:space="preserve"> 钻前工程工艺流程</w:t>
            </w:r>
            <w:r>
              <w:rPr>
                <w:rFonts w:hint="eastAsia" w:ascii="Times New Roman" w:hAnsi="Times New Roman"/>
                <w:b/>
                <w:color w:val="auto"/>
                <w:lang w:val="en-US" w:eastAsia="zh-CN"/>
              </w:rPr>
              <w:t>图</w:t>
            </w:r>
          </w:p>
          <w:p w14:paraId="0E14D3C0">
            <w:pPr>
              <w:spacing w:line="360" w:lineRule="auto"/>
              <w:ind w:firstLine="480" w:firstLineChars="200"/>
              <w:rPr>
                <w:rFonts w:ascii="Times New Roman" w:hAnsi="Times New Roman"/>
                <w:color w:val="auto"/>
                <w:sz w:val="24"/>
              </w:rPr>
            </w:pPr>
            <w:r>
              <w:rPr>
                <w:rFonts w:ascii="Times New Roman" w:hAnsi="Times New Roman"/>
                <w:color w:val="auto"/>
                <w:sz w:val="24"/>
              </w:rPr>
              <w:t>工艺流程：</w:t>
            </w:r>
          </w:p>
          <w:p w14:paraId="0C4C8122">
            <w:pPr>
              <w:spacing w:line="360" w:lineRule="auto"/>
              <w:ind w:firstLine="480" w:firstLineChars="200"/>
              <w:rPr>
                <w:rFonts w:ascii="Times New Roman" w:hAnsi="Times New Roman"/>
                <w:color w:val="auto"/>
                <w:sz w:val="24"/>
              </w:rPr>
            </w:pPr>
            <w:r>
              <w:rPr>
                <w:rFonts w:ascii="Times New Roman" w:hAnsi="Times New Roman"/>
                <w:color w:val="auto"/>
                <w:sz w:val="24"/>
              </w:rPr>
              <w:t>（1）钻前准备包括定井位、平井场、打基础、钻井设备进场和安装、井口准备、备足钻井所需要的各种工具、材料等，如：钻杆、钻铤、钻头及泥浆泵必要的配件等。</w:t>
            </w:r>
          </w:p>
          <w:p w14:paraId="16701DE3">
            <w:pPr>
              <w:spacing w:line="360" w:lineRule="auto"/>
              <w:ind w:firstLine="480" w:firstLineChars="200"/>
              <w:rPr>
                <w:rFonts w:ascii="Times New Roman" w:hAnsi="Times New Roman"/>
                <w:color w:val="auto"/>
                <w:sz w:val="24"/>
              </w:rPr>
            </w:pPr>
            <w:r>
              <w:rPr>
                <w:rFonts w:ascii="Times New Roman" w:hAnsi="Times New Roman"/>
                <w:color w:val="auto"/>
                <w:sz w:val="24"/>
              </w:rPr>
              <w:t>（2）钻塔安装：在钻孔位置布置好基台，并搭建钻塔，本项目使用四角形钻塔。钻塔在钻井过程中，用于安放和悬挂提升系统，承受钻具重量，存放钻杆或钻铤等。此工序产生少量施工固废。</w:t>
            </w:r>
          </w:p>
          <w:p w14:paraId="6E12D2B0">
            <w:pPr>
              <w:pStyle w:val="23"/>
              <w:adjustRightInd/>
              <w:spacing w:line="360" w:lineRule="auto"/>
              <w:ind w:firstLine="480" w:firstLineChars="200"/>
              <w:jc w:val="both"/>
              <w:rPr>
                <w:rFonts w:ascii="Times New Roman" w:hAnsi="Times New Roman"/>
                <w:color w:val="auto"/>
              </w:rPr>
            </w:pPr>
            <w:r>
              <w:rPr>
                <w:rFonts w:ascii="Times New Roman" w:hAnsi="Times New Roman"/>
                <w:color w:val="auto"/>
              </w:rPr>
              <w:t>2、钻井工程</w:t>
            </w:r>
          </w:p>
          <w:p w14:paraId="574D1479">
            <w:pPr>
              <w:pStyle w:val="23"/>
              <w:adjustRightInd/>
              <w:spacing w:line="360" w:lineRule="auto"/>
              <w:ind w:firstLine="480" w:firstLineChars="200"/>
              <w:jc w:val="both"/>
              <w:rPr>
                <w:rFonts w:ascii="Times New Roman" w:hAnsi="Times New Roman"/>
                <w:color w:val="auto"/>
              </w:rPr>
            </w:pPr>
          </w:p>
          <w:p w14:paraId="52CE6B83">
            <w:pPr>
              <w:pStyle w:val="23"/>
              <w:adjustRightInd/>
              <w:spacing w:line="360" w:lineRule="auto"/>
              <w:ind w:firstLine="480" w:firstLineChars="200"/>
              <w:jc w:val="both"/>
              <w:rPr>
                <w:rFonts w:ascii="Times New Roman" w:hAnsi="Times New Roman"/>
                <w:color w:val="auto"/>
              </w:rPr>
            </w:pPr>
          </w:p>
          <w:p w14:paraId="25306CCD">
            <w:pPr>
              <w:pStyle w:val="23"/>
              <w:adjustRightInd/>
              <w:spacing w:line="360" w:lineRule="auto"/>
              <w:ind w:firstLine="480" w:firstLineChars="200"/>
              <w:jc w:val="both"/>
              <w:rPr>
                <w:rFonts w:ascii="Times New Roman" w:hAnsi="Times New Roman"/>
                <w:color w:val="auto"/>
              </w:rPr>
            </w:pPr>
          </w:p>
          <w:p w14:paraId="06E828C7">
            <w:pPr>
              <w:pStyle w:val="23"/>
              <w:adjustRightInd/>
              <w:spacing w:line="360" w:lineRule="auto"/>
              <w:ind w:firstLine="480" w:firstLineChars="200"/>
              <w:jc w:val="both"/>
              <w:rPr>
                <w:rFonts w:ascii="Times New Roman" w:hAnsi="Times New Roman"/>
                <w:color w:val="auto"/>
              </w:rPr>
            </w:pPr>
          </w:p>
          <w:p w14:paraId="1F2B116E">
            <w:pPr>
              <w:pStyle w:val="23"/>
              <w:adjustRightInd/>
              <w:spacing w:line="360" w:lineRule="auto"/>
              <w:ind w:firstLine="480" w:firstLineChars="200"/>
              <w:jc w:val="both"/>
              <w:rPr>
                <w:rFonts w:ascii="Times New Roman" w:hAnsi="Times New Roman"/>
                <w:color w:val="auto"/>
              </w:rPr>
            </w:pPr>
          </w:p>
          <w:p w14:paraId="685786B7">
            <w:pPr>
              <w:spacing w:line="360" w:lineRule="auto"/>
              <w:jc w:val="center"/>
              <w:rPr>
                <w:rFonts w:hint="eastAsia" w:ascii="Times New Roman" w:hAnsi="Times New Roman" w:eastAsia="宋体"/>
                <w:color w:val="auto"/>
                <w:sz w:val="24"/>
                <w:lang w:eastAsia="zh-CN"/>
              </w:rPr>
            </w:pPr>
            <w:r>
              <w:rPr>
                <w:rFonts w:hint="eastAsia" w:ascii="Times New Roman" w:hAnsi="Times New Roman" w:eastAsia="宋体"/>
                <w:color w:val="auto"/>
                <w:sz w:val="24"/>
                <w:lang w:eastAsia="zh-CN"/>
              </w:rPr>
              <w:drawing>
                <wp:inline distT="0" distB="0" distL="114300" distR="114300">
                  <wp:extent cx="4559300" cy="5066030"/>
                  <wp:effectExtent l="0" t="0" r="0" b="0"/>
                  <wp:docPr id="1" name="ECB019B1-382A-4266-B25C-5B523AA43C14-1" descr="C:/Users/Administrator/AppData/Local/Temp/wps.YgoZPX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1" descr="C:/Users/Administrator/AppData/Local/Temp/wps.YgoZPXwps"/>
                          <pic:cNvPicPr>
                            <a:picLocks noChangeAspect="1"/>
                          </pic:cNvPicPr>
                        </pic:nvPicPr>
                        <pic:blipFill>
                          <a:blip r:embed="rId21"/>
                          <a:stretch>
                            <a:fillRect/>
                          </a:stretch>
                        </pic:blipFill>
                        <pic:spPr>
                          <a:xfrm>
                            <a:off x="0" y="0"/>
                            <a:ext cx="4559300" cy="5066030"/>
                          </a:xfrm>
                          <a:prstGeom prst="rect">
                            <a:avLst/>
                          </a:prstGeom>
                        </pic:spPr>
                      </pic:pic>
                    </a:graphicData>
                  </a:graphic>
                </wp:inline>
              </w:drawing>
            </w:r>
          </w:p>
          <w:p w14:paraId="350ED6CB">
            <w:pPr>
              <w:pStyle w:val="23"/>
              <w:jc w:val="center"/>
              <w:rPr>
                <w:rFonts w:hint="eastAsia" w:ascii="Times New Roman" w:hAnsi="Times New Roman" w:eastAsia="宋体"/>
                <w:b/>
                <w:color w:val="auto"/>
                <w:sz w:val="21"/>
                <w:szCs w:val="21"/>
                <w:lang w:val="en-US" w:eastAsia="zh-CN"/>
              </w:rPr>
            </w:pPr>
            <w:r>
              <w:rPr>
                <w:rFonts w:ascii="Times New Roman" w:hAnsi="Times New Roman"/>
                <w:b/>
                <w:color w:val="auto"/>
                <w:sz w:val="21"/>
                <w:szCs w:val="21"/>
              </w:rPr>
              <w:t>图 2-</w:t>
            </w:r>
            <w:r>
              <w:rPr>
                <w:rFonts w:hint="eastAsia" w:ascii="Times New Roman" w:hAnsi="Times New Roman"/>
                <w:b/>
                <w:color w:val="auto"/>
                <w:sz w:val="21"/>
                <w:szCs w:val="21"/>
                <w:lang w:val="en-US" w:eastAsia="zh-CN"/>
              </w:rPr>
              <w:t>3</w:t>
            </w:r>
            <w:r>
              <w:rPr>
                <w:rFonts w:ascii="Times New Roman" w:hAnsi="Times New Roman"/>
                <w:b/>
                <w:color w:val="auto"/>
                <w:sz w:val="21"/>
                <w:szCs w:val="21"/>
              </w:rPr>
              <w:t xml:space="preserve"> 钻井工程工艺流程</w:t>
            </w:r>
            <w:r>
              <w:rPr>
                <w:rFonts w:hint="eastAsia" w:ascii="Times New Roman" w:hAnsi="Times New Roman"/>
                <w:b/>
                <w:color w:val="auto"/>
                <w:sz w:val="21"/>
                <w:szCs w:val="21"/>
                <w:lang w:val="en-US" w:eastAsia="zh-CN"/>
              </w:rPr>
              <w:t>图</w:t>
            </w:r>
          </w:p>
          <w:p w14:paraId="18CE21B2">
            <w:pPr>
              <w:spacing w:line="360" w:lineRule="auto"/>
              <w:ind w:firstLine="480" w:firstLineChars="200"/>
              <w:rPr>
                <w:rFonts w:ascii="Times New Roman" w:hAnsi="Times New Roman"/>
                <w:color w:val="auto"/>
                <w:sz w:val="24"/>
              </w:rPr>
            </w:pPr>
            <w:r>
              <w:rPr>
                <w:rFonts w:ascii="Times New Roman" w:hAnsi="宋体"/>
                <w:color w:val="auto"/>
                <w:sz w:val="24"/>
              </w:rPr>
              <w:t>工艺流程简述：</w:t>
            </w:r>
          </w:p>
          <w:p w14:paraId="057E77B6">
            <w:pPr>
              <w:pStyle w:val="30"/>
              <w:adjustRightInd/>
              <w:snapToGrid/>
              <w:ind w:firstLine="480"/>
              <w:rPr>
                <w:rFonts w:ascii="Times New Roman" w:hAnsi="Times New Roman" w:eastAsia="宋体"/>
                <w:color w:val="auto"/>
                <w:sz w:val="24"/>
                <w:szCs w:val="24"/>
              </w:rPr>
            </w:pPr>
            <w:r>
              <w:rPr>
                <w:rFonts w:ascii="Times New Roman" w:eastAsia="宋体"/>
                <w:color w:val="auto"/>
                <w:sz w:val="24"/>
                <w:szCs w:val="24"/>
              </w:rPr>
              <w:t>根据</w:t>
            </w:r>
            <w:r>
              <w:rPr>
                <w:rFonts w:ascii="Times New Roman" w:hAnsi="Times New Roman" w:eastAsia="宋体"/>
                <w:color w:val="auto"/>
                <w:sz w:val="24"/>
                <w:szCs w:val="24"/>
              </w:rPr>
              <w:t>11</w:t>
            </w:r>
            <w:r>
              <w:rPr>
                <w:rFonts w:hint="eastAsia" w:ascii="Times New Roman" w:hAnsi="Times New Roman" w:eastAsia="宋体"/>
                <w:color w:val="auto"/>
                <w:sz w:val="24"/>
                <w:szCs w:val="24"/>
                <w:lang w:val="en-US" w:eastAsia="zh-CN"/>
              </w:rPr>
              <w:t>4</w:t>
            </w:r>
            <w:r>
              <w:rPr>
                <w:rFonts w:ascii="Times New Roman" w:hAnsi="Times New Roman" w:eastAsia="宋体"/>
                <w:color w:val="auto"/>
                <w:sz w:val="24"/>
                <w:szCs w:val="24"/>
              </w:rPr>
              <w:t>04</w:t>
            </w:r>
            <w:r>
              <w:rPr>
                <w:rFonts w:ascii="Times New Roman" w:eastAsia="宋体"/>
                <w:color w:val="auto"/>
                <w:sz w:val="24"/>
                <w:szCs w:val="24"/>
              </w:rPr>
              <w:t>工作面的地质和开采条件，其工作面地面钻井设计采用</w:t>
            </w:r>
            <w:r>
              <w:rPr>
                <w:rFonts w:ascii="Times New Roman" w:hAnsi="Times New Roman" w:eastAsia="宋体"/>
                <w:color w:val="auto"/>
                <w:sz w:val="24"/>
                <w:szCs w:val="24"/>
              </w:rPr>
              <w:t>Ⅲ</w:t>
            </w:r>
            <w:r>
              <w:rPr>
                <w:rFonts w:ascii="Times New Roman" w:eastAsia="宋体"/>
                <w:color w:val="auto"/>
                <w:sz w:val="24"/>
                <w:szCs w:val="24"/>
              </w:rPr>
              <w:t>型</w:t>
            </w:r>
            <w:r>
              <w:rPr>
                <w:rFonts w:ascii="Times New Roman" w:hAnsi="Times New Roman" w:eastAsia="宋体"/>
                <w:color w:val="auto"/>
                <w:sz w:val="24"/>
                <w:szCs w:val="24"/>
              </w:rPr>
              <w:t>“</w:t>
            </w:r>
            <w:r>
              <w:rPr>
                <w:rFonts w:ascii="Times New Roman" w:eastAsia="宋体"/>
                <w:color w:val="auto"/>
                <w:sz w:val="24"/>
                <w:szCs w:val="24"/>
              </w:rPr>
              <w:t>掏穴</w:t>
            </w:r>
            <w:r>
              <w:rPr>
                <w:rFonts w:ascii="Times New Roman" w:hAnsi="Times New Roman" w:eastAsia="宋体"/>
                <w:color w:val="auto"/>
                <w:sz w:val="24"/>
                <w:szCs w:val="24"/>
              </w:rPr>
              <w:t>”</w:t>
            </w:r>
            <w:r>
              <w:rPr>
                <w:rFonts w:ascii="Times New Roman" w:eastAsia="宋体"/>
                <w:color w:val="auto"/>
                <w:sz w:val="24"/>
                <w:szCs w:val="24"/>
              </w:rPr>
              <w:t>钻井结构，掏穴深度</w:t>
            </w:r>
            <w:r>
              <w:rPr>
                <w:rFonts w:ascii="Times New Roman" w:hAnsi="Times New Roman" w:eastAsia="宋体"/>
                <w:color w:val="auto"/>
                <w:sz w:val="24"/>
                <w:szCs w:val="24"/>
              </w:rPr>
              <w:t>30m</w:t>
            </w:r>
            <w:r>
              <w:rPr>
                <w:rFonts w:ascii="Times New Roman" w:eastAsia="宋体"/>
                <w:color w:val="auto"/>
                <w:sz w:val="24"/>
                <w:szCs w:val="24"/>
              </w:rPr>
              <w:t>，其结构特征如下：</w:t>
            </w:r>
          </w:p>
          <w:p w14:paraId="7F37C0EE">
            <w:pPr>
              <w:spacing w:line="360" w:lineRule="auto"/>
              <w:ind w:firstLine="480" w:firstLineChars="200"/>
              <w:outlineLvl w:val="1"/>
              <w:rPr>
                <w:rFonts w:ascii="Times New Roman" w:hAnsi="Times New Roman"/>
                <w:bCs/>
                <w:color w:val="auto"/>
                <w:sz w:val="24"/>
              </w:rPr>
            </w:pPr>
            <w:r>
              <w:rPr>
                <w:rFonts w:ascii="Times New Roman" w:hAnsi="宋体"/>
                <w:bCs/>
                <w:color w:val="auto"/>
                <w:sz w:val="24"/>
              </w:rPr>
              <w:t>一开：</w:t>
            </w:r>
            <w:r>
              <w:rPr>
                <w:rFonts w:ascii="Times New Roman" w:hAnsi="Times New Roman"/>
                <w:bCs/>
                <w:color w:val="auto"/>
                <w:sz w:val="24"/>
              </w:rPr>
              <w:t>0</w:t>
            </w:r>
            <w:r>
              <w:rPr>
                <w:rFonts w:ascii="Times New Roman" w:hAnsi="宋体"/>
                <w:bCs/>
                <w:color w:val="auto"/>
                <w:sz w:val="24"/>
              </w:rPr>
              <w:t>～</w:t>
            </w:r>
            <w:r>
              <w:rPr>
                <w:rFonts w:ascii="Times New Roman" w:hAnsi="Times New Roman"/>
                <w:bCs/>
                <w:color w:val="auto"/>
                <w:sz w:val="24"/>
              </w:rPr>
              <w:t>977m</w:t>
            </w:r>
            <w:r>
              <w:rPr>
                <w:rFonts w:ascii="Times New Roman" w:hAnsi="宋体"/>
                <w:bCs/>
                <w:color w:val="auto"/>
                <w:sz w:val="24"/>
              </w:rPr>
              <w:t>（</w:t>
            </w:r>
            <w:r>
              <w:rPr>
                <w:rFonts w:ascii="Times New Roman" w:hAnsi="Times New Roman"/>
                <w:bCs/>
                <w:color w:val="auto"/>
                <w:sz w:val="24"/>
              </w:rPr>
              <w:t>13</w:t>
            </w:r>
            <w:r>
              <w:rPr>
                <w:rFonts w:ascii="Times New Roman" w:hAnsi="Times New Roman"/>
                <w:bCs/>
                <w:color w:val="auto"/>
                <w:sz w:val="24"/>
                <w:vertAlign w:val="subscript"/>
              </w:rPr>
              <w:t>-1</w:t>
            </w:r>
            <w:r>
              <w:rPr>
                <w:rFonts w:ascii="Times New Roman" w:hAnsi="宋体"/>
                <w:bCs/>
                <w:color w:val="auto"/>
                <w:sz w:val="24"/>
              </w:rPr>
              <w:t>煤层顶板之上</w:t>
            </w:r>
            <w:r>
              <w:rPr>
                <w:rFonts w:ascii="Times New Roman" w:hAnsi="Times New Roman"/>
                <w:bCs/>
                <w:color w:val="auto"/>
                <w:sz w:val="24"/>
              </w:rPr>
              <w:t>10m</w:t>
            </w:r>
            <w:r>
              <w:rPr>
                <w:rFonts w:ascii="Times New Roman" w:hAnsi="宋体"/>
                <w:bCs/>
                <w:color w:val="auto"/>
                <w:sz w:val="24"/>
              </w:rPr>
              <w:t>，冒落带之上</w:t>
            </w:r>
            <w:r>
              <w:rPr>
                <w:rFonts w:ascii="Times New Roman" w:hAnsi="Times New Roman"/>
                <w:bCs/>
                <w:color w:val="auto"/>
                <w:sz w:val="24"/>
              </w:rPr>
              <w:t>1m</w:t>
            </w:r>
            <w:r>
              <w:rPr>
                <w:rFonts w:ascii="Times New Roman" w:hAnsi="宋体"/>
                <w:bCs/>
                <w:color w:val="auto"/>
                <w:sz w:val="24"/>
              </w:rPr>
              <w:t>），</w:t>
            </w:r>
            <w:r>
              <w:rPr>
                <w:rFonts w:ascii="Times New Roman" w:hAnsi="Times New Roman"/>
                <w:bCs/>
                <w:color w:val="auto"/>
                <w:sz w:val="24"/>
              </w:rPr>
              <w:t>Φ350mm</w:t>
            </w:r>
            <w:r>
              <w:rPr>
                <w:rFonts w:ascii="Times New Roman" w:hAnsi="宋体"/>
                <w:bCs/>
                <w:color w:val="auto"/>
                <w:sz w:val="24"/>
              </w:rPr>
              <w:t>孔径，下</w:t>
            </w:r>
            <w:r>
              <w:rPr>
                <w:rFonts w:ascii="Times New Roman" w:hAnsi="Times New Roman"/>
                <w:bCs/>
                <w:color w:val="auto"/>
                <w:sz w:val="24"/>
              </w:rPr>
              <w:t>Φ273×10.16mm</w:t>
            </w:r>
            <w:r>
              <w:rPr>
                <w:rFonts w:ascii="Times New Roman" w:hAnsi="宋体"/>
                <w:bCs/>
                <w:color w:val="auto"/>
                <w:sz w:val="24"/>
              </w:rPr>
              <w:t>护壁管；</w:t>
            </w:r>
            <w:r>
              <w:rPr>
                <w:rFonts w:ascii="Times New Roman" w:hAnsi="Times New Roman"/>
                <w:bCs/>
                <w:color w:val="auto"/>
                <w:sz w:val="24"/>
              </w:rPr>
              <w:t xml:space="preserve"> </w:t>
            </w:r>
          </w:p>
          <w:p w14:paraId="17042E9E">
            <w:pPr>
              <w:spacing w:line="360" w:lineRule="auto"/>
              <w:ind w:firstLine="480" w:firstLineChars="200"/>
              <w:outlineLvl w:val="1"/>
              <w:rPr>
                <w:rFonts w:ascii="Times New Roman" w:hAnsi="Times New Roman"/>
                <w:bCs/>
                <w:color w:val="auto"/>
                <w:sz w:val="24"/>
              </w:rPr>
            </w:pPr>
            <w:r>
              <w:rPr>
                <w:rFonts w:ascii="Times New Roman" w:hAnsi="宋体"/>
                <w:bCs/>
                <w:color w:val="auto"/>
                <w:sz w:val="24"/>
              </w:rPr>
              <w:t>二开：</w:t>
            </w:r>
            <w:r>
              <w:rPr>
                <w:rFonts w:ascii="Times New Roman" w:hAnsi="Times New Roman"/>
                <w:bCs/>
                <w:color w:val="auto"/>
                <w:sz w:val="24"/>
              </w:rPr>
              <w:t>977</w:t>
            </w:r>
            <w:r>
              <w:rPr>
                <w:rFonts w:ascii="Times New Roman" w:hAnsi="宋体"/>
                <w:bCs/>
                <w:color w:val="auto"/>
                <w:sz w:val="24"/>
              </w:rPr>
              <w:t>～</w:t>
            </w:r>
            <w:r>
              <w:rPr>
                <w:rFonts w:ascii="Times New Roman" w:hAnsi="Times New Roman"/>
                <w:bCs/>
                <w:color w:val="auto"/>
                <w:sz w:val="24"/>
              </w:rPr>
              <w:t>1051m</w:t>
            </w:r>
            <w:r>
              <w:rPr>
                <w:rFonts w:ascii="Times New Roman" w:hAnsi="宋体"/>
                <w:bCs/>
                <w:color w:val="auto"/>
                <w:sz w:val="24"/>
              </w:rPr>
              <w:t>（</w:t>
            </w:r>
            <w:r>
              <w:rPr>
                <w:rFonts w:ascii="Times New Roman" w:hAnsi="Times New Roman"/>
                <w:bCs/>
                <w:color w:val="auto"/>
                <w:sz w:val="24"/>
              </w:rPr>
              <w:t>11</w:t>
            </w:r>
            <w:r>
              <w:rPr>
                <w:rFonts w:ascii="Times New Roman" w:hAnsi="Times New Roman"/>
                <w:color w:val="auto"/>
                <w:sz w:val="24"/>
                <w:vertAlign w:val="subscript"/>
              </w:rPr>
              <w:t>-2</w:t>
            </w:r>
            <w:r>
              <w:rPr>
                <w:rFonts w:ascii="Times New Roman" w:hAnsi="宋体"/>
                <w:bCs/>
                <w:color w:val="auto"/>
                <w:sz w:val="24"/>
              </w:rPr>
              <w:t>煤层顶板之上</w:t>
            </w:r>
            <w:r>
              <w:rPr>
                <w:rFonts w:ascii="Times New Roman" w:hAnsi="Times New Roman"/>
                <w:bCs/>
                <w:color w:val="auto"/>
                <w:sz w:val="24"/>
              </w:rPr>
              <w:t>10m</w:t>
            </w:r>
            <w:r>
              <w:rPr>
                <w:rFonts w:ascii="Times New Roman" w:hAnsi="宋体"/>
                <w:bCs/>
                <w:color w:val="auto"/>
                <w:sz w:val="24"/>
              </w:rPr>
              <w:t>），</w:t>
            </w:r>
            <w:r>
              <w:rPr>
                <w:rFonts w:ascii="Times New Roman" w:hAnsi="Times New Roman"/>
                <w:bCs/>
                <w:color w:val="auto"/>
                <w:sz w:val="24"/>
              </w:rPr>
              <w:t>Φ244.5mm</w:t>
            </w:r>
            <w:r>
              <w:rPr>
                <w:rFonts w:ascii="Times New Roman" w:hAnsi="宋体"/>
                <w:bCs/>
                <w:color w:val="auto"/>
                <w:sz w:val="24"/>
              </w:rPr>
              <w:t>孔径，同时</w:t>
            </w:r>
            <w:r>
              <w:rPr>
                <w:rFonts w:ascii="Times New Roman" w:hAnsi="Times New Roman"/>
                <w:bCs/>
                <w:color w:val="auto"/>
                <w:sz w:val="24"/>
              </w:rPr>
              <w:t>0</w:t>
            </w:r>
            <w:r>
              <w:rPr>
                <w:rFonts w:ascii="Times New Roman" w:hAnsi="宋体"/>
                <w:bCs/>
                <w:color w:val="auto"/>
                <w:sz w:val="24"/>
              </w:rPr>
              <w:t>～</w:t>
            </w:r>
            <w:r>
              <w:rPr>
                <w:rFonts w:ascii="Times New Roman" w:hAnsi="Times New Roman"/>
                <w:bCs/>
                <w:color w:val="auto"/>
                <w:sz w:val="24"/>
              </w:rPr>
              <w:t>966m</w:t>
            </w:r>
            <w:r>
              <w:rPr>
                <w:rFonts w:ascii="Times New Roman" w:hAnsi="宋体"/>
                <w:bCs/>
                <w:color w:val="auto"/>
                <w:sz w:val="24"/>
              </w:rPr>
              <w:t>（</w:t>
            </w:r>
            <w:r>
              <w:rPr>
                <w:rFonts w:ascii="Times New Roman" w:hAnsi="Times New Roman"/>
                <w:bCs/>
                <w:color w:val="auto"/>
                <w:sz w:val="24"/>
              </w:rPr>
              <w:t>13</w:t>
            </w:r>
            <w:r>
              <w:rPr>
                <w:rFonts w:ascii="Times New Roman" w:hAnsi="Times New Roman"/>
                <w:color w:val="auto"/>
                <w:sz w:val="24"/>
                <w:vertAlign w:val="subscript"/>
              </w:rPr>
              <w:t>-1</w:t>
            </w:r>
            <w:r>
              <w:rPr>
                <w:rFonts w:ascii="Times New Roman" w:hAnsi="宋体"/>
                <w:bCs/>
                <w:color w:val="auto"/>
                <w:sz w:val="24"/>
              </w:rPr>
              <w:t>煤层顶板之上</w:t>
            </w:r>
            <w:r>
              <w:rPr>
                <w:rFonts w:ascii="Times New Roman" w:hAnsi="Times New Roman"/>
                <w:bCs/>
                <w:color w:val="auto"/>
                <w:sz w:val="24"/>
              </w:rPr>
              <w:t>21m</w:t>
            </w:r>
            <w:r>
              <w:rPr>
                <w:rFonts w:ascii="Times New Roman" w:hAnsi="宋体"/>
                <w:bCs/>
                <w:color w:val="auto"/>
                <w:sz w:val="24"/>
              </w:rPr>
              <w:t>），下</w:t>
            </w:r>
            <w:r>
              <w:rPr>
                <w:rFonts w:ascii="Times New Roman" w:hAnsi="Times New Roman"/>
                <w:bCs/>
                <w:color w:val="auto"/>
                <w:sz w:val="24"/>
              </w:rPr>
              <w:t>Φ177.8×9.19mm</w:t>
            </w:r>
            <w:r>
              <w:rPr>
                <w:rFonts w:ascii="Times New Roman" w:hAnsi="宋体"/>
                <w:bCs/>
                <w:color w:val="auto"/>
                <w:sz w:val="24"/>
              </w:rPr>
              <w:t>实管；</w:t>
            </w:r>
            <w:r>
              <w:rPr>
                <w:rFonts w:ascii="Times New Roman" w:hAnsi="Times New Roman"/>
                <w:bCs/>
                <w:color w:val="auto"/>
                <w:sz w:val="24"/>
              </w:rPr>
              <w:t>977</w:t>
            </w:r>
            <w:r>
              <w:rPr>
                <w:rFonts w:ascii="Times New Roman" w:hAnsi="宋体"/>
                <w:bCs/>
                <w:color w:val="auto"/>
                <w:sz w:val="24"/>
              </w:rPr>
              <w:t>～</w:t>
            </w:r>
            <w:r>
              <w:rPr>
                <w:rFonts w:ascii="Times New Roman" w:hAnsi="Times New Roman"/>
                <w:bCs/>
                <w:color w:val="auto"/>
                <w:sz w:val="24"/>
              </w:rPr>
              <w:t>966m</w:t>
            </w:r>
            <w:r>
              <w:rPr>
                <w:rFonts w:ascii="Times New Roman" w:hAnsi="宋体"/>
                <w:bCs/>
                <w:color w:val="auto"/>
                <w:sz w:val="24"/>
              </w:rPr>
              <w:t>（</w:t>
            </w:r>
            <w:r>
              <w:rPr>
                <w:rFonts w:ascii="Times New Roman" w:hAnsi="Times New Roman"/>
                <w:bCs/>
                <w:color w:val="auto"/>
                <w:sz w:val="24"/>
              </w:rPr>
              <w:t>13</w:t>
            </w:r>
            <w:r>
              <w:rPr>
                <w:rFonts w:ascii="Times New Roman" w:hAnsi="Times New Roman"/>
                <w:color w:val="auto"/>
                <w:sz w:val="24"/>
                <w:vertAlign w:val="subscript"/>
              </w:rPr>
              <w:t>-1</w:t>
            </w:r>
            <w:r>
              <w:rPr>
                <w:rFonts w:ascii="Times New Roman" w:hAnsi="宋体"/>
                <w:bCs/>
                <w:color w:val="auto"/>
                <w:sz w:val="24"/>
              </w:rPr>
              <w:t>煤层顶板之上</w:t>
            </w:r>
            <w:r>
              <w:rPr>
                <w:rFonts w:ascii="Times New Roman" w:hAnsi="Times New Roman"/>
                <w:bCs/>
                <w:color w:val="auto"/>
                <w:sz w:val="24"/>
              </w:rPr>
              <w:t>11m</w:t>
            </w:r>
            <w:r>
              <w:rPr>
                <w:rFonts w:ascii="Times New Roman" w:hAnsi="宋体"/>
                <w:bCs/>
                <w:color w:val="auto"/>
                <w:sz w:val="24"/>
              </w:rPr>
              <w:t>），下</w:t>
            </w:r>
            <w:r>
              <w:rPr>
                <w:rFonts w:ascii="Times New Roman" w:hAnsi="Times New Roman"/>
                <w:bCs/>
                <w:color w:val="auto"/>
                <w:sz w:val="24"/>
              </w:rPr>
              <w:t>Φ219×10.16mm</w:t>
            </w:r>
            <w:r>
              <w:rPr>
                <w:rFonts w:ascii="Times New Roman" w:hAnsi="宋体"/>
                <w:bCs/>
                <w:color w:val="auto"/>
                <w:sz w:val="24"/>
              </w:rPr>
              <w:t>实管；</w:t>
            </w:r>
            <w:r>
              <w:rPr>
                <w:rFonts w:ascii="Times New Roman" w:hAnsi="Times New Roman"/>
                <w:bCs/>
                <w:color w:val="auto"/>
                <w:sz w:val="24"/>
              </w:rPr>
              <w:t>977</w:t>
            </w:r>
            <w:r>
              <w:rPr>
                <w:rFonts w:ascii="Times New Roman" w:hAnsi="宋体"/>
                <w:bCs/>
                <w:color w:val="auto"/>
                <w:sz w:val="24"/>
              </w:rPr>
              <w:t>～</w:t>
            </w:r>
            <w:r>
              <w:rPr>
                <w:rFonts w:ascii="Times New Roman" w:hAnsi="Times New Roman"/>
                <w:bCs/>
                <w:color w:val="auto"/>
                <w:sz w:val="24"/>
              </w:rPr>
              <w:t>1026m</w:t>
            </w:r>
            <w:r>
              <w:rPr>
                <w:rFonts w:ascii="Times New Roman" w:hAnsi="宋体"/>
                <w:bCs/>
                <w:color w:val="auto"/>
                <w:sz w:val="24"/>
              </w:rPr>
              <w:t>，下</w:t>
            </w:r>
            <w:r>
              <w:rPr>
                <w:rFonts w:ascii="Times New Roman" w:hAnsi="Times New Roman"/>
                <w:bCs/>
                <w:color w:val="auto"/>
                <w:sz w:val="24"/>
              </w:rPr>
              <w:t>Φ177.8×13.72mm</w:t>
            </w:r>
            <w:r>
              <w:rPr>
                <w:rFonts w:ascii="Times New Roman" w:hAnsi="宋体"/>
                <w:bCs/>
                <w:color w:val="auto"/>
                <w:sz w:val="24"/>
              </w:rPr>
              <w:t>花管（和</w:t>
            </w:r>
            <w:r>
              <w:rPr>
                <w:rFonts w:ascii="Times New Roman" w:hAnsi="Times New Roman"/>
                <w:bCs/>
                <w:color w:val="auto"/>
                <w:sz w:val="24"/>
              </w:rPr>
              <w:t>Φ219×10.16mm</w:t>
            </w:r>
            <w:r>
              <w:rPr>
                <w:rFonts w:ascii="Times New Roman" w:hAnsi="宋体"/>
                <w:bCs/>
                <w:color w:val="auto"/>
                <w:sz w:val="24"/>
              </w:rPr>
              <w:t>实管重叠</w:t>
            </w:r>
            <w:r>
              <w:rPr>
                <w:rFonts w:ascii="Times New Roman" w:hAnsi="Times New Roman"/>
                <w:bCs/>
                <w:color w:val="auto"/>
                <w:sz w:val="24"/>
              </w:rPr>
              <w:t>10m</w:t>
            </w:r>
            <w:r>
              <w:rPr>
                <w:rFonts w:ascii="Times New Roman" w:hAnsi="宋体"/>
                <w:bCs/>
                <w:color w:val="auto"/>
                <w:sz w:val="24"/>
              </w:rPr>
              <w:t>）；</w:t>
            </w:r>
          </w:p>
          <w:p w14:paraId="44A87077">
            <w:pPr>
              <w:spacing w:line="360" w:lineRule="auto"/>
              <w:ind w:firstLine="480" w:firstLineChars="200"/>
              <w:rPr>
                <w:rFonts w:ascii="Times New Roman" w:hAnsi="Times New Roman"/>
                <w:color w:val="auto"/>
                <w:sz w:val="24"/>
              </w:rPr>
            </w:pPr>
            <w:r>
              <w:rPr>
                <w:rFonts w:ascii="Times New Roman" w:hAnsi="宋体"/>
                <w:color w:val="auto"/>
                <w:sz w:val="24"/>
              </w:rPr>
              <w:t>掏穴段：</w:t>
            </w:r>
            <w:r>
              <w:rPr>
                <w:rFonts w:ascii="Times New Roman" w:hAnsi="Times New Roman"/>
                <w:color w:val="auto"/>
                <w:sz w:val="24"/>
              </w:rPr>
              <w:t>13</w:t>
            </w:r>
            <w:r>
              <w:rPr>
                <w:rFonts w:ascii="Times New Roman" w:hAnsi="Times New Roman"/>
                <w:color w:val="auto"/>
                <w:sz w:val="24"/>
                <w:vertAlign w:val="subscript"/>
              </w:rPr>
              <w:t>-1</w:t>
            </w:r>
            <w:r>
              <w:rPr>
                <w:rFonts w:ascii="Times New Roman" w:hAnsi="宋体"/>
                <w:color w:val="auto"/>
                <w:sz w:val="24"/>
              </w:rPr>
              <w:t>煤层顶板至</w:t>
            </w:r>
            <w:r>
              <w:rPr>
                <w:rFonts w:ascii="Times New Roman" w:hAnsi="Times New Roman"/>
                <w:color w:val="auto"/>
                <w:sz w:val="24"/>
              </w:rPr>
              <w:t>13</w:t>
            </w:r>
            <w:r>
              <w:rPr>
                <w:rFonts w:ascii="Times New Roman" w:hAnsi="Times New Roman"/>
                <w:color w:val="auto"/>
                <w:sz w:val="24"/>
                <w:vertAlign w:val="subscript"/>
              </w:rPr>
              <w:t>-1</w:t>
            </w:r>
            <w:r>
              <w:rPr>
                <w:rFonts w:ascii="Times New Roman" w:hAnsi="宋体"/>
                <w:color w:val="auto"/>
                <w:sz w:val="24"/>
              </w:rPr>
              <w:t>煤顶板下</w:t>
            </w:r>
            <w:r>
              <w:rPr>
                <w:rFonts w:ascii="Times New Roman" w:hAnsi="Times New Roman"/>
                <w:color w:val="auto"/>
                <w:sz w:val="24"/>
              </w:rPr>
              <w:t>50m</w:t>
            </w:r>
            <w:r>
              <w:rPr>
                <w:rFonts w:ascii="Times New Roman" w:hAnsi="宋体"/>
                <w:color w:val="auto"/>
                <w:sz w:val="24"/>
              </w:rPr>
              <w:t>段采用掏穴钻进，将孔径扩大为</w:t>
            </w:r>
            <w:r>
              <w:rPr>
                <w:rFonts w:ascii="Times New Roman" w:hAnsi="Times New Roman"/>
                <w:color w:val="auto"/>
                <w:sz w:val="24"/>
              </w:rPr>
              <w:t>Φ420mm</w:t>
            </w:r>
            <w:r>
              <w:rPr>
                <w:rFonts w:ascii="Times New Roman" w:hAnsi="宋体"/>
                <w:color w:val="auto"/>
                <w:sz w:val="24"/>
              </w:rPr>
              <w:t>。</w:t>
            </w:r>
          </w:p>
          <w:p w14:paraId="1BBEE587">
            <w:pPr>
              <w:spacing w:line="360" w:lineRule="auto"/>
              <w:ind w:firstLine="480" w:firstLineChars="200"/>
              <w:outlineLvl w:val="1"/>
              <w:rPr>
                <w:rFonts w:ascii="Times New Roman" w:hAnsi="Times New Roman"/>
                <w:bCs/>
                <w:color w:val="auto"/>
                <w:sz w:val="24"/>
              </w:rPr>
            </w:pPr>
            <w:r>
              <w:rPr>
                <w:rFonts w:ascii="Times New Roman" w:hAnsi="宋体"/>
                <w:color w:val="auto"/>
                <w:sz w:val="24"/>
              </w:rPr>
              <w:t>下套管：下置套管前先采用顺孔器顺孔，待顺利顺孔至套管下置深度后，进行下置套管工作，</w:t>
            </w:r>
            <w:r>
              <w:rPr>
                <w:rFonts w:ascii="Times New Roman" w:hAnsi="Times New Roman"/>
                <w:bCs/>
                <w:color w:val="auto"/>
                <w:sz w:val="24"/>
              </w:rPr>
              <w:t>Φ177.8×13.72mm</w:t>
            </w:r>
            <w:r>
              <w:rPr>
                <w:rFonts w:ascii="Times New Roman" w:hAnsi="宋体"/>
                <w:bCs/>
                <w:color w:val="auto"/>
                <w:sz w:val="24"/>
              </w:rPr>
              <w:t>（大孔径结构为</w:t>
            </w:r>
            <w:r>
              <w:rPr>
                <w:rFonts w:ascii="Times New Roman" w:hAnsi="Times New Roman"/>
                <w:bCs/>
                <w:color w:val="auto"/>
                <w:sz w:val="24"/>
              </w:rPr>
              <w:t>Φ244.5×13.84mm</w:t>
            </w:r>
            <w:r>
              <w:rPr>
                <w:rFonts w:ascii="Times New Roman" w:hAnsi="宋体"/>
                <w:bCs/>
                <w:color w:val="auto"/>
                <w:sz w:val="24"/>
              </w:rPr>
              <w:t>）筛管上口与</w:t>
            </w:r>
            <w:r>
              <w:rPr>
                <w:rFonts w:ascii="Times New Roman" w:hAnsi="Times New Roman"/>
                <w:bCs/>
                <w:color w:val="auto"/>
                <w:sz w:val="24"/>
              </w:rPr>
              <w:t>Φ219×10.16mm</w:t>
            </w:r>
            <w:r>
              <w:rPr>
                <w:rFonts w:ascii="Times New Roman" w:hAnsi="宋体"/>
                <w:bCs/>
                <w:color w:val="auto"/>
                <w:sz w:val="24"/>
              </w:rPr>
              <w:t>（大孔径结构为</w:t>
            </w:r>
            <w:r>
              <w:rPr>
                <w:rFonts w:ascii="Times New Roman" w:hAnsi="Times New Roman"/>
                <w:bCs/>
                <w:color w:val="auto"/>
                <w:sz w:val="24"/>
              </w:rPr>
              <w:t>Φ295×12.42mm</w:t>
            </w:r>
            <w:r>
              <w:rPr>
                <w:rFonts w:ascii="Times New Roman" w:hAnsi="宋体"/>
                <w:bCs/>
                <w:color w:val="auto"/>
                <w:sz w:val="24"/>
              </w:rPr>
              <w:t>）套管重叠</w:t>
            </w:r>
            <w:r>
              <w:rPr>
                <w:rFonts w:ascii="Times New Roman" w:hAnsi="Times New Roman"/>
                <w:bCs/>
                <w:color w:val="auto"/>
                <w:sz w:val="24"/>
              </w:rPr>
              <w:t>8m</w:t>
            </w:r>
            <w:r>
              <w:rPr>
                <w:rFonts w:ascii="Times New Roman" w:hAnsi="宋体"/>
                <w:bCs/>
                <w:color w:val="auto"/>
                <w:sz w:val="24"/>
              </w:rPr>
              <w:t>，在</w:t>
            </w:r>
            <w:r>
              <w:rPr>
                <w:rFonts w:ascii="Times New Roman" w:hAnsi="Times New Roman"/>
                <w:bCs/>
                <w:color w:val="auto"/>
                <w:sz w:val="24"/>
              </w:rPr>
              <w:t>11</w:t>
            </w:r>
            <w:r>
              <w:rPr>
                <w:rFonts w:ascii="Times New Roman" w:hAnsi="Times New Roman"/>
                <w:bCs/>
                <w:color w:val="auto"/>
                <w:sz w:val="24"/>
                <w:vertAlign w:val="subscript"/>
              </w:rPr>
              <w:t>-2</w:t>
            </w:r>
            <w:r>
              <w:rPr>
                <w:rFonts w:ascii="Times New Roman" w:hAnsi="宋体"/>
                <w:bCs/>
                <w:color w:val="auto"/>
                <w:sz w:val="24"/>
              </w:rPr>
              <w:t>煤顶板花管眼径为</w:t>
            </w:r>
            <w:r>
              <w:rPr>
                <w:rFonts w:ascii="Times New Roman" w:hAnsi="Times New Roman"/>
                <w:bCs/>
                <w:color w:val="auto"/>
                <w:sz w:val="24"/>
              </w:rPr>
              <w:t>Φ16</w:t>
            </w:r>
            <w:r>
              <w:rPr>
                <w:rFonts w:ascii="Times New Roman" w:hAnsi="宋体"/>
                <w:bCs/>
                <w:color w:val="auto"/>
                <w:sz w:val="24"/>
              </w:rPr>
              <w:t>～</w:t>
            </w:r>
            <w:r>
              <w:rPr>
                <w:rFonts w:ascii="Times New Roman" w:hAnsi="Times New Roman"/>
                <w:bCs/>
                <w:color w:val="auto"/>
                <w:sz w:val="24"/>
              </w:rPr>
              <w:t>18mm</w:t>
            </w:r>
            <w:r>
              <w:rPr>
                <w:rFonts w:ascii="Times New Roman" w:hAnsi="宋体"/>
                <w:bCs/>
                <w:color w:val="auto"/>
                <w:sz w:val="24"/>
              </w:rPr>
              <w:t>，在</w:t>
            </w:r>
            <w:r>
              <w:rPr>
                <w:rFonts w:ascii="Times New Roman" w:hAnsi="Times New Roman"/>
                <w:bCs/>
                <w:color w:val="auto"/>
                <w:sz w:val="24"/>
              </w:rPr>
              <w:t>13</w:t>
            </w:r>
            <w:r>
              <w:rPr>
                <w:rFonts w:ascii="Times New Roman" w:hAnsi="Times New Roman"/>
                <w:bCs/>
                <w:color w:val="auto"/>
                <w:sz w:val="24"/>
                <w:vertAlign w:val="subscript"/>
              </w:rPr>
              <w:t>-1</w:t>
            </w:r>
            <w:r>
              <w:rPr>
                <w:rFonts w:ascii="Times New Roman" w:hAnsi="宋体"/>
                <w:bCs/>
                <w:color w:val="auto"/>
                <w:sz w:val="24"/>
              </w:rPr>
              <w:t>煤顶板花管眼径</w:t>
            </w:r>
            <w:r>
              <w:rPr>
                <w:rFonts w:ascii="Times New Roman" w:hAnsi="Times New Roman"/>
                <w:bCs/>
                <w:color w:val="auto"/>
                <w:sz w:val="24"/>
              </w:rPr>
              <w:t>Φ12</w:t>
            </w:r>
            <w:r>
              <w:rPr>
                <w:rFonts w:ascii="Times New Roman" w:hAnsi="宋体"/>
                <w:bCs/>
                <w:color w:val="auto"/>
                <w:sz w:val="24"/>
              </w:rPr>
              <w:t>～</w:t>
            </w:r>
            <w:r>
              <w:rPr>
                <w:rFonts w:ascii="Times New Roman" w:hAnsi="Times New Roman"/>
                <w:bCs/>
                <w:color w:val="auto"/>
                <w:sz w:val="24"/>
              </w:rPr>
              <w:t>14mm</w:t>
            </w:r>
            <w:r>
              <w:rPr>
                <w:rFonts w:ascii="Times New Roman" w:hAnsi="宋体"/>
                <w:bCs/>
                <w:color w:val="auto"/>
                <w:sz w:val="24"/>
              </w:rPr>
              <w:t>。</w:t>
            </w:r>
          </w:p>
          <w:p w14:paraId="6ED613F7">
            <w:pPr>
              <w:spacing w:line="360" w:lineRule="auto"/>
              <w:ind w:firstLine="480" w:firstLineChars="200"/>
              <w:rPr>
                <w:rFonts w:ascii="Times New Roman" w:hAnsi="Times New Roman"/>
                <w:color w:val="auto"/>
                <w:sz w:val="24"/>
              </w:rPr>
            </w:pPr>
            <w:r>
              <w:rPr>
                <w:rFonts w:ascii="Times New Roman" w:hAnsi="Times New Roman"/>
                <w:color w:val="auto"/>
                <w:sz w:val="24"/>
              </w:rPr>
              <w:t>固管：套管下入后，下一步工作是将水泥泵入套管并使之充满套管外环形空间。即将配制好的水泥浆，注入套管，并按照设计要求使水泥浆在管外环形空间上返到规定的高度，施工前必须对水泥浆用量进行精确的计算，施工时，要使用地面设备和辅助装置，</w:t>
            </w:r>
            <w:r>
              <w:rPr>
                <w:rFonts w:hint="eastAsia" w:ascii="Times New Roman" w:hAnsi="Times New Roman"/>
                <w:color w:val="auto"/>
                <w:sz w:val="24"/>
                <w:lang w:val="en-US" w:eastAsia="zh-CN"/>
              </w:rPr>
              <w:t>并</w:t>
            </w:r>
            <w:r>
              <w:rPr>
                <w:rFonts w:ascii="Times New Roman" w:hAnsi="Times New Roman"/>
                <w:color w:val="auto"/>
                <w:sz w:val="24"/>
              </w:rPr>
              <w:t>进行严密的组织施工等。</w:t>
            </w:r>
          </w:p>
          <w:p w14:paraId="574FA7AF">
            <w:pPr>
              <w:spacing w:line="360" w:lineRule="auto"/>
              <w:ind w:firstLine="480" w:firstLineChars="200"/>
              <w:rPr>
                <w:rFonts w:ascii="Times New Roman" w:hAnsi="Times New Roman"/>
                <w:color w:val="auto"/>
                <w:sz w:val="24"/>
              </w:rPr>
            </w:pPr>
            <w:r>
              <w:rPr>
                <w:rFonts w:ascii="Times New Roman" w:hAnsi="Times New Roman"/>
                <w:color w:val="auto"/>
                <w:sz w:val="24"/>
              </w:rPr>
              <w:t>拆除钻机：拆除钻机并清理现场，恢复施工区内生态环境，此工序会产生噪声与建筑垃圾。</w:t>
            </w:r>
          </w:p>
          <w:p w14:paraId="5E158AD9">
            <w:pPr>
              <w:pStyle w:val="22"/>
              <w:rPr>
                <w:rFonts w:ascii="Times New Roman" w:hAnsi="Times New Roman"/>
                <w:color w:val="auto"/>
                <w:sz w:val="24"/>
              </w:rPr>
            </w:pPr>
          </w:p>
          <w:p w14:paraId="13E376C2">
            <w:pPr>
              <w:pStyle w:val="22"/>
              <w:rPr>
                <w:rFonts w:ascii="Times New Roman" w:hAnsi="Times New Roman"/>
                <w:color w:val="auto"/>
                <w:sz w:val="24"/>
              </w:rPr>
            </w:pPr>
          </w:p>
          <w:p w14:paraId="623BBAE8">
            <w:pPr>
              <w:pStyle w:val="22"/>
              <w:rPr>
                <w:rFonts w:ascii="Times New Roman" w:hAnsi="Times New Roman"/>
                <w:color w:val="auto"/>
                <w:sz w:val="24"/>
              </w:rPr>
            </w:pPr>
          </w:p>
          <w:p w14:paraId="0C63CF58">
            <w:pPr>
              <w:pStyle w:val="22"/>
              <w:rPr>
                <w:rFonts w:ascii="Times New Roman" w:hAnsi="Times New Roman"/>
                <w:color w:val="auto"/>
                <w:sz w:val="24"/>
              </w:rPr>
            </w:pPr>
          </w:p>
          <w:p w14:paraId="68899DC1">
            <w:pPr>
              <w:pStyle w:val="22"/>
              <w:rPr>
                <w:rFonts w:ascii="Times New Roman" w:hAnsi="Times New Roman"/>
                <w:color w:val="auto"/>
                <w:sz w:val="24"/>
              </w:rPr>
            </w:pPr>
          </w:p>
          <w:p w14:paraId="32409376">
            <w:pPr>
              <w:pStyle w:val="22"/>
              <w:rPr>
                <w:rFonts w:ascii="Times New Roman" w:hAnsi="Times New Roman"/>
                <w:color w:val="auto"/>
                <w:sz w:val="24"/>
              </w:rPr>
            </w:pPr>
          </w:p>
          <w:p w14:paraId="6D9E3899">
            <w:pPr>
              <w:pStyle w:val="22"/>
              <w:rPr>
                <w:rFonts w:ascii="Times New Roman" w:hAnsi="Times New Roman"/>
                <w:color w:val="auto"/>
                <w:sz w:val="24"/>
              </w:rPr>
            </w:pPr>
          </w:p>
          <w:p w14:paraId="0CE68745">
            <w:pPr>
              <w:pStyle w:val="22"/>
              <w:rPr>
                <w:rFonts w:ascii="Times New Roman" w:hAnsi="Times New Roman"/>
                <w:color w:val="auto"/>
                <w:sz w:val="24"/>
              </w:rPr>
            </w:pPr>
          </w:p>
          <w:p w14:paraId="3A503482">
            <w:pPr>
              <w:pStyle w:val="22"/>
              <w:rPr>
                <w:rFonts w:ascii="Times New Roman" w:hAnsi="Times New Roman"/>
                <w:color w:val="auto"/>
                <w:sz w:val="24"/>
              </w:rPr>
            </w:pPr>
          </w:p>
          <w:p w14:paraId="4204ED6C">
            <w:pPr>
              <w:pStyle w:val="22"/>
              <w:rPr>
                <w:rFonts w:ascii="Times New Roman" w:hAnsi="Times New Roman"/>
                <w:color w:val="auto"/>
                <w:sz w:val="24"/>
              </w:rPr>
            </w:pPr>
          </w:p>
          <w:p w14:paraId="7BAAEA18">
            <w:pPr>
              <w:pStyle w:val="22"/>
              <w:rPr>
                <w:rFonts w:ascii="Times New Roman" w:hAnsi="Times New Roman"/>
                <w:color w:val="auto"/>
                <w:sz w:val="24"/>
              </w:rPr>
            </w:pPr>
          </w:p>
          <w:p w14:paraId="7FD3B7C6">
            <w:pPr>
              <w:pStyle w:val="22"/>
              <w:rPr>
                <w:rFonts w:ascii="Times New Roman" w:hAnsi="Times New Roman"/>
                <w:color w:val="auto"/>
                <w:sz w:val="24"/>
              </w:rPr>
            </w:pPr>
          </w:p>
          <w:p w14:paraId="452F0EEC">
            <w:pPr>
              <w:pStyle w:val="22"/>
              <w:rPr>
                <w:rFonts w:ascii="Times New Roman" w:hAnsi="Times New Roman"/>
                <w:color w:val="auto"/>
                <w:sz w:val="24"/>
              </w:rPr>
            </w:pPr>
          </w:p>
          <w:p w14:paraId="6533DD81">
            <w:pPr>
              <w:pStyle w:val="22"/>
              <w:rPr>
                <w:rFonts w:ascii="Times New Roman" w:hAnsi="Times New Roman"/>
                <w:color w:val="auto"/>
                <w:sz w:val="24"/>
              </w:rPr>
            </w:pPr>
          </w:p>
          <w:p w14:paraId="47D02C70">
            <w:pPr>
              <w:pStyle w:val="22"/>
              <w:rPr>
                <w:rFonts w:ascii="Times New Roman" w:hAnsi="Times New Roman"/>
                <w:color w:val="auto"/>
                <w:sz w:val="24"/>
              </w:rPr>
            </w:pPr>
          </w:p>
          <w:p w14:paraId="63AC8348">
            <w:pPr>
              <w:pStyle w:val="22"/>
              <w:rPr>
                <w:rFonts w:ascii="Times New Roman" w:hAnsi="Times New Roman"/>
                <w:color w:val="auto"/>
                <w:sz w:val="24"/>
              </w:rPr>
            </w:pPr>
          </w:p>
          <w:p w14:paraId="199488EB">
            <w:pPr>
              <w:pStyle w:val="22"/>
              <w:rPr>
                <w:rFonts w:ascii="Times New Roman" w:hAnsi="Times New Roman"/>
                <w:color w:val="auto"/>
                <w:sz w:val="24"/>
              </w:rPr>
            </w:pPr>
          </w:p>
          <w:p w14:paraId="408F13CA">
            <w:pPr>
              <w:pStyle w:val="22"/>
              <w:rPr>
                <w:rFonts w:ascii="Times New Roman" w:hAnsi="Times New Roman"/>
                <w:color w:val="auto"/>
                <w:sz w:val="24"/>
              </w:rPr>
            </w:pPr>
          </w:p>
          <w:p w14:paraId="0293B558">
            <w:pPr>
              <w:pStyle w:val="22"/>
              <w:rPr>
                <w:rFonts w:ascii="Times New Roman" w:hAnsi="Times New Roman"/>
                <w:color w:val="auto"/>
                <w:sz w:val="24"/>
              </w:rPr>
            </w:pPr>
          </w:p>
          <w:p w14:paraId="698685B7">
            <w:pPr>
              <w:pStyle w:val="22"/>
              <w:rPr>
                <w:rFonts w:ascii="Times New Roman" w:hAnsi="Times New Roman"/>
                <w:color w:val="auto"/>
                <w:sz w:val="24"/>
              </w:rPr>
            </w:pPr>
          </w:p>
          <w:p w14:paraId="20F16A45">
            <w:pPr>
              <w:pStyle w:val="22"/>
              <w:rPr>
                <w:rFonts w:ascii="Times New Roman" w:hAnsi="Times New Roman"/>
                <w:color w:val="auto"/>
                <w:sz w:val="24"/>
              </w:rPr>
            </w:pPr>
          </w:p>
          <w:p w14:paraId="1B120934">
            <w:pPr>
              <w:pStyle w:val="22"/>
              <w:rPr>
                <w:rFonts w:ascii="Times New Roman" w:hAnsi="Times New Roman"/>
                <w:color w:val="auto"/>
                <w:sz w:val="24"/>
              </w:rPr>
            </w:pPr>
          </w:p>
          <w:p w14:paraId="4E9C138D">
            <w:pPr>
              <w:adjustRightInd w:val="0"/>
              <w:snapToGrid w:val="0"/>
              <w:jc w:val="center"/>
              <w:rPr>
                <w:rFonts w:ascii="Times New Roman" w:hAnsi="Times New Roman"/>
                <w:color w:val="auto"/>
                <w:kern w:val="0"/>
                <w:szCs w:val="21"/>
              </w:rPr>
            </w:pPr>
            <w:r>
              <w:rPr>
                <w:rFonts w:hint="eastAsia" w:ascii="仿宋" w:hAnsi="仿宋" w:eastAsia="仿宋"/>
                <w:b/>
                <w:bCs/>
                <w:color w:val="auto"/>
                <w:sz w:val="24"/>
                <w:highlight w:val="none"/>
              </w:rPr>
              <w:pict>
                <v:shape id="Object 239" o:spid="_x0000_s1026" o:spt="75" type="#_x0000_t75" style="position:absolute;left:0pt;margin-left:3.6pt;margin-top:-67.35pt;height:454.95pt;width:379.4pt;mso-wrap-distance-bottom:0pt;mso-wrap-distance-top:0pt;z-index:251665408;mso-width-relative:page;mso-height-relative:page;" o:ole="t" filled="f" o:preferrelative="t" stroked="f" coordsize="21600,21600">
                  <v:path/>
                  <v:fill on="f" focussize="0,0"/>
                  <v:stroke on="f"/>
                  <v:imagedata r:id="rId23" cropleft="28787f" croptop="14734f" cropright="24364f" cropbottom="9768f" o:title=""/>
                  <o:lock v:ext="edit" aspectratio="f"/>
                  <w10:wrap type="topAndBottom"/>
                </v:shape>
                <o:OLEObject Type="Embed" ProgID="" ShapeID="Object 239" DrawAspect="Content" ObjectID="_1468075725" r:id="rId22">
                  <o:LockedField>false</o:LockedField>
                </o:OLEObject>
              </w:pict>
            </w:r>
          </w:p>
          <w:p w14:paraId="6B32A09B">
            <w:pPr>
              <w:pStyle w:val="8"/>
              <w:jc w:val="center"/>
              <w:rPr>
                <w:rFonts w:ascii="Times New Roman" w:hAnsi="Times New Roman"/>
                <w:b/>
                <w:color w:val="auto"/>
              </w:rPr>
            </w:pPr>
            <w:r>
              <w:rPr>
                <w:rFonts w:ascii="Times New Roman" w:hAnsi="Times New Roman"/>
                <w:b/>
                <w:color w:val="auto"/>
              </w:rPr>
              <w:t>图2-</w:t>
            </w:r>
            <w:r>
              <w:rPr>
                <w:rFonts w:hint="eastAsia" w:ascii="Times New Roman" w:hAnsi="Times New Roman"/>
                <w:b/>
                <w:color w:val="auto"/>
                <w:lang w:val="en-US" w:eastAsia="zh-CN"/>
              </w:rPr>
              <w:t>4</w:t>
            </w:r>
            <w:r>
              <w:rPr>
                <w:rFonts w:ascii="Times New Roman" w:hAnsi="Times New Roman"/>
                <w:b/>
                <w:color w:val="auto"/>
              </w:rPr>
              <w:t xml:space="preserve"> 项目钻井结构示意图</w:t>
            </w:r>
          </w:p>
          <w:p w14:paraId="6499AA8B">
            <w:pPr>
              <w:spacing w:line="360" w:lineRule="auto"/>
              <w:ind w:firstLine="480" w:firstLineChars="200"/>
              <w:rPr>
                <w:rFonts w:ascii="Times New Roman" w:hAnsi="Times New Roman"/>
                <w:color w:val="auto"/>
                <w:sz w:val="24"/>
              </w:rPr>
            </w:pPr>
            <w:r>
              <w:rPr>
                <w:rFonts w:ascii="Times New Roman" w:hAnsi="Times New Roman"/>
                <w:color w:val="auto"/>
                <w:sz w:val="24"/>
              </w:rPr>
              <w:t>3、生态恢复</w:t>
            </w:r>
          </w:p>
          <w:p w14:paraId="6E5C37B0">
            <w:pPr>
              <w:pStyle w:val="30"/>
              <w:ind w:firstLine="480"/>
              <w:rPr>
                <w:rFonts w:ascii="Times New Roman" w:hAnsi="Times New Roman" w:eastAsia="宋体"/>
                <w:color w:val="auto"/>
                <w:sz w:val="24"/>
              </w:rPr>
            </w:pPr>
            <w:r>
              <w:rPr>
                <w:rFonts w:ascii="Times New Roman" w:hAnsi="Times New Roman" w:eastAsia="宋体"/>
                <w:color w:val="auto"/>
                <w:sz w:val="24"/>
              </w:rPr>
              <w:t>对钻井井场能重复利用的设施搬迁利用，不能利用的统一收集交回收单位处置；对构筑的设备基础拆除后作业场地进行平整，清除场内固体废物，对钻井场地等实施复垦、生态恢复。</w:t>
            </w:r>
            <w:r>
              <w:rPr>
                <w:rFonts w:hint="eastAsia" w:ascii="Times New Roman" w:hAnsi="Times New Roman" w:eastAsia="宋体"/>
                <w:color w:val="auto"/>
                <w:sz w:val="24"/>
              </w:rPr>
              <w:t>后期清场时场内各重点防渗区防渗材料拆除后应做危废处置。</w:t>
            </w:r>
          </w:p>
          <w:p w14:paraId="348F39E6">
            <w:pPr>
              <w:autoSpaceDE w:val="0"/>
              <w:autoSpaceDN w:val="0"/>
              <w:spacing w:line="360" w:lineRule="auto"/>
              <w:ind w:firstLine="482" w:firstLineChars="200"/>
              <w:rPr>
                <w:rFonts w:ascii="Times New Roman" w:hAnsi="Times New Roman"/>
                <w:b/>
                <w:color w:val="auto"/>
                <w:szCs w:val="21"/>
              </w:rPr>
            </w:pPr>
            <w:r>
              <w:rPr>
                <w:rFonts w:ascii="Times New Roman" w:hAnsi="Times New Roman"/>
                <w:b/>
                <w:bCs/>
                <w:color w:val="auto"/>
                <w:sz w:val="24"/>
                <w:shd w:val="clear" w:color="auto" w:fill="FFFFFF"/>
              </w:rPr>
              <w:t>2、施工设备</w:t>
            </w:r>
          </w:p>
          <w:p w14:paraId="1EAF8B85">
            <w:pPr>
              <w:pStyle w:val="23"/>
              <w:jc w:val="center"/>
              <w:rPr>
                <w:rFonts w:ascii="Times New Roman" w:hAnsi="Times New Roman"/>
                <w:b/>
                <w:color w:val="auto"/>
                <w:sz w:val="21"/>
                <w:szCs w:val="21"/>
              </w:rPr>
            </w:pPr>
            <w:r>
              <w:rPr>
                <w:rFonts w:ascii="Times New Roman" w:hAnsi="Times New Roman"/>
                <w:b/>
                <w:color w:val="auto"/>
                <w:sz w:val="21"/>
                <w:szCs w:val="21"/>
              </w:rPr>
              <w:t>表2-</w:t>
            </w:r>
            <w:r>
              <w:rPr>
                <w:rFonts w:hint="eastAsia" w:ascii="Times New Roman" w:hAnsi="Times New Roman"/>
                <w:b/>
                <w:color w:val="auto"/>
                <w:sz w:val="21"/>
                <w:szCs w:val="21"/>
                <w:lang w:val="en-US" w:eastAsia="zh-CN"/>
              </w:rPr>
              <w:t>3</w:t>
            </w:r>
            <w:r>
              <w:rPr>
                <w:rFonts w:hint="eastAsia" w:ascii="Times New Roman" w:hAnsi="Times New Roman"/>
                <w:b/>
                <w:color w:val="auto"/>
                <w:sz w:val="21"/>
                <w:szCs w:val="21"/>
              </w:rPr>
              <w:t xml:space="preserve"> </w:t>
            </w:r>
            <w:r>
              <w:rPr>
                <w:rFonts w:ascii="Times New Roman" w:hAnsi="Times New Roman"/>
                <w:b/>
                <w:color w:val="auto"/>
                <w:sz w:val="21"/>
                <w:szCs w:val="21"/>
              </w:rPr>
              <w:t xml:space="preserve"> 项目施工设备一览表</w:t>
            </w:r>
          </w:p>
          <w:tbl>
            <w:tblPr>
              <w:tblStyle w:val="17"/>
              <w:tblW w:w="7801" w:type="dxa"/>
              <w:tblInd w:w="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1820"/>
              <w:gridCol w:w="3508"/>
              <w:gridCol w:w="1582"/>
            </w:tblGrid>
            <w:tr w14:paraId="31126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91" w:type="dxa"/>
                  <w:noWrap w:val="0"/>
                  <w:vAlign w:val="center"/>
                </w:tcPr>
                <w:p w14:paraId="219CB4E2">
                  <w:pPr>
                    <w:widowControl/>
                    <w:jc w:val="center"/>
                    <w:rPr>
                      <w:rFonts w:ascii="Times New Roman" w:hAnsi="Times New Roman"/>
                      <w:color w:val="auto"/>
                      <w:kern w:val="0"/>
                      <w:szCs w:val="21"/>
                    </w:rPr>
                  </w:pPr>
                  <w:r>
                    <w:rPr>
                      <w:rFonts w:ascii="Times New Roman" w:hAnsi="Times New Roman"/>
                      <w:color w:val="auto"/>
                      <w:kern w:val="0"/>
                      <w:szCs w:val="21"/>
                    </w:rPr>
                    <w:t>序号</w:t>
                  </w:r>
                </w:p>
              </w:tc>
              <w:tc>
                <w:tcPr>
                  <w:tcW w:w="1820" w:type="dxa"/>
                  <w:noWrap w:val="0"/>
                  <w:vAlign w:val="center"/>
                </w:tcPr>
                <w:p w14:paraId="46FEE63A">
                  <w:pPr>
                    <w:widowControl/>
                    <w:jc w:val="center"/>
                    <w:rPr>
                      <w:rFonts w:ascii="Times New Roman" w:hAnsi="Times New Roman"/>
                      <w:color w:val="auto"/>
                      <w:kern w:val="0"/>
                      <w:szCs w:val="21"/>
                    </w:rPr>
                  </w:pPr>
                  <w:r>
                    <w:rPr>
                      <w:rFonts w:ascii="Times New Roman" w:hAnsi="Times New Roman"/>
                      <w:color w:val="auto"/>
                      <w:kern w:val="0"/>
                      <w:szCs w:val="21"/>
                    </w:rPr>
                    <w:t>名称</w:t>
                  </w:r>
                </w:p>
              </w:tc>
              <w:tc>
                <w:tcPr>
                  <w:tcW w:w="3508" w:type="dxa"/>
                  <w:noWrap w:val="0"/>
                  <w:vAlign w:val="center"/>
                </w:tcPr>
                <w:p w14:paraId="1A40C4D5">
                  <w:pPr>
                    <w:widowControl/>
                    <w:jc w:val="center"/>
                    <w:rPr>
                      <w:rFonts w:ascii="Times New Roman" w:hAnsi="Times New Roman"/>
                      <w:color w:val="auto"/>
                      <w:kern w:val="0"/>
                      <w:szCs w:val="21"/>
                    </w:rPr>
                  </w:pPr>
                  <w:r>
                    <w:rPr>
                      <w:rFonts w:ascii="Times New Roman" w:hAnsi="Times New Roman"/>
                      <w:color w:val="auto"/>
                      <w:kern w:val="0"/>
                      <w:szCs w:val="21"/>
                    </w:rPr>
                    <w:t>型号</w:t>
                  </w:r>
                </w:p>
              </w:tc>
              <w:tc>
                <w:tcPr>
                  <w:tcW w:w="1582" w:type="dxa"/>
                  <w:noWrap w:val="0"/>
                  <w:vAlign w:val="center"/>
                </w:tcPr>
                <w:p w14:paraId="571219D5">
                  <w:pPr>
                    <w:widowControl/>
                    <w:jc w:val="center"/>
                    <w:rPr>
                      <w:rFonts w:hint="eastAsia" w:ascii="Times New Roman" w:hAnsi="Times New Roman" w:eastAsia="宋体"/>
                      <w:color w:val="auto"/>
                      <w:kern w:val="0"/>
                      <w:szCs w:val="21"/>
                      <w:lang w:eastAsia="zh-CN"/>
                    </w:rPr>
                  </w:pPr>
                  <w:r>
                    <w:rPr>
                      <w:rFonts w:ascii="Times New Roman" w:hAnsi="Times New Roman"/>
                      <w:color w:val="auto"/>
                      <w:kern w:val="0"/>
                      <w:szCs w:val="21"/>
                    </w:rPr>
                    <w:t>数量</w:t>
                  </w:r>
                  <w:r>
                    <w:rPr>
                      <w:rFonts w:hint="eastAsia" w:ascii="Times New Roman" w:hAnsi="Times New Roman"/>
                      <w:color w:val="auto"/>
                      <w:kern w:val="0"/>
                      <w:szCs w:val="21"/>
                      <w:lang w:eastAsia="zh-CN"/>
                    </w:rPr>
                    <w:t>（</w:t>
                  </w:r>
                  <w:r>
                    <w:rPr>
                      <w:rFonts w:hint="eastAsia" w:ascii="Times New Roman" w:hAnsi="Times New Roman"/>
                      <w:color w:val="auto"/>
                      <w:kern w:val="0"/>
                      <w:szCs w:val="21"/>
                      <w:lang w:val="en-US" w:eastAsia="zh-CN"/>
                    </w:rPr>
                    <w:t>台</w:t>
                  </w:r>
                  <w:r>
                    <w:rPr>
                      <w:rFonts w:hint="eastAsia" w:ascii="Times New Roman" w:hAnsi="Times New Roman"/>
                      <w:color w:val="auto"/>
                      <w:kern w:val="0"/>
                      <w:szCs w:val="21"/>
                      <w:lang w:eastAsia="zh-CN"/>
                    </w:rPr>
                    <w:t>）</w:t>
                  </w:r>
                </w:p>
              </w:tc>
            </w:tr>
            <w:tr w14:paraId="43567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91" w:type="dxa"/>
                  <w:noWrap w:val="0"/>
                  <w:vAlign w:val="center"/>
                </w:tcPr>
                <w:p w14:paraId="6A1E5BF2">
                  <w:pPr>
                    <w:widowControl/>
                    <w:jc w:val="center"/>
                    <w:rPr>
                      <w:rFonts w:ascii="Times New Roman" w:hAnsi="Times New Roman"/>
                      <w:color w:val="auto"/>
                      <w:kern w:val="0"/>
                      <w:szCs w:val="21"/>
                    </w:rPr>
                  </w:pPr>
                  <w:r>
                    <w:rPr>
                      <w:rFonts w:ascii="Times New Roman" w:hAnsi="Times New Roman"/>
                      <w:color w:val="auto"/>
                      <w:kern w:val="0"/>
                      <w:szCs w:val="21"/>
                    </w:rPr>
                    <w:t>1</w:t>
                  </w:r>
                </w:p>
              </w:tc>
              <w:tc>
                <w:tcPr>
                  <w:tcW w:w="1820" w:type="dxa"/>
                  <w:shd w:val="clear" w:color="auto" w:fill="auto"/>
                  <w:noWrap w:val="0"/>
                  <w:vAlign w:val="center"/>
                </w:tcPr>
                <w:p w14:paraId="3DE5D767">
                  <w:pPr>
                    <w:widowControl/>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color w:val="auto"/>
                      <w:kern w:val="0"/>
                      <w:szCs w:val="21"/>
                    </w:rPr>
                    <w:t>钻机</w:t>
                  </w:r>
                  <w:r>
                    <w:rPr>
                      <w:rFonts w:hint="eastAsia" w:ascii="Times New Roman" w:hAnsi="Times New Roman"/>
                      <w:color w:val="auto"/>
                      <w:kern w:val="0"/>
                      <w:szCs w:val="21"/>
                      <w:lang w:val="en-US" w:eastAsia="zh-CN"/>
                    </w:rPr>
                    <w:t>及配套设施</w:t>
                  </w:r>
                </w:p>
              </w:tc>
              <w:tc>
                <w:tcPr>
                  <w:tcW w:w="3508" w:type="dxa"/>
                  <w:shd w:val="clear" w:color="auto" w:fill="auto"/>
                  <w:noWrap w:val="0"/>
                  <w:vAlign w:val="center"/>
                </w:tcPr>
                <w:p w14:paraId="4C8894C5">
                  <w:pPr>
                    <w:widowControl/>
                    <w:jc w:val="center"/>
                    <w:rPr>
                      <w:rFonts w:ascii="Times New Roman" w:hAnsi="Times New Roman" w:eastAsia="宋体" w:cs="Times New Roman"/>
                      <w:color w:val="auto"/>
                      <w:kern w:val="0"/>
                      <w:sz w:val="21"/>
                      <w:szCs w:val="21"/>
                      <w:lang w:val="en-US" w:eastAsia="zh-CN" w:bidi="ar-SA"/>
                    </w:rPr>
                  </w:pPr>
                  <w:r>
                    <w:rPr>
                      <w:rFonts w:ascii="Times New Roman" w:hAnsi="Times New Roman"/>
                      <w:color w:val="auto"/>
                      <w:kern w:val="0"/>
                      <w:szCs w:val="21"/>
                    </w:rPr>
                    <w:t>TSJ-2000钻机</w:t>
                  </w:r>
                </w:p>
              </w:tc>
              <w:tc>
                <w:tcPr>
                  <w:tcW w:w="1582" w:type="dxa"/>
                  <w:shd w:val="clear" w:color="auto" w:fill="auto"/>
                  <w:noWrap w:val="0"/>
                  <w:vAlign w:val="center"/>
                </w:tcPr>
                <w:p w14:paraId="7AD48BD0">
                  <w:pPr>
                    <w:widowControl/>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olor w:val="auto"/>
                      <w:kern w:val="0"/>
                      <w:szCs w:val="21"/>
                      <w:lang w:val="en-US" w:eastAsia="zh-CN"/>
                    </w:rPr>
                    <w:t>5</w:t>
                  </w:r>
                </w:p>
              </w:tc>
            </w:tr>
            <w:tr w14:paraId="51689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91" w:type="dxa"/>
                  <w:noWrap w:val="0"/>
                  <w:vAlign w:val="center"/>
                </w:tcPr>
                <w:p w14:paraId="5E0FC167">
                  <w:pPr>
                    <w:widowControl/>
                    <w:jc w:val="center"/>
                    <w:rPr>
                      <w:rFonts w:hint="default" w:ascii="Times New Roman" w:hAnsi="Times New Roman"/>
                      <w:color w:val="auto"/>
                      <w:kern w:val="0"/>
                      <w:szCs w:val="21"/>
                      <w:lang w:val="en-US" w:eastAsia="zh-CN"/>
                    </w:rPr>
                  </w:pPr>
                  <w:r>
                    <w:rPr>
                      <w:rFonts w:hint="eastAsia" w:ascii="Times New Roman" w:hAnsi="Times New Roman"/>
                      <w:color w:val="auto"/>
                      <w:kern w:val="0"/>
                      <w:szCs w:val="21"/>
                      <w:lang w:val="en-US" w:eastAsia="zh-CN"/>
                    </w:rPr>
                    <w:t>2</w:t>
                  </w:r>
                </w:p>
              </w:tc>
              <w:tc>
                <w:tcPr>
                  <w:tcW w:w="1820" w:type="dxa"/>
                  <w:shd w:val="clear" w:color="auto" w:fill="auto"/>
                  <w:noWrap w:val="0"/>
                  <w:vAlign w:val="center"/>
                </w:tcPr>
                <w:p w14:paraId="29F6985E">
                  <w:pPr>
                    <w:widowControl/>
                    <w:jc w:val="center"/>
                    <w:rPr>
                      <w:rFonts w:hint="default" w:ascii="Times New Roman" w:hAnsi="Times New Roman"/>
                      <w:color w:val="auto"/>
                      <w:kern w:val="0"/>
                      <w:szCs w:val="21"/>
                      <w:lang w:val="en-US" w:eastAsia="zh-CN"/>
                    </w:rPr>
                  </w:pPr>
                  <w:r>
                    <w:rPr>
                      <w:rFonts w:hint="eastAsia" w:ascii="Times New Roman" w:hAnsi="Times New Roman"/>
                      <w:color w:val="auto"/>
                      <w:kern w:val="0"/>
                      <w:szCs w:val="21"/>
                      <w:lang w:val="en-US" w:eastAsia="zh-CN"/>
                    </w:rPr>
                    <w:t>钻井泵</w:t>
                  </w:r>
                </w:p>
              </w:tc>
              <w:tc>
                <w:tcPr>
                  <w:tcW w:w="3508" w:type="dxa"/>
                  <w:shd w:val="clear" w:color="auto" w:fill="auto"/>
                  <w:noWrap w:val="0"/>
                  <w:vAlign w:val="center"/>
                </w:tcPr>
                <w:p w14:paraId="10C85BF7">
                  <w:pPr>
                    <w:widowControl/>
                    <w:jc w:val="center"/>
                    <w:rPr>
                      <w:rFonts w:hint="eastAsia" w:ascii="Times New Roman" w:hAnsi="Times New Roman"/>
                      <w:color w:val="auto"/>
                      <w:kern w:val="0"/>
                      <w:szCs w:val="21"/>
                      <w:lang w:val="en-US" w:eastAsia="zh-CN"/>
                    </w:rPr>
                  </w:pPr>
                  <w:r>
                    <w:rPr>
                      <w:rFonts w:hint="eastAsia" w:ascii="Times New Roman" w:hAnsi="Times New Roman"/>
                      <w:color w:val="auto"/>
                      <w:kern w:val="0"/>
                      <w:szCs w:val="21"/>
                      <w:lang w:val="en-US" w:eastAsia="zh-CN"/>
                    </w:rPr>
                    <w:t>N3NB-500</w:t>
                  </w:r>
                </w:p>
              </w:tc>
              <w:tc>
                <w:tcPr>
                  <w:tcW w:w="1582" w:type="dxa"/>
                  <w:shd w:val="clear" w:color="auto" w:fill="auto"/>
                  <w:noWrap w:val="0"/>
                  <w:vAlign w:val="center"/>
                </w:tcPr>
                <w:p w14:paraId="22C4BD49">
                  <w:pPr>
                    <w:widowControl/>
                    <w:jc w:val="center"/>
                    <w:rPr>
                      <w:rFonts w:hint="default" w:ascii="Times New Roman" w:hAnsi="Times New Roman"/>
                      <w:color w:val="auto"/>
                      <w:kern w:val="0"/>
                      <w:szCs w:val="21"/>
                      <w:lang w:val="en-US" w:eastAsia="zh-CN"/>
                    </w:rPr>
                  </w:pPr>
                  <w:r>
                    <w:rPr>
                      <w:rFonts w:hint="eastAsia" w:ascii="Times New Roman" w:hAnsi="Times New Roman"/>
                      <w:color w:val="auto"/>
                      <w:kern w:val="0"/>
                      <w:szCs w:val="21"/>
                      <w:lang w:val="en-US" w:eastAsia="zh-CN"/>
                    </w:rPr>
                    <w:t>5</w:t>
                  </w:r>
                </w:p>
              </w:tc>
            </w:tr>
            <w:tr w14:paraId="03F90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91" w:type="dxa"/>
                  <w:noWrap w:val="0"/>
                  <w:vAlign w:val="center"/>
                </w:tcPr>
                <w:p w14:paraId="31260299">
                  <w:pPr>
                    <w:widowControl/>
                    <w:jc w:val="center"/>
                    <w:rPr>
                      <w:rFonts w:hint="eastAsia" w:ascii="Times New Roman" w:hAnsi="Times New Roman" w:eastAsia="宋体"/>
                      <w:color w:val="auto"/>
                      <w:kern w:val="0"/>
                      <w:szCs w:val="21"/>
                      <w:lang w:eastAsia="zh-CN"/>
                    </w:rPr>
                  </w:pPr>
                  <w:r>
                    <w:rPr>
                      <w:rFonts w:hint="eastAsia" w:ascii="Times New Roman" w:hAnsi="Times New Roman"/>
                      <w:color w:val="auto"/>
                      <w:kern w:val="0"/>
                      <w:szCs w:val="21"/>
                      <w:lang w:val="en-US" w:eastAsia="zh-CN"/>
                    </w:rPr>
                    <w:t>3</w:t>
                  </w:r>
                </w:p>
              </w:tc>
              <w:tc>
                <w:tcPr>
                  <w:tcW w:w="1820" w:type="dxa"/>
                  <w:shd w:val="clear" w:color="auto" w:fill="auto"/>
                  <w:noWrap w:val="0"/>
                  <w:vAlign w:val="center"/>
                </w:tcPr>
                <w:p w14:paraId="3B28B070">
                  <w:pPr>
                    <w:widowControl/>
                    <w:jc w:val="center"/>
                    <w:rPr>
                      <w:rFonts w:ascii="Times New Roman" w:hAnsi="Times New Roman" w:eastAsia="宋体" w:cs="Times New Roman"/>
                      <w:color w:val="auto"/>
                      <w:kern w:val="0"/>
                      <w:sz w:val="21"/>
                      <w:szCs w:val="21"/>
                      <w:lang w:val="en-US" w:eastAsia="zh-CN" w:bidi="ar-SA"/>
                    </w:rPr>
                  </w:pPr>
                  <w:r>
                    <w:rPr>
                      <w:rFonts w:ascii="Times New Roman" w:hAnsi="Times New Roman"/>
                      <w:color w:val="auto"/>
                      <w:kern w:val="0"/>
                      <w:szCs w:val="21"/>
                    </w:rPr>
                    <w:t>泥浆泵</w:t>
                  </w:r>
                </w:p>
              </w:tc>
              <w:tc>
                <w:tcPr>
                  <w:tcW w:w="3508" w:type="dxa"/>
                  <w:shd w:val="clear" w:color="auto" w:fill="auto"/>
                  <w:noWrap w:val="0"/>
                  <w:vAlign w:val="center"/>
                </w:tcPr>
                <w:p w14:paraId="5CE85988">
                  <w:pPr>
                    <w:widowControl/>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color w:val="auto"/>
                      <w:kern w:val="0"/>
                      <w:szCs w:val="21"/>
                    </w:rPr>
                    <w:t>TBW1 200.</w:t>
                  </w:r>
                </w:p>
              </w:tc>
              <w:tc>
                <w:tcPr>
                  <w:tcW w:w="1582" w:type="dxa"/>
                  <w:shd w:val="clear" w:color="auto" w:fill="auto"/>
                  <w:noWrap w:val="0"/>
                  <w:vAlign w:val="center"/>
                </w:tcPr>
                <w:p w14:paraId="63ACFB06">
                  <w:pPr>
                    <w:widowControl/>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5</w:t>
                  </w:r>
                </w:p>
              </w:tc>
            </w:tr>
            <w:tr w14:paraId="360B9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91" w:type="dxa"/>
                  <w:noWrap w:val="0"/>
                  <w:vAlign w:val="center"/>
                </w:tcPr>
                <w:p w14:paraId="0DFCF1A2">
                  <w:pPr>
                    <w:widowControl/>
                    <w:jc w:val="center"/>
                    <w:rPr>
                      <w:rFonts w:hint="eastAsia"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4</w:t>
                  </w:r>
                </w:p>
              </w:tc>
              <w:tc>
                <w:tcPr>
                  <w:tcW w:w="1820" w:type="dxa"/>
                  <w:shd w:val="clear" w:color="auto" w:fill="auto"/>
                  <w:noWrap w:val="0"/>
                  <w:vAlign w:val="center"/>
                </w:tcPr>
                <w:p w14:paraId="7BE041BD">
                  <w:pPr>
                    <w:widowControl/>
                    <w:jc w:val="center"/>
                    <w:rPr>
                      <w:rFonts w:hint="eastAsia" w:ascii="Times New Roman" w:hAnsi="Times New Roman" w:eastAsia="宋体"/>
                      <w:color w:val="auto"/>
                      <w:szCs w:val="21"/>
                      <w:lang w:val="en-US" w:eastAsia="zh-CN"/>
                    </w:rPr>
                  </w:pPr>
                  <w:r>
                    <w:rPr>
                      <w:rFonts w:hint="eastAsia" w:ascii="Times New Roman" w:hAnsi="Times New Roman"/>
                      <w:color w:val="auto"/>
                      <w:szCs w:val="21"/>
                      <w:lang w:val="en-US" w:eastAsia="zh-CN"/>
                    </w:rPr>
                    <w:t>绞车</w:t>
                  </w:r>
                </w:p>
              </w:tc>
              <w:tc>
                <w:tcPr>
                  <w:tcW w:w="3508" w:type="dxa"/>
                  <w:shd w:val="clear" w:color="auto" w:fill="auto"/>
                  <w:noWrap w:val="0"/>
                  <w:vAlign w:val="center"/>
                </w:tcPr>
                <w:p w14:paraId="0973252C">
                  <w:pPr>
                    <w:widowControl/>
                    <w:jc w:val="center"/>
                    <w:rPr>
                      <w:rFonts w:hint="default"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JC100</w:t>
                  </w:r>
                </w:p>
              </w:tc>
              <w:tc>
                <w:tcPr>
                  <w:tcW w:w="1582" w:type="dxa"/>
                  <w:shd w:val="clear" w:color="auto" w:fill="auto"/>
                  <w:noWrap w:val="0"/>
                  <w:vAlign w:val="center"/>
                </w:tcPr>
                <w:p w14:paraId="7601220C">
                  <w:pPr>
                    <w:widowControl/>
                    <w:jc w:val="center"/>
                    <w:rPr>
                      <w:rFonts w:hint="default" w:ascii="Times New Roman" w:hAnsi="Times New Roman"/>
                      <w:color w:val="auto"/>
                      <w:kern w:val="0"/>
                      <w:szCs w:val="21"/>
                      <w:lang w:val="en-US" w:eastAsia="zh-CN"/>
                    </w:rPr>
                  </w:pPr>
                  <w:r>
                    <w:rPr>
                      <w:rFonts w:hint="eastAsia" w:ascii="Times New Roman" w:hAnsi="Times New Roman"/>
                      <w:color w:val="auto"/>
                      <w:kern w:val="0"/>
                      <w:szCs w:val="21"/>
                      <w:lang w:val="en-US" w:eastAsia="zh-CN"/>
                    </w:rPr>
                    <w:t>5</w:t>
                  </w:r>
                </w:p>
              </w:tc>
            </w:tr>
            <w:tr w14:paraId="555A0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91" w:type="dxa"/>
                  <w:noWrap w:val="0"/>
                  <w:vAlign w:val="center"/>
                </w:tcPr>
                <w:p w14:paraId="59696482">
                  <w:pPr>
                    <w:widowControl/>
                    <w:jc w:val="center"/>
                    <w:rPr>
                      <w:rFonts w:hint="default" w:ascii="Times New Roman" w:hAnsi="Times New Roman"/>
                      <w:color w:val="auto"/>
                      <w:kern w:val="0"/>
                      <w:szCs w:val="21"/>
                      <w:lang w:val="en-US" w:eastAsia="zh-CN"/>
                    </w:rPr>
                  </w:pPr>
                  <w:r>
                    <w:rPr>
                      <w:rFonts w:hint="eastAsia" w:ascii="Times New Roman" w:hAnsi="Times New Roman"/>
                      <w:color w:val="auto"/>
                      <w:kern w:val="0"/>
                      <w:szCs w:val="21"/>
                      <w:lang w:val="en-US" w:eastAsia="zh-CN"/>
                    </w:rPr>
                    <w:t>5</w:t>
                  </w:r>
                </w:p>
              </w:tc>
              <w:tc>
                <w:tcPr>
                  <w:tcW w:w="1820" w:type="dxa"/>
                  <w:shd w:val="clear" w:color="auto" w:fill="auto"/>
                  <w:noWrap w:val="0"/>
                  <w:vAlign w:val="center"/>
                </w:tcPr>
                <w:p w14:paraId="11201426">
                  <w:pPr>
                    <w:widowControl/>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钻头</w:t>
                  </w:r>
                </w:p>
              </w:tc>
              <w:tc>
                <w:tcPr>
                  <w:tcW w:w="3508" w:type="dxa"/>
                  <w:shd w:val="clear" w:color="auto" w:fill="auto"/>
                  <w:noWrap w:val="0"/>
                  <w:vAlign w:val="center"/>
                </w:tcPr>
                <w:p w14:paraId="430EC16D">
                  <w:pPr>
                    <w:widowControl/>
                    <w:jc w:val="center"/>
                    <w:rPr>
                      <w:rFonts w:hint="default" w:ascii="Times New Roman" w:hAnsi="Times New Roman"/>
                      <w:color w:val="auto"/>
                      <w:kern w:val="0"/>
                      <w:szCs w:val="21"/>
                      <w:lang w:val="en-US" w:eastAsia="zh-CN"/>
                    </w:rPr>
                  </w:pPr>
                  <w:r>
                    <w:rPr>
                      <w:rFonts w:hint="eastAsia" w:ascii="Times New Roman" w:hAnsi="Times New Roman"/>
                      <w:color w:val="auto"/>
                      <w:kern w:val="0"/>
                      <w:szCs w:val="21"/>
                      <w:lang w:val="en-US" w:eastAsia="zh-CN"/>
                    </w:rPr>
                    <w:t>/</w:t>
                  </w:r>
                </w:p>
              </w:tc>
              <w:tc>
                <w:tcPr>
                  <w:tcW w:w="1582" w:type="dxa"/>
                  <w:shd w:val="clear" w:color="auto" w:fill="auto"/>
                  <w:noWrap w:val="0"/>
                  <w:vAlign w:val="center"/>
                </w:tcPr>
                <w:p w14:paraId="305D049B">
                  <w:pPr>
                    <w:widowControl/>
                    <w:jc w:val="center"/>
                    <w:rPr>
                      <w:rFonts w:hint="default" w:ascii="Times New Roman" w:hAnsi="Times New Roman"/>
                      <w:color w:val="auto"/>
                      <w:kern w:val="0"/>
                      <w:szCs w:val="21"/>
                      <w:lang w:val="en-US" w:eastAsia="zh-CN"/>
                    </w:rPr>
                  </w:pPr>
                  <w:r>
                    <w:rPr>
                      <w:rFonts w:hint="eastAsia" w:ascii="Times New Roman" w:hAnsi="Times New Roman"/>
                      <w:color w:val="auto"/>
                      <w:kern w:val="0"/>
                      <w:szCs w:val="21"/>
                      <w:lang w:val="en-US" w:eastAsia="zh-CN"/>
                    </w:rPr>
                    <w:t>5</w:t>
                  </w:r>
                </w:p>
              </w:tc>
            </w:tr>
          </w:tbl>
          <w:p w14:paraId="5FEFA1CA">
            <w:pPr>
              <w:pStyle w:val="23"/>
              <w:adjustRightInd/>
              <w:spacing w:line="360" w:lineRule="auto"/>
              <w:ind w:firstLine="482" w:firstLineChars="200"/>
              <w:jc w:val="both"/>
              <w:rPr>
                <w:rFonts w:ascii="Times New Roman" w:hAnsi="Times New Roman"/>
                <w:b/>
                <w:color w:val="auto"/>
              </w:rPr>
            </w:pPr>
            <w:r>
              <w:rPr>
                <w:rFonts w:hint="eastAsia" w:ascii="Times New Roman" w:hAnsi="Times New Roman"/>
                <w:b/>
                <w:color w:val="auto"/>
              </w:rPr>
              <w:t>3</w:t>
            </w:r>
            <w:r>
              <w:rPr>
                <w:rFonts w:ascii="Times New Roman" w:hAnsi="Times New Roman"/>
                <w:b/>
                <w:color w:val="auto"/>
              </w:rPr>
              <w:t>、项目主要原辅材料、能源及设备</w:t>
            </w:r>
          </w:p>
          <w:p w14:paraId="753DA3DB">
            <w:pPr>
              <w:spacing w:line="360" w:lineRule="auto"/>
              <w:jc w:val="center"/>
              <w:rPr>
                <w:rFonts w:ascii="Times New Roman" w:hAnsi="Times New Roman"/>
                <w:b/>
                <w:color w:val="auto"/>
                <w:szCs w:val="21"/>
              </w:rPr>
            </w:pPr>
            <w:r>
              <w:rPr>
                <w:rFonts w:ascii="Times New Roman" w:hAnsi="Times New Roman"/>
                <w:b/>
                <w:color w:val="auto"/>
                <w:szCs w:val="21"/>
              </w:rPr>
              <w:t>表2-</w:t>
            </w:r>
            <w:r>
              <w:rPr>
                <w:rFonts w:hint="eastAsia" w:ascii="Times New Roman" w:hAnsi="Times New Roman"/>
                <w:b/>
                <w:color w:val="auto"/>
                <w:szCs w:val="21"/>
                <w:lang w:val="en-US" w:eastAsia="zh-CN"/>
              </w:rPr>
              <w:t>4</w:t>
            </w:r>
            <w:r>
              <w:rPr>
                <w:rFonts w:ascii="Times New Roman" w:hAnsi="Times New Roman"/>
                <w:b/>
                <w:color w:val="auto"/>
                <w:szCs w:val="21"/>
              </w:rPr>
              <w:t xml:space="preserve">  原辅材料和动力供应用量一览表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826"/>
              <w:gridCol w:w="1554"/>
              <w:gridCol w:w="1273"/>
              <w:gridCol w:w="1694"/>
              <w:gridCol w:w="1131"/>
              <w:gridCol w:w="1363"/>
            </w:tblGrid>
            <w:tr w14:paraId="27D6B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826" w:type="dxa"/>
                  <w:noWrap w:val="0"/>
                  <w:vAlign w:val="center"/>
                </w:tcPr>
                <w:p w14:paraId="30C9A42D">
                  <w:pPr>
                    <w:widowControl/>
                    <w:jc w:val="center"/>
                    <w:textAlignment w:val="center"/>
                    <w:rPr>
                      <w:rFonts w:ascii="Times New Roman" w:hAnsi="Times New Roman"/>
                      <w:color w:val="auto"/>
                      <w:kern w:val="0"/>
                      <w:szCs w:val="21"/>
                    </w:rPr>
                  </w:pPr>
                  <w:r>
                    <w:rPr>
                      <w:rFonts w:ascii="Times New Roman" w:hAnsi="Times New Roman"/>
                      <w:color w:val="auto"/>
                      <w:kern w:val="0"/>
                      <w:szCs w:val="21"/>
                    </w:rPr>
                    <w:t>序号</w:t>
                  </w:r>
                </w:p>
              </w:tc>
              <w:tc>
                <w:tcPr>
                  <w:tcW w:w="1554" w:type="dxa"/>
                  <w:noWrap w:val="0"/>
                  <w:vAlign w:val="center"/>
                </w:tcPr>
                <w:p w14:paraId="7DACDE02">
                  <w:pPr>
                    <w:widowControl/>
                    <w:jc w:val="center"/>
                    <w:textAlignment w:val="center"/>
                    <w:rPr>
                      <w:rFonts w:ascii="Times New Roman" w:hAnsi="Times New Roman"/>
                      <w:color w:val="auto"/>
                      <w:szCs w:val="21"/>
                    </w:rPr>
                  </w:pPr>
                  <w:r>
                    <w:rPr>
                      <w:rFonts w:ascii="Times New Roman" w:hAnsi="Times New Roman"/>
                      <w:color w:val="auto"/>
                      <w:kern w:val="0"/>
                      <w:szCs w:val="21"/>
                    </w:rPr>
                    <w:t>原材料和能源</w:t>
                  </w:r>
                </w:p>
              </w:tc>
              <w:tc>
                <w:tcPr>
                  <w:tcW w:w="1273" w:type="dxa"/>
                  <w:noWrap w:val="0"/>
                  <w:vAlign w:val="center"/>
                </w:tcPr>
                <w:p w14:paraId="03B4C4A7">
                  <w:pPr>
                    <w:widowControl/>
                    <w:jc w:val="center"/>
                    <w:textAlignment w:val="center"/>
                    <w:rPr>
                      <w:rFonts w:ascii="Times New Roman" w:hAnsi="Times New Roman"/>
                      <w:color w:val="auto"/>
                      <w:szCs w:val="21"/>
                    </w:rPr>
                  </w:pPr>
                  <w:r>
                    <w:rPr>
                      <w:rFonts w:ascii="Times New Roman" w:hAnsi="Times New Roman"/>
                      <w:color w:val="auto"/>
                      <w:kern w:val="0"/>
                      <w:szCs w:val="21"/>
                    </w:rPr>
                    <w:t>用量</w:t>
                  </w:r>
                </w:p>
              </w:tc>
              <w:tc>
                <w:tcPr>
                  <w:tcW w:w="1694" w:type="dxa"/>
                  <w:noWrap w:val="0"/>
                  <w:vAlign w:val="center"/>
                </w:tcPr>
                <w:p w14:paraId="73E9209D">
                  <w:pPr>
                    <w:jc w:val="center"/>
                    <w:textAlignment w:val="center"/>
                    <w:rPr>
                      <w:rFonts w:ascii="Times New Roman" w:hAnsi="Times New Roman"/>
                      <w:color w:val="auto"/>
                      <w:szCs w:val="21"/>
                    </w:rPr>
                  </w:pPr>
                  <w:r>
                    <w:rPr>
                      <w:rFonts w:ascii="Times New Roman" w:hAnsi="Times New Roman"/>
                      <w:color w:val="auto"/>
                      <w:szCs w:val="21"/>
                    </w:rPr>
                    <w:t>最大存储量</w:t>
                  </w:r>
                </w:p>
              </w:tc>
              <w:tc>
                <w:tcPr>
                  <w:tcW w:w="1131" w:type="dxa"/>
                  <w:noWrap w:val="0"/>
                  <w:vAlign w:val="center"/>
                </w:tcPr>
                <w:p w14:paraId="4F91E116">
                  <w:pPr>
                    <w:widowControl/>
                    <w:jc w:val="center"/>
                    <w:textAlignment w:val="center"/>
                    <w:rPr>
                      <w:rFonts w:ascii="Times New Roman" w:hAnsi="Times New Roman"/>
                      <w:color w:val="auto"/>
                      <w:szCs w:val="21"/>
                    </w:rPr>
                  </w:pPr>
                  <w:r>
                    <w:rPr>
                      <w:rFonts w:ascii="Times New Roman" w:hAnsi="Times New Roman"/>
                      <w:color w:val="auto"/>
                      <w:kern w:val="0"/>
                      <w:szCs w:val="21"/>
                    </w:rPr>
                    <w:t>储存位置</w:t>
                  </w:r>
                </w:p>
              </w:tc>
              <w:tc>
                <w:tcPr>
                  <w:tcW w:w="1363" w:type="dxa"/>
                  <w:noWrap w:val="0"/>
                  <w:vAlign w:val="center"/>
                </w:tcPr>
                <w:p w14:paraId="31B25A20">
                  <w:pPr>
                    <w:widowControl/>
                    <w:jc w:val="center"/>
                    <w:textAlignment w:val="center"/>
                    <w:rPr>
                      <w:rFonts w:ascii="Times New Roman" w:hAnsi="Times New Roman"/>
                      <w:color w:val="auto"/>
                      <w:szCs w:val="21"/>
                    </w:rPr>
                  </w:pPr>
                  <w:r>
                    <w:rPr>
                      <w:rFonts w:ascii="Times New Roman" w:hAnsi="Times New Roman"/>
                      <w:color w:val="auto"/>
                      <w:szCs w:val="21"/>
                    </w:rPr>
                    <w:t>储存方式</w:t>
                  </w:r>
                </w:p>
              </w:tc>
            </w:tr>
            <w:tr w14:paraId="64F28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826" w:type="dxa"/>
                  <w:noWrap w:val="0"/>
                  <w:vAlign w:val="center"/>
                </w:tcPr>
                <w:p w14:paraId="5D61E5FF">
                  <w:pPr>
                    <w:widowControl/>
                    <w:jc w:val="center"/>
                    <w:textAlignment w:val="center"/>
                    <w:rPr>
                      <w:rFonts w:hint="eastAsia"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1</w:t>
                  </w:r>
                </w:p>
              </w:tc>
              <w:tc>
                <w:tcPr>
                  <w:tcW w:w="1554" w:type="dxa"/>
                  <w:noWrap w:val="0"/>
                  <w:vAlign w:val="center"/>
                </w:tcPr>
                <w:p w14:paraId="6414D6EE">
                  <w:pPr>
                    <w:widowControl/>
                    <w:jc w:val="center"/>
                    <w:textAlignment w:val="center"/>
                    <w:rPr>
                      <w:rFonts w:hint="eastAsia"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用电</w:t>
                  </w:r>
                </w:p>
              </w:tc>
              <w:tc>
                <w:tcPr>
                  <w:tcW w:w="1273" w:type="dxa"/>
                  <w:noWrap w:val="0"/>
                  <w:vAlign w:val="center"/>
                </w:tcPr>
                <w:p w14:paraId="6093C8A1">
                  <w:pPr>
                    <w:widowControl/>
                    <w:jc w:val="center"/>
                    <w:textAlignment w:val="center"/>
                    <w:rPr>
                      <w:rFonts w:hint="default"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300万度</w:t>
                  </w:r>
                </w:p>
              </w:tc>
              <w:tc>
                <w:tcPr>
                  <w:tcW w:w="1694" w:type="dxa"/>
                  <w:shd w:val="clear" w:color="auto" w:fill="auto"/>
                  <w:noWrap w:val="0"/>
                  <w:vAlign w:val="center"/>
                </w:tcPr>
                <w:p w14:paraId="43783E69">
                  <w:pPr>
                    <w:jc w:val="center"/>
                    <w:textAlignment w:val="center"/>
                    <w:rPr>
                      <w:rFonts w:ascii="Times New Roman" w:hAnsi="Times New Roman" w:eastAsia="宋体" w:cs="Times New Roman"/>
                      <w:color w:val="auto"/>
                      <w:kern w:val="0"/>
                      <w:sz w:val="21"/>
                      <w:szCs w:val="21"/>
                      <w:lang w:val="en-US" w:eastAsia="zh-CN" w:bidi="ar-SA"/>
                    </w:rPr>
                  </w:pPr>
                  <w:r>
                    <w:rPr>
                      <w:rFonts w:ascii="Times New Roman" w:hAnsi="Times New Roman"/>
                      <w:color w:val="auto"/>
                      <w:kern w:val="0"/>
                      <w:szCs w:val="21"/>
                    </w:rPr>
                    <w:t>/</w:t>
                  </w:r>
                </w:p>
              </w:tc>
              <w:tc>
                <w:tcPr>
                  <w:tcW w:w="1131" w:type="dxa"/>
                  <w:shd w:val="clear" w:color="auto" w:fill="auto"/>
                  <w:noWrap w:val="0"/>
                  <w:vAlign w:val="center"/>
                </w:tcPr>
                <w:p w14:paraId="2D2775C9">
                  <w:pPr>
                    <w:widowControl/>
                    <w:jc w:val="center"/>
                    <w:textAlignment w:val="center"/>
                    <w:rPr>
                      <w:rFonts w:ascii="Times New Roman" w:hAnsi="Times New Roman" w:eastAsia="宋体" w:cs="Times New Roman"/>
                      <w:color w:val="auto"/>
                      <w:kern w:val="0"/>
                      <w:sz w:val="21"/>
                      <w:szCs w:val="21"/>
                      <w:lang w:val="en-US" w:eastAsia="zh-CN" w:bidi="ar-SA"/>
                    </w:rPr>
                  </w:pPr>
                  <w:r>
                    <w:rPr>
                      <w:rFonts w:ascii="Times New Roman" w:hAnsi="Times New Roman"/>
                      <w:color w:val="auto"/>
                      <w:kern w:val="0"/>
                      <w:szCs w:val="21"/>
                    </w:rPr>
                    <w:t>/</w:t>
                  </w:r>
                </w:p>
              </w:tc>
              <w:tc>
                <w:tcPr>
                  <w:tcW w:w="1363" w:type="dxa"/>
                  <w:shd w:val="clear" w:color="auto" w:fill="auto"/>
                  <w:noWrap w:val="0"/>
                  <w:vAlign w:val="center"/>
                </w:tcPr>
                <w:p w14:paraId="7EAE42F5">
                  <w:pPr>
                    <w:widowControl/>
                    <w:jc w:val="center"/>
                    <w:textAlignment w:val="center"/>
                    <w:rPr>
                      <w:rFonts w:ascii="Times New Roman" w:hAnsi="Times New Roman" w:eastAsia="宋体" w:cs="Times New Roman"/>
                      <w:color w:val="auto"/>
                      <w:kern w:val="0"/>
                      <w:sz w:val="21"/>
                      <w:szCs w:val="21"/>
                      <w:lang w:val="en-US" w:eastAsia="zh-CN" w:bidi="ar-SA"/>
                    </w:rPr>
                  </w:pPr>
                  <w:r>
                    <w:rPr>
                      <w:rFonts w:ascii="Times New Roman" w:hAnsi="Times New Roman"/>
                      <w:color w:val="auto"/>
                      <w:kern w:val="0"/>
                      <w:szCs w:val="21"/>
                    </w:rPr>
                    <w:t>/</w:t>
                  </w:r>
                </w:p>
              </w:tc>
            </w:tr>
            <w:tr w14:paraId="5BE25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826" w:type="dxa"/>
                  <w:noWrap w:val="0"/>
                  <w:vAlign w:val="center"/>
                </w:tcPr>
                <w:p w14:paraId="34325F27">
                  <w:pPr>
                    <w:widowControl/>
                    <w:jc w:val="center"/>
                    <w:textAlignment w:val="center"/>
                    <w:rPr>
                      <w:rFonts w:hint="eastAsia" w:ascii="Times New Roman" w:hAnsi="Times New Roman" w:eastAsia="宋体"/>
                      <w:color w:val="auto"/>
                      <w:kern w:val="0"/>
                      <w:szCs w:val="21"/>
                      <w:lang w:eastAsia="zh-CN"/>
                    </w:rPr>
                  </w:pPr>
                  <w:r>
                    <w:rPr>
                      <w:rFonts w:hint="eastAsia" w:ascii="Times New Roman" w:hAnsi="Times New Roman"/>
                      <w:color w:val="auto"/>
                      <w:kern w:val="0"/>
                      <w:szCs w:val="21"/>
                      <w:lang w:val="en-US" w:eastAsia="zh-CN"/>
                    </w:rPr>
                    <w:t>2</w:t>
                  </w:r>
                </w:p>
              </w:tc>
              <w:tc>
                <w:tcPr>
                  <w:tcW w:w="1554" w:type="dxa"/>
                  <w:noWrap w:val="0"/>
                  <w:vAlign w:val="center"/>
                </w:tcPr>
                <w:p w14:paraId="32571DE0">
                  <w:pPr>
                    <w:widowControl/>
                    <w:jc w:val="center"/>
                    <w:textAlignment w:val="center"/>
                    <w:rPr>
                      <w:rFonts w:ascii="Times New Roman" w:hAnsi="Times New Roman"/>
                      <w:color w:val="auto"/>
                      <w:kern w:val="0"/>
                      <w:szCs w:val="21"/>
                    </w:rPr>
                  </w:pPr>
                  <w:r>
                    <w:rPr>
                      <w:rFonts w:ascii="Times New Roman" w:hAnsi="Times New Roman"/>
                      <w:color w:val="auto"/>
                      <w:kern w:val="0"/>
                      <w:szCs w:val="21"/>
                    </w:rPr>
                    <w:t>用水</w:t>
                  </w:r>
                </w:p>
              </w:tc>
              <w:tc>
                <w:tcPr>
                  <w:tcW w:w="1273" w:type="dxa"/>
                  <w:noWrap w:val="0"/>
                  <w:vAlign w:val="center"/>
                </w:tcPr>
                <w:p w14:paraId="038F8828">
                  <w:pPr>
                    <w:widowControl/>
                    <w:jc w:val="center"/>
                    <w:textAlignment w:val="center"/>
                    <w:rPr>
                      <w:rFonts w:ascii="Times New Roman" w:hAnsi="Times New Roman"/>
                      <w:color w:val="auto"/>
                      <w:kern w:val="0"/>
                      <w:szCs w:val="21"/>
                    </w:rPr>
                  </w:pPr>
                  <w:r>
                    <w:rPr>
                      <w:rFonts w:hint="eastAsia" w:ascii="Times New Roman" w:hAnsi="Times New Roman"/>
                      <w:color w:val="auto"/>
                      <w:kern w:val="0"/>
                      <w:szCs w:val="21"/>
                      <w:lang w:val="en-US" w:eastAsia="zh-CN"/>
                    </w:rPr>
                    <w:t>5032</w:t>
                  </w:r>
                  <w:r>
                    <w:rPr>
                      <w:rFonts w:ascii="Times New Roman" w:hAnsi="Times New Roman"/>
                      <w:color w:val="auto"/>
                      <w:kern w:val="0"/>
                      <w:szCs w:val="21"/>
                    </w:rPr>
                    <w:t>t</w:t>
                  </w:r>
                </w:p>
              </w:tc>
              <w:tc>
                <w:tcPr>
                  <w:tcW w:w="1694" w:type="dxa"/>
                  <w:noWrap w:val="0"/>
                  <w:vAlign w:val="center"/>
                </w:tcPr>
                <w:p w14:paraId="18ACB1AC">
                  <w:pPr>
                    <w:jc w:val="center"/>
                    <w:textAlignment w:val="center"/>
                    <w:rPr>
                      <w:rFonts w:ascii="Times New Roman" w:hAnsi="Times New Roman"/>
                      <w:color w:val="auto"/>
                      <w:kern w:val="0"/>
                      <w:szCs w:val="21"/>
                    </w:rPr>
                  </w:pPr>
                  <w:r>
                    <w:rPr>
                      <w:rFonts w:ascii="Times New Roman" w:hAnsi="Times New Roman"/>
                      <w:color w:val="auto"/>
                      <w:kern w:val="0"/>
                      <w:szCs w:val="21"/>
                    </w:rPr>
                    <w:t>/</w:t>
                  </w:r>
                </w:p>
              </w:tc>
              <w:tc>
                <w:tcPr>
                  <w:tcW w:w="1131" w:type="dxa"/>
                  <w:noWrap w:val="0"/>
                  <w:vAlign w:val="center"/>
                </w:tcPr>
                <w:p w14:paraId="140A361C">
                  <w:pPr>
                    <w:widowControl/>
                    <w:jc w:val="center"/>
                    <w:textAlignment w:val="center"/>
                    <w:rPr>
                      <w:rFonts w:ascii="Times New Roman" w:hAnsi="Times New Roman"/>
                      <w:color w:val="auto"/>
                      <w:kern w:val="0"/>
                      <w:szCs w:val="21"/>
                    </w:rPr>
                  </w:pPr>
                  <w:r>
                    <w:rPr>
                      <w:rFonts w:ascii="Times New Roman" w:hAnsi="Times New Roman"/>
                      <w:color w:val="auto"/>
                      <w:kern w:val="0"/>
                      <w:szCs w:val="21"/>
                    </w:rPr>
                    <w:t>/</w:t>
                  </w:r>
                </w:p>
              </w:tc>
              <w:tc>
                <w:tcPr>
                  <w:tcW w:w="1363" w:type="dxa"/>
                  <w:noWrap w:val="0"/>
                  <w:vAlign w:val="center"/>
                </w:tcPr>
                <w:p w14:paraId="1A967234">
                  <w:pPr>
                    <w:widowControl/>
                    <w:jc w:val="center"/>
                    <w:textAlignment w:val="center"/>
                    <w:rPr>
                      <w:rFonts w:ascii="Times New Roman" w:hAnsi="Times New Roman"/>
                      <w:color w:val="auto"/>
                      <w:kern w:val="0"/>
                      <w:szCs w:val="21"/>
                    </w:rPr>
                  </w:pPr>
                  <w:r>
                    <w:rPr>
                      <w:rFonts w:ascii="Times New Roman" w:hAnsi="Times New Roman"/>
                      <w:color w:val="auto"/>
                      <w:kern w:val="0"/>
                      <w:szCs w:val="21"/>
                    </w:rPr>
                    <w:t>/</w:t>
                  </w:r>
                </w:p>
              </w:tc>
            </w:tr>
            <w:tr w14:paraId="470CC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826" w:type="dxa"/>
                  <w:noWrap w:val="0"/>
                  <w:vAlign w:val="center"/>
                </w:tcPr>
                <w:p w14:paraId="7C053147">
                  <w:pPr>
                    <w:widowControl/>
                    <w:jc w:val="center"/>
                    <w:textAlignment w:val="center"/>
                    <w:rPr>
                      <w:rFonts w:hint="eastAsia" w:ascii="Times New Roman" w:hAnsi="Times New Roman" w:eastAsia="宋体"/>
                      <w:color w:val="auto"/>
                      <w:kern w:val="0"/>
                      <w:szCs w:val="21"/>
                      <w:lang w:eastAsia="zh-CN"/>
                    </w:rPr>
                  </w:pPr>
                  <w:r>
                    <w:rPr>
                      <w:rFonts w:hint="eastAsia" w:ascii="Times New Roman" w:hAnsi="Times New Roman"/>
                      <w:color w:val="auto"/>
                      <w:kern w:val="0"/>
                      <w:szCs w:val="21"/>
                      <w:lang w:val="en-US" w:eastAsia="zh-CN"/>
                    </w:rPr>
                    <w:t>3</w:t>
                  </w:r>
                </w:p>
              </w:tc>
              <w:tc>
                <w:tcPr>
                  <w:tcW w:w="1554" w:type="dxa"/>
                  <w:noWrap w:val="0"/>
                  <w:vAlign w:val="center"/>
                </w:tcPr>
                <w:p w14:paraId="12EF7DCE">
                  <w:pPr>
                    <w:widowControl/>
                    <w:jc w:val="center"/>
                    <w:textAlignment w:val="center"/>
                    <w:rPr>
                      <w:rFonts w:ascii="Times New Roman" w:hAnsi="Times New Roman"/>
                      <w:color w:val="auto"/>
                      <w:kern w:val="0"/>
                      <w:szCs w:val="21"/>
                    </w:rPr>
                  </w:pPr>
                  <w:r>
                    <w:rPr>
                      <w:rFonts w:ascii="Times New Roman" w:hAnsi="Times New Roman"/>
                      <w:color w:val="auto"/>
                      <w:kern w:val="0"/>
                      <w:szCs w:val="21"/>
                    </w:rPr>
                    <w:t>外购水泥浆</w:t>
                  </w:r>
                  <w:r>
                    <w:rPr>
                      <w:rFonts w:hint="eastAsia"/>
                      <w:color w:val="auto"/>
                    </w:rPr>
                    <w:t>（商品混凝土）</w:t>
                  </w:r>
                </w:p>
              </w:tc>
              <w:tc>
                <w:tcPr>
                  <w:tcW w:w="1273" w:type="dxa"/>
                  <w:noWrap w:val="0"/>
                  <w:vAlign w:val="center"/>
                </w:tcPr>
                <w:p w14:paraId="1AB943E2">
                  <w:pPr>
                    <w:widowControl/>
                    <w:jc w:val="center"/>
                    <w:textAlignment w:val="center"/>
                    <w:rPr>
                      <w:rFonts w:ascii="Times New Roman" w:hAnsi="Times New Roman"/>
                      <w:color w:val="auto"/>
                      <w:kern w:val="0"/>
                      <w:szCs w:val="21"/>
                    </w:rPr>
                  </w:pPr>
                  <w:r>
                    <w:rPr>
                      <w:rFonts w:hint="eastAsia" w:ascii="Times New Roman" w:hAnsi="Times New Roman"/>
                      <w:color w:val="auto"/>
                      <w:kern w:val="0"/>
                      <w:szCs w:val="21"/>
                      <w:lang w:val="en-US" w:eastAsia="zh-CN"/>
                    </w:rPr>
                    <w:t>111</w:t>
                  </w:r>
                  <w:r>
                    <w:rPr>
                      <w:rFonts w:ascii="Times New Roman" w:hAnsi="Times New Roman"/>
                      <w:color w:val="auto"/>
                      <w:kern w:val="0"/>
                      <w:szCs w:val="21"/>
                    </w:rPr>
                    <w:t xml:space="preserve"> t</w:t>
                  </w:r>
                </w:p>
              </w:tc>
              <w:tc>
                <w:tcPr>
                  <w:tcW w:w="1694" w:type="dxa"/>
                  <w:noWrap w:val="0"/>
                  <w:vAlign w:val="center"/>
                </w:tcPr>
                <w:p w14:paraId="62948BAC">
                  <w:pPr>
                    <w:jc w:val="center"/>
                    <w:textAlignment w:val="center"/>
                    <w:rPr>
                      <w:rFonts w:ascii="Times New Roman" w:hAnsi="Times New Roman"/>
                      <w:color w:val="auto"/>
                      <w:kern w:val="0"/>
                      <w:szCs w:val="21"/>
                    </w:rPr>
                  </w:pPr>
                  <w:r>
                    <w:rPr>
                      <w:rFonts w:ascii="Times New Roman" w:hAnsi="Times New Roman"/>
                      <w:color w:val="auto"/>
                      <w:kern w:val="0"/>
                      <w:szCs w:val="21"/>
                    </w:rPr>
                    <w:t>/</w:t>
                  </w:r>
                </w:p>
              </w:tc>
              <w:tc>
                <w:tcPr>
                  <w:tcW w:w="1131" w:type="dxa"/>
                  <w:noWrap w:val="0"/>
                  <w:vAlign w:val="center"/>
                </w:tcPr>
                <w:p w14:paraId="5ADF0147">
                  <w:pPr>
                    <w:widowControl/>
                    <w:jc w:val="center"/>
                    <w:textAlignment w:val="center"/>
                    <w:rPr>
                      <w:rFonts w:ascii="Times New Roman" w:hAnsi="Times New Roman"/>
                      <w:color w:val="auto"/>
                      <w:kern w:val="0"/>
                      <w:szCs w:val="21"/>
                    </w:rPr>
                  </w:pPr>
                  <w:r>
                    <w:rPr>
                      <w:rFonts w:ascii="Times New Roman" w:hAnsi="Times New Roman"/>
                      <w:color w:val="auto"/>
                      <w:kern w:val="0"/>
                      <w:szCs w:val="21"/>
                    </w:rPr>
                    <w:t>/</w:t>
                  </w:r>
                </w:p>
              </w:tc>
              <w:tc>
                <w:tcPr>
                  <w:tcW w:w="1363" w:type="dxa"/>
                  <w:noWrap w:val="0"/>
                  <w:vAlign w:val="center"/>
                </w:tcPr>
                <w:p w14:paraId="4542E885">
                  <w:pPr>
                    <w:widowControl/>
                    <w:jc w:val="center"/>
                    <w:textAlignment w:val="center"/>
                    <w:rPr>
                      <w:rFonts w:ascii="Times New Roman" w:hAnsi="Times New Roman"/>
                      <w:color w:val="auto"/>
                      <w:kern w:val="0"/>
                      <w:szCs w:val="21"/>
                    </w:rPr>
                  </w:pPr>
                  <w:r>
                    <w:rPr>
                      <w:rFonts w:ascii="Times New Roman" w:hAnsi="Times New Roman"/>
                      <w:color w:val="auto"/>
                      <w:kern w:val="0"/>
                      <w:szCs w:val="21"/>
                    </w:rPr>
                    <w:t>固井即时使用</w:t>
                  </w:r>
                </w:p>
              </w:tc>
            </w:tr>
            <w:tr w14:paraId="741AA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1" w:hRule="atLeast"/>
                <w:jc w:val="center"/>
              </w:trPr>
              <w:tc>
                <w:tcPr>
                  <w:tcW w:w="826" w:type="dxa"/>
                  <w:noWrap w:val="0"/>
                  <w:vAlign w:val="center"/>
                </w:tcPr>
                <w:p w14:paraId="6787B9C8">
                  <w:pPr>
                    <w:widowControl/>
                    <w:jc w:val="center"/>
                    <w:textAlignment w:val="center"/>
                    <w:rPr>
                      <w:rFonts w:hint="eastAsia" w:ascii="Times New Roman" w:hAnsi="Times New Roman" w:eastAsia="宋体"/>
                      <w:color w:val="auto"/>
                      <w:kern w:val="0"/>
                      <w:szCs w:val="21"/>
                      <w:lang w:eastAsia="zh-CN"/>
                    </w:rPr>
                  </w:pPr>
                  <w:r>
                    <w:rPr>
                      <w:rFonts w:hint="eastAsia" w:ascii="Times New Roman" w:hAnsi="Times New Roman"/>
                      <w:color w:val="auto"/>
                      <w:kern w:val="0"/>
                      <w:szCs w:val="21"/>
                      <w:lang w:val="en-US" w:eastAsia="zh-CN"/>
                    </w:rPr>
                    <w:t>4</w:t>
                  </w:r>
                </w:p>
              </w:tc>
              <w:tc>
                <w:tcPr>
                  <w:tcW w:w="1554" w:type="dxa"/>
                  <w:noWrap w:val="0"/>
                  <w:vAlign w:val="center"/>
                </w:tcPr>
                <w:p w14:paraId="4A2DC7F9">
                  <w:pPr>
                    <w:widowControl/>
                    <w:jc w:val="center"/>
                    <w:textAlignment w:val="center"/>
                    <w:rPr>
                      <w:rFonts w:ascii="Times New Roman" w:hAnsi="Times New Roman"/>
                      <w:color w:val="auto"/>
                      <w:kern w:val="0"/>
                      <w:szCs w:val="21"/>
                    </w:rPr>
                  </w:pPr>
                  <w:r>
                    <w:rPr>
                      <w:rFonts w:ascii="Times New Roman" w:hAnsi="Times New Roman"/>
                      <w:color w:val="auto"/>
                      <w:kern w:val="0"/>
                      <w:szCs w:val="21"/>
                    </w:rPr>
                    <w:t>纤维素</w:t>
                  </w:r>
                </w:p>
              </w:tc>
              <w:tc>
                <w:tcPr>
                  <w:tcW w:w="1273" w:type="dxa"/>
                  <w:noWrap w:val="0"/>
                  <w:vAlign w:val="center"/>
                </w:tcPr>
                <w:p w14:paraId="67BC524C">
                  <w:pPr>
                    <w:widowControl/>
                    <w:jc w:val="center"/>
                    <w:textAlignment w:val="center"/>
                    <w:rPr>
                      <w:rFonts w:ascii="Times New Roman" w:hAnsi="Times New Roman"/>
                      <w:color w:val="auto"/>
                      <w:kern w:val="0"/>
                      <w:szCs w:val="21"/>
                    </w:rPr>
                  </w:pPr>
                  <w:r>
                    <w:rPr>
                      <w:rFonts w:hint="eastAsia" w:ascii="Times New Roman" w:hAnsi="Times New Roman"/>
                      <w:color w:val="auto"/>
                      <w:kern w:val="0"/>
                      <w:szCs w:val="21"/>
                      <w:lang w:val="en-US" w:eastAsia="zh-CN"/>
                    </w:rPr>
                    <w:t>4</w:t>
                  </w:r>
                  <w:r>
                    <w:rPr>
                      <w:rFonts w:ascii="Times New Roman" w:hAnsi="Times New Roman"/>
                      <w:color w:val="auto"/>
                      <w:kern w:val="0"/>
                      <w:szCs w:val="21"/>
                    </w:rPr>
                    <w:t xml:space="preserve"> t</w:t>
                  </w:r>
                </w:p>
              </w:tc>
              <w:tc>
                <w:tcPr>
                  <w:tcW w:w="1694" w:type="dxa"/>
                  <w:noWrap w:val="0"/>
                  <w:vAlign w:val="center"/>
                </w:tcPr>
                <w:p w14:paraId="7E6507A2">
                  <w:pPr>
                    <w:jc w:val="center"/>
                    <w:textAlignment w:val="center"/>
                    <w:rPr>
                      <w:rFonts w:ascii="Times New Roman" w:hAnsi="Times New Roman"/>
                      <w:color w:val="auto"/>
                      <w:kern w:val="0"/>
                      <w:szCs w:val="21"/>
                    </w:rPr>
                  </w:pPr>
                  <w:r>
                    <w:rPr>
                      <w:rFonts w:ascii="Times New Roman" w:hAnsi="Times New Roman"/>
                      <w:color w:val="auto"/>
                      <w:kern w:val="0"/>
                      <w:szCs w:val="21"/>
                    </w:rPr>
                    <w:t>0.5 t</w:t>
                  </w:r>
                </w:p>
              </w:tc>
              <w:tc>
                <w:tcPr>
                  <w:tcW w:w="1131" w:type="dxa"/>
                  <w:noWrap w:val="0"/>
                  <w:vAlign w:val="center"/>
                </w:tcPr>
                <w:p w14:paraId="02D04EF1">
                  <w:pPr>
                    <w:widowControl/>
                    <w:jc w:val="center"/>
                    <w:textAlignment w:val="center"/>
                    <w:rPr>
                      <w:rFonts w:hint="default"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材料库</w:t>
                  </w:r>
                </w:p>
              </w:tc>
              <w:tc>
                <w:tcPr>
                  <w:tcW w:w="1363" w:type="dxa"/>
                  <w:noWrap w:val="0"/>
                  <w:vAlign w:val="center"/>
                </w:tcPr>
                <w:p w14:paraId="6E39E932">
                  <w:pPr>
                    <w:widowControl/>
                    <w:jc w:val="center"/>
                    <w:textAlignment w:val="center"/>
                    <w:rPr>
                      <w:rFonts w:ascii="Times New Roman" w:hAnsi="Times New Roman"/>
                      <w:color w:val="auto"/>
                      <w:kern w:val="0"/>
                      <w:szCs w:val="21"/>
                    </w:rPr>
                  </w:pPr>
                  <w:r>
                    <w:rPr>
                      <w:rFonts w:ascii="Times New Roman" w:hAnsi="Times New Roman"/>
                      <w:color w:val="auto"/>
                      <w:kern w:val="0"/>
                      <w:szCs w:val="21"/>
                    </w:rPr>
                    <w:t>袋装</w:t>
                  </w:r>
                </w:p>
              </w:tc>
            </w:tr>
            <w:tr w14:paraId="68254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826" w:type="dxa"/>
                  <w:noWrap w:val="0"/>
                  <w:vAlign w:val="center"/>
                </w:tcPr>
                <w:p w14:paraId="297E6387">
                  <w:pPr>
                    <w:widowControl/>
                    <w:jc w:val="center"/>
                    <w:textAlignment w:val="center"/>
                    <w:rPr>
                      <w:rFonts w:hint="eastAsia" w:ascii="Times New Roman" w:hAnsi="Times New Roman" w:eastAsia="宋体"/>
                      <w:color w:val="auto"/>
                      <w:kern w:val="0"/>
                      <w:szCs w:val="21"/>
                      <w:lang w:eastAsia="zh-CN"/>
                    </w:rPr>
                  </w:pPr>
                  <w:r>
                    <w:rPr>
                      <w:rFonts w:hint="eastAsia" w:ascii="Times New Roman" w:hAnsi="Times New Roman"/>
                      <w:color w:val="auto"/>
                      <w:kern w:val="0"/>
                      <w:szCs w:val="21"/>
                      <w:lang w:val="en-US" w:eastAsia="zh-CN"/>
                    </w:rPr>
                    <w:t>5</w:t>
                  </w:r>
                </w:p>
              </w:tc>
              <w:tc>
                <w:tcPr>
                  <w:tcW w:w="1554" w:type="dxa"/>
                  <w:noWrap w:val="0"/>
                  <w:vAlign w:val="center"/>
                </w:tcPr>
                <w:p w14:paraId="7FA057D6">
                  <w:pPr>
                    <w:widowControl/>
                    <w:jc w:val="center"/>
                    <w:textAlignment w:val="center"/>
                    <w:rPr>
                      <w:rFonts w:ascii="Times New Roman" w:hAnsi="Times New Roman"/>
                      <w:color w:val="auto"/>
                      <w:kern w:val="0"/>
                      <w:szCs w:val="21"/>
                    </w:rPr>
                  </w:pPr>
                  <w:r>
                    <w:rPr>
                      <w:rFonts w:ascii="Times New Roman" w:hAnsi="Times New Roman"/>
                      <w:color w:val="auto"/>
                    </w:rPr>
                    <w:t>腐植酸</w:t>
                  </w:r>
                </w:p>
              </w:tc>
              <w:tc>
                <w:tcPr>
                  <w:tcW w:w="1273" w:type="dxa"/>
                  <w:noWrap w:val="0"/>
                  <w:vAlign w:val="center"/>
                </w:tcPr>
                <w:p w14:paraId="1637A8D4">
                  <w:pPr>
                    <w:widowControl/>
                    <w:jc w:val="center"/>
                    <w:textAlignment w:val="center"/>
                    <w:rPr>
                      <w:rFonts w:ascii="Times New Roman" w:hAnsi="Times New Roman"/>
                      <w:color w:val="auto"/>
                      <w:kern w:val="0"/>
                      <w:szCs w:val="21"/>
                    </w:rPr>
                  </w:pPr>
                  <w:r>
                    <w:rPr>
                      <w:rFonts w:hint="eastAsia" w:ascii="Times New Roman" w:hAnsi="Times New Roman"/>
                      <w:color w:val="auto"/>
                      <w:kern w:val="0"/>
                      <w:szCs w:val="21"/>
                      <w:lang w:val="en-US" w:eastAsia="zh-CN"/>
                    </w:rPr>
                    <w:t xml:space="preserve">6 </w:t>
                  </w:r>
                  <w:r>
                    <w:rPr>
                      <w:rFonts w:ascii="Times New Roman" w:hAnsi="Times New Roman"/>
                      <w:color w:val="auto"/>
                      <w:kern w:val="0"/>
                      <w:szCs w:val="21"/>
                    </w:rPr>
                    <w:t>t</w:t>
                  </w:r>
                </w:p>
              </w:tc>
              <w:tc>
                <w:tcPr>
                  <w:tcW w:w="1694" w:type="dxa"/>
                  <w:noWrap w:val="0"/>
                  <w:vAlign w:val="center"/>
                </w:tcPr>
                <w:p w14:paraId="297F74E7">
                  <w:pPr>
                    <w:jc w:val="center"/>
                    <w:textAlignment w:val="center"/>
                    <w:rPr>
                      <w:rFonts w:ascii="Times New Roman" w:hAnsi="Times New Roman"/>
                      <w:color w:val="auto"/>
                      <w:kern w:val="0"/>
                      <w:szCs w:val="21"/>
                    </w:rPr>
                  </w:pPr>
                  <w:r>
                    <w:rPr>
                      <w:rFonts w:ascii="Times New Roman" w:hAnsi="Times New Roman"/>
                      <w:color w:val="auto"/>
                      <w:kern w:val="0"/>
                      <w:szCs w:val="21"/>
                    </w:rPr>
                    <w:t>0.5 t</w:t>
                  </w:r>
                </w:p>
              </w:tc>
              <w:tc>
                <w:tcPr>
                  <w:tcW w:w="1131" w:type="dxa"/>
                  <w:noWrap w:val="0"/>
                  <w:vAlign w:val="center"/>
                </w:tcPr>
                <w:p w14:paraId="26E36DDF">
                  <w:pPr>
                    <w:widowControl/>
                    <w:jc w:val="center"/>
                    <w:textAlignment w:val="center"/>
                    <w:rPr>
                      <w:rFonts w:ascii="Times New Roman" w:hAnsi="Times New Roman"/>
                      <w:color w:val="auto"/>
                      <w:kern w:val="0"/>
                      <w:szCs w:val="21"/>
                    </w:rPr>
                  </w:pPr>
                  <w:r>
                    <w:rPr>
                      <w:rFonts w:ascii="Times New Roman" w:hAnsi="Times New Roman"/>
                      <w:color w:val="auto"/>
                      <w:kern w:val="0"/>
                      <w:szCs w:val="21"/>
                    </w:rPr>
                    <w:t>材料库</w:t>
                  </w:r>
                </w:p>
              </w:tc>
              <w:tc>
                <w:tcPr>
                  <w:tcW w:w="1363" w:type="dxa"/>
                  <w:noWrap w:val="0"/>
                  <w:vAlign w:val="center"/>
                </w:tcPr>
                <w:p w14:paraId="6F2695EC">
                  <w:pPr>
                    <w:widowControl/>
                    <w:jc w:val="center"/>
                    <w:textAlignment w:val="center"/>
                    <w:rPr>
                      <w:rFonts w:ascii="Times New Roman" w:hAnsi="Times New Roman"/>
                      <w:color w:val="auto"/>
                      <w:kern w:val="0"/>
                      <w:szCs w:val="21"/>
                    </w:rPr>
                  </w:pPr>
                  <w:r>
                    <w:rPr>
                      <w:rFonts w:ascii="Times New Roman" w:hAnsi="Times New Roman"/>
                      <w:color w:val="auto"/>
                      <w:kern w:val="0"/>
                      <w:szCs w:val="21"/>
                    </w:rPr>
                    <w:t>袋装</w:t>
                  </w:r>
                </w:p>
              </w:tc>
            </w:tr>
            <w:tr w14:paraId="579A1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826" w:type="dxa"/>
                  <w:noWrap w:val="0"/>
                  <w:vAlign w:val="center"/>
                </w:tcPr>
                <w:p w14:paraId="14BDA1A5">
                  <w:pPr>
                    <w:widowControl/>
                    <w:jc w:val="center"/>
                    <w:textAlignment w:val="center"/>
                    <w:rPr>
                      <w:rFonts w:hint="eastAsia" w:ascii="Times New Roman" w:hAnsi="Times New Roman" w:eastAsia="宋体"/>
                      <w:color w:val="auto"/>
                      <w:kern w:val="0"/>
                      <w:szCs w:val="21"/>
                      <w:lang w:eastAsia="zh-CN"/>
                    </w:rPr>
                  </w:pPr>
                  <w:r>
                    <w:rPr>
                      <w:rFonts w:hint="eastAsia" w:ascii="Times New Roman" w:hAnsi="Times New Roman"/>
                      <w:color w:val="auto"/>
                      <w:kern w:val="0"/>
                      <w:szCs w:val="21"/>
                      <w:lang w:val="en-US" w:eastAsia="zh-CN"/>
                    </w:rPr>
                    <w:t>6</w:t>
                  </w:r>
                </w:p>
              </w:tc>
              <w:tc>
                <w:tcPr>
                  <w:tcW w:w="1554" w:type="dxa"/>
                  <w:noWrap w:val="0"/>
                  <w:vAlign w:val="center"/>
                </w:tcPr>
                <w:p w14:paraId="05EEE60A">
                  <w:pPr>
                    <w:widowControl/>
                    <w:jc w:val="center"/>
                    <w:textAlignment w:val="center"/>
                    <w:rPr>
                      <w:rFonts w:ascii="Times New Roman" w:hAnsi="Times New Roman"/>
                      <w:color w:val="auto"/>
                      <w:kern w:val="0"/>
                      <w:szCs w:val="21"/>
                    </w:rPr>
                  </w:pPr>
                  <w:r>
                    <w:rPr>
                      <w:rFonts w:ascii="Times New Roman" w:hAnsi="Times New Roman"/>
                      <w:color w:val="auto"/>
                      <w:kern w:val="0"/>
                      <w:szCs w:val="21"/>
                    </w:rPr>
                    <w:t>泥浆固化剂</w:t>
                  </w:r>
                </w:p>
              </w:tc>
              <w:tc>
                <w:tcPr>
                  <w:tcW w:w="1273" w:type="dxa"/>
                  <w:noWrap w:val="0"/>
                  <w:vAlign w:val="center"/>
                </w:tcPr>
                <w:p w14:paraId="16882BCF">
                  <w:pPr>
                    <w:widowControl/>
                    <w:jc w:val="center"/>
                    <w:textAlignment w:val="center"/>
                    <w:rPr>
                      <w:rFonts w:ascii="Times New Roman" w:hAnsi="Times New Roman"/>
                      <w:color w:val="auto"/>
                      <w:kern w:val="0"/>
                      <w:szCs w:val="21"/>
                    </w:rPr>
                  </w:pPr>
                  <w:r>
                    <w:rPr>
                      <w:rFonts w:hint="eastAsia" w:ascii="Times New Roman" w:hAnsi="Times New Roman"/>
                      <w:color w:val="auto"/>
                      <w:kern w:val="0"/>
                      <w:szCs w:val="21"/>
                      <w:lang w:val="en-US" w:eastAsia="zh-CN"/>
                    </w:rPr>
                    <w:t>1.45</w:t>
                  </w:r>
                  <w:r>
                    <w:rPr>
                      <w:rFonts w:ascii="Times New Roman" w:hAnsi="Times New Roman"/>
                      <w:color w:val="auto"/>
                      <w:kern w:val="0"/>
                      <w:szCs w:val="21"/>
                    </w:rPr>
                    <w:t xml:space="preserve"> t</w:t>
                  </w:r>
                </w:p>
              </w:tc>
              <w:tc>
                <w:tcPr>
                  <w:tcW w:w="1694" w:type="dxa"/>
                  <w:noWrap w:val="0"/>
                  <w:vAlign w:val="center"/>
                </w:tcPr>
                <w:p w14:paraId="2E93738A">
                  <w:pPr>
                    <w:jc w:val="center"/>
                    <w:textAlignment w:val="center"/>
                    <w:rPr>
                      <w:rFonts w:ascii="Times New Roman" w:hAnsi="Times New Roman"/>
                      <w:color w:val="auto"/>
                      <w:kern w:val="0"/>
                      <w:szCs w:val="21"/>
                    </w:rPr>
                  </w:pPr>
                  <w:r>
                    <w:rPr>
                      <w:rFonts w:ascii="Times New Roman" w:hAnsi="Times New Roman"/>
                      <w:color w:val="auto"/>
                      <w:kern w:val="0"/>
                      <w:szCs w:val="21"/>
                    </w:rPr>
                    <w:t>0.5 t</w:t>
                  </w:r>
                </w:p>
              </w:tc>
              <w:tc>
                <w:tcPr>
                  <w:tcW w:w="1131" w:type="dxa"/>
                  <w:noWrap w:val="0"/>
                  <w:vAlign w:val="center"/>
                </w:tcPr>
                <w:p w14:paraId="0C5F979A">
                  <w:pPr>
                    <w:widowControl/>
                    <w:jc w:val="center"/>
                    <w:textAlignment w:val="center"/>
                    <w:rPr>
                      <w:rFonts w:ascii="Times New Roman" w:hAnsi="Times New Roman"/>
                      <w:color w:val="auto"/>
                      <w:kern w:val="0"/>
                      <w:szCs w:val="21"/>
                    </w:rPr>
                  </w:pPr>
                  <w:r>
                    <w:rPr>
                      <w:rFonts w:ascii="Times New Roman" w:hAnsi="Times New Roman"/>
                      <w:color w:val="auto"/>
                      <w:kern w:val="0"/>
                      <w:szCs w:val="21"/>
                    </w:rPr>
                    <w:t>材料库</w:t>
                  </w:r>
                </w:p>
              </w:tc>
              <w:tc>
                <w:tcPr>
                  <w:tcW w:w="1363" w:type="dxa"/>
                  <w:noWrap w:val="0"/>
                  <w:vAlign w:val="center"/>
                </w:tcPr>
                <w:p w14:paraId="0950DEA0">
                  <w:pPr>
                    <w:widowControl/>
                    <w:jc w:val="center"/>
                    <w:textAlignment w:val="center"/>
                    <w:rPr>
                      <w:rFonts w:ascii="Times New Roman" w:hAnsi="Times New Roman"/>
                      <w:color w:val="auto"/>
                      <w:kern w:val="0"/>
                      <w:szCs w:val="21"/>
                    </w:rPr>
                  </w:pPr>
                  <w:r>
                    <w:rPr>
                      <w:rFonts w:ascii="Times New Roman" w:hAnsi="Times New Roman"/>
                      <w:color w:val="auto"/>
                      <w:kern w:val="0"/>
                      <w:szCs w:val="21"/>
                    </w:rPr>
                    <w:t>桶装</w:t>
                  </w:r>
                </w:p>
              </w:tc>
            </w:tr>
            <w:tr w14:paraId="41DD9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826" w:type="dxa"/>
                  <w:noWrap w:val="0"/>
                  <w:vAlign w:val="center"/>
                </w:tcPr>
                <w:p w14:paraId="34144EFE">
                  <w:pPr>
                    <w:widowControl/>
                    <w:jc w:val="center"/>
                    <w:textAlignment w:val="center"/>
                    <w:rPr>
                      <w:rFonts w:hint="default" w:ascii="Times New Roman" w:hAnsi="Times New Roman"/>
                      <w:color w:val="auto"/>
                      <w:kern w:val="0"/>
                      <w:szCs w:val="21"/>
                      <w:lang w:val="en-US" w:eastAsia="zh-CN"/>
                    </w:rPr>
                  </w:pPr>
                  <w:r>
                    <w:rPr>
                      <w:rFonts w:hint="eastAsia" w:ascii="Times New Roman" w:hAnsi="Times New Roman"/>
                      <w:color w:val="auto"/>
                      <w:kern w:val="0"/>
                      <w:szCs w:val="21"/>
                      <w:lang w:val="en-US" w:eastAsia="zh-CN"/>
                    </w:rPr>
                    <w:t>7</w:t>
                  </w:r>
                </w:p>
              </w:tc>
              <w:tc>
                <w:tcPr>
                  <w:tcW w:w="1554" w:type="dxa"/>
                  <w:noWrap w:val="0"/>
                  <w:vAlign w:val="center"/>
                </w:tcPr>
                <w:p w14:paraId="028D6424">
                  <w:pPr>
                    <w:widowControl/>
                    <w:jc w:val="center"/>
                    <w:textAlignment w:val="center"/>
                    <w:rPr>
                      <w:rFonts w:hint="eastAsia"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润滑油</w:t>
                  </w:r>
                </w:p>
              </w:tc>
              <w:tc>
                <w:tcPr>
                  <w:tcW w:w="1273" w:type="dxa"/>
                  <w:noWrap w:val="0"/>
                  <w:vAlign w:val="center"/>
                </w:tcPr>
                <w:p w14:paraId="5D5D89B3">
                  <w:pPr>
                    <w:widowControl/>
                    <w:jc w:val="center"/>
                    <w:textAlignment w:val="center"/>
                    <w:rPr>
                      <w:rFonts w:hint="default" w:ascii="Times New Roman" w:hAnsi="Times New Roman"/>
                      <w:color w:val="auto"/>
                      <w:kern w:val="0"/>
                      <w:szCs w:val="21"/>
                      <w:lang w:val="en-US" w:eastAsia="zh-CN"/>
                    </w:rPr>
                  </w:pPr>
                  <w:r>
                    <w:rPr>
                      <w:rFonts w:hint="eastAsia" w:ascii="Times New Roman" w:hAnsi="Times New Roman"/>
                      <w:color w:val="auto"/>
                      <w:kern w:val="0"/>
                      <w:szCs w:val="21"/>
                      <w:lang w:val="en-US" w:eastAsia="zh-CN"/>
                    </w:rPr>
                    <w:t>300L</w:t>
                  </w:r>
                </w:p>
              </w:tc>
              <w:tc>
                <w:tcPr>
                  <w:tcW w:w="1694" w:type="dxa"/>
                  <w:noWrap w:val="0"/>
                  <w:vAlign w:val="center"/>
                </w:tcPr>
                <w:p w14:paraId="000404D8">
                  <w:pPr>
                    <w:jc w:val="center"/>
                    <w:textAlignment w:val="center"/>
                    <w:rPr>
                      <w:rFonts w:hint="default"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w:t>
                  </w:r>
                </w:p>
              </w:tc>
              <w:tc>
                <w:tcPr>
                  <w:tcW w:w="1131" w:type="dxa"/>
                  <w:noWrap w:val="0"/>
                  <w:vAlign w:val="center"/>
                </w:tcPr>
                <w:p w14:paraId="46D0C67C">
                  <w:pPr>
                    <w:widowControl/>
                    <w:jc w:val="center"/>
                    <w:textAlignment w:val="center"/>
                    <w:rPr>
                      <w:rFonts w:hint="eastAsia"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w:t>
                  </w:r>
                </w:p>
              </w:tc>
              <w:tc>
                <w:tcPr>
                  <w:tcW w:w="1363" w:type="dxa"/>
                  <w:noWrap w:val="0"/>
                  <w:vAlign w:val="center"/>
                </w:tcPr>
                <w:p w14:paraId="2D3ED3C6">
                  <w:pPr>
                    <w:widowControl/>
                    <w:jc w:val="center"/>
                    <w:textAlignment w:val="center"/>
                    <w:rPr>
                      <w:rFonts w:hint="eastAsia" w:ascii="Times New Roman" w:hAnsi="Times New Roman"/>
                      <w:color w:val="auto"/>
                      <w:kern w:val="0"/>
                      <w:szCs w:val="21"/>
                    </w:rPr>
                  </w:pPr>
                  <w:r>
                    <w:rPr>
                      <w:rFonts w:hint="eastAsia" w:ascii="Times New Roman" w:hAnsi="Times New Roman"/>
                      <w:color w:val="auto"/>
                      <w:kern w:val="0"/>
                      <w:szCs w:val="21"/>
                    </w:rPr>
                    <w:t>施工场地</w:t>
                  </w:r>
                </w:p>
                <w:p w14:paraId="7336D74C">
                  <w:pPr>
                    <w:widowControl/>
                    <w:jc w:val="center"/>
                    <w:textAlignment w:val="center"/>
                    <w:rPr>
                      <w:rFonts w:hint="eastAsia" w:ascii="Times New Roman" w:hAnsi="Times New Roman"/>
                      <w:color w:val="auto"/>
                      <w:kern w:val="0"/>
                      <w:szCs w:val="21"/>
                    </w:rPr>
                  </w:pPr>
                  <w:r>
                    <w:rPr>
                      <w:rFonts w:hint="eastAsia" w:ascii="Times New Roman" w:hAnsi="Times New Roman"/>
                      <w:color w:val="auto"/>
                      <w:kern w:val="0"/>
                      <w:szCs w:val="21"/>
                    </w:rPr>
                    <w:t>不存储，随</w:t>
                  </w:r>
                </w:p>
                <w:p w14:paraId="49CFBA46">
                  <w:pPr>
                    <w:widowControl/>
                    <w:jc w:val="center"/>
                    <w:textAlignment w:val="center"/>
                    <w:rPr>
                      <w:rFonts w:ascii="Times New Roman" w:hAnsi="Times New Roman"/>
                      <w:color w:val="auto"/>
                      <w:kern w:val="0"/>
                      <w:szCs w:val="21"/>
                    </w:rPr>
                  </w:pPr>
                  <w:r>
                    <w:rPr>
                      <w:rFonts w:hint="eastAsia" w:ascii="Times New Roman" w:hAnsi="Times New Roman"/>
                      <w:color w:val="auto"/>
                      <w:kern w:val="0"/>
                      <w:szCs w:val="21"/>
                    </w:rPr>
                    <w:t>买随用。</w:t>
                  </w:r>
                </w:p>
              </w:tc>
            </w:tr>
          </w:tbl>
          <w:p w14:paraId="68C960DC">
            <w:pPr>
              <w:pStyle w:val="23"/>
              <w:adjustRightInd/>
              <w:spacing w:line="360" w:lineRule="auto"/>
              <w:ind w:firstLine="480" w:firstLineChars="200"/>
              <w:jc w:val="both"/>
              <w:rPr>
                <w:rFonts w:ascii="Times New Roman" w:hAnsi="Times New Roman"/>
                <w:color w:val="auto"/>
              </w:rPr>
            </w:pPr>
            <w:r>
              <w:rPr>
                <w:rFonts w:ascii="Times New Roman" w:hAnsi="Times New Roman"/>
                <w:color w:val="auto"/>
              </w:rPr>
              <w:t>腐植酸：腐植酸钾是一种高效有机钾肥，化学式为C</w:t>
            </w:r>
            <w:r>
              <w:rPr>
                <w:rFonts w:ascii="Times New Roman" w:hAnsi="Times New Roman"/>
                <w:color w:val="auto"/>
                <w:vertAlign w:val="subscript"/>
              </w:rPr>
              <w:t>9</w:t>
            </w:r>
            <w:r>
              <w:rPr>
                <w:rFonts w:ascii="Times New Roman" w:hAnsi="Times New Roman"/>
                <w:color w:val="auto"/>
              </w:rPr>
              <w:t>H</w:t>
            </w:r>
            <w:r>
              <w:rPr>
                <w:rFonts w:ascii="Times New Roman" w:hAnsi="Times New Roman"/>
                <w:color w:val="auto"/>
                <w:vertAlign w:val="subscript"/>
              </w:rPr>
              <w:t>8</w:t>
            </w:r>
            <w:r>
              <w:rPr>
                <w:rFonts w:ascii="Times New Roman" w:hAnsi="Times New Roman"/>
                <w:color w:val="auto"/>
              </w:rPr>
              <w:t>K</w:t>
            </w:r>
            <w:r>
              <w:rPr>
                <w:rFonts w:ascii="Times New Roman" w:hAnsi="Times New Roman"/>
                <w:color w:val="auto"/>
                <w:vertAlign w:val="subscript"/>
              </w:rPr>
              <w:t>2</w:t>
            </w:r>
            <w:r>
              <w:rPr>
                <w:rFonts w:ascii="Times New Roman" w:hAnsi="Times New Roman"/>
                <w:color w:val="auto"/>
              </w:rPr>
              <w:t>O</w:t>
            </w:r>
            <w:r>
              <w:rPr>
                <w:rFonts w:ascii="Times New Roman" w:hAnsi="Times New Roman"/>
                <w:color w:val="auto"/>
                <w:vertAlign w:val="subscript"/>
              </w:rPr>
              <w:t>4</w:t>
            </w:r>
            <w:r>
              <w:rPr>
                <w:rFonts w:ascii="Times New Roman" w:hAnsi="Times New Roman"/>
                <w:color w:val="auto"/>
              </w:rPr>
              <w:t>，外观为黑色粉末，易溶于水，水溶液呈酱色。其含有的腐植酸是一种生物活性制剂，可提高土壤速效钾含量，减少钾的损失和固定，增加作物对钾的吸收和利用率，也具有改良土壤、促进作物生长、提高作物抗逆能力、改善作物品质、保护农业生态环境等功能；它与尿素、磷肥、钾肥、微量元素等混合后，可制成高效多功能复混肥料；此外，腐植酸钾还可用作石油钻井液的处理剂，主要起防止井壁坍塌的作用。</w:t>
            </w:r>
          </w:p>
          <w:p w14:paraId="72308C50">
            <w:pPr>
              <w:pStyle w:val="23"/>
              <w:adjustRightInd/>
              <w:spacing w:line="360" w:lineRule="auto"/>
              <w:ind w:firstLine="480" w:firstLineChars="200"/>
              <w:jc w:val="both"/>
              <w:rPr>
                <w:rFonts w:ascii="Times New Roman" w:hAnsi="Times New Roman"/>
                <w:color w:val="auto"/>
              </w:rPr>
            </w:pPr>
            <w:r>
              <w:rPr>
                <w:rFonts w:ascii="Times New Roman" w:hAnsi="Times New Roman"/>
                <w:color w:val="auto"/>
              </w:rPr>
              <w:t>纤维素：项目使用的纤维素为木质素纤维，它是天然木材经过化学处理得到的有机纤维，外观为棉絮状，呈白色或灰白色。通过筛选、分裂、高温处理、漂白、化学处理、中和、筛分成不同长度和粗细度的纤维以适应不同应用材料的需要。由于处理温度高达250℃以上，在通常条件下是化学上非常稳定的物质，不为一般的溶剂、酸、碱腐蚀，具有无毒、无味、无污染、无放射性的优良品质，不影响环境，对人体无害，属绿色环保产品，这是其它矿物质素纤维所不具备的。纤维微观结构是带状弯曲的，凹凸不平的，多孔的，交叉处是扁平的，有良好的韧性、分散性和化学稳定性，吸水能力强，有非常优秀的增稠抗裂性能。</w:t>
            </w:r>
          </w:p>
          <w:p w14:paraId="0A405C57">
            <w:pPr>
              <w:pStyle w:val="23"/>
              <w:adjustRightInd/>
              <w:spacing w:line="360" w:lineRule="auto"/>
              <w:ind w:firstLine="480" w:firstLineChars="200"/>
              <w:jc w:val="both"/>
              <w:rPr>
                <w:rFonts w:ascii="Times New Roman" w:hAnsi="Times New Roman"/>
                <w:color w:val="auto"/>
              </w:rPr>
            </w:pPr>
            <w:r>
              <w:rPr>
                <w:rFonts w:ascii="Times New Roman" w:hAnsi="Times New Roman"/>
                <w:color w:val="auto"/>
              </w:rPr>
              <w:t>泥浆固化剂：泥浆固化剂是一种环保、无毒、不燃的高科技水性化学致密剂，其主要成分为水和聚硅化合物，泥浆固化剂能完全渗透到泥浆中，通过与泥浆中的钙、镁等离子发生化学反应，生成坚硬的结晶物质，在三维空间形成了一个网络结构，使得水泥中凝胶结构增大增强，使得泥浆中的各成份固化为一个密实的整体。</w:t>
            </w:r>
          </w:p>
          <w:p w14:paraId="571A46C6">
            <w:pPr>
              <w:pStyle w:val="23"/>
              <w:adjustRightInd/>
              <w:spacing w:line="360" w:lineRule="auto"/>
              <w:ind w:firstLine="480" w:firstLineChars="200"/>
              <w:jc w:val="both"/>
              <w:rPr>
                <w:rFonts w:hint="eastAsia" w:ascii="Times New Roman" w:hAnsi="Times New Roman" w:eastAsia="宋体"/>
                <w:color w:val="auto"/>
                <w:lang w:val="en-US" w:eastAsia="zh-CN"/>
              </w:rPr>
            </w:pPr>
            <w:r>
              <w:rPr>
                <w:rFonts w:hint="eastAsia" w:ascii="Times New Roman" w:hAnsi="Times New Roman"/>
                <w:color w:val="auto"/>
                <w:lang w:val="en-US" w:eastAsia="zh-CN"/>
              </w:rPr>
              <w:t>润滑油：淡黄色粘稠液体，闪点120~340℃，自燃点300~350℃，相对密度（水=1）934.8，溶于苯、乙醇、乙醚、氯仿、丙酮等多数有机溶剂。属可燃液体，火灾危险性为丙B类；遇明火、高热可燃。润滑油是用在各种类型汽车、机械设备上以减少摩擦，保护机械及加工件的液体或半固体润滑剂，主要起润滑、辅助冷却、防锈、清洁、密封和缓冲等作用。</w:t>
            </w:r>
          </w:p>
          <w:p w14:paraId="7CD12430">
            <w:pPr>
              <w:tabs>
                <w:tab w:val="left" w:pos="1755"/>
              </w:tabs>
              <w:spacing w:line="360" w:lineRule="auto"/>
              <w:ind w:firstLine="482" w:firstLineChars="200"/>
              <w:rPr>
                <w:rFonts w:hint="eastAsia" w:ascii="Times New Roman" w:hAnsi="Times New Roman"/>
                <w:b/>
                <w:color w:val="auto"/>
                <w:sz w:val="24"/>
              </w:rPr>
            </w:pPr>
            <w:r>
              <w:rPr>
                <w:rFonts w:hint="eastAsia" w:ascii="Times New Roman" w:hAnsi="Times New Roman"/>
                <w:b/>
                <w:color w:val="auto"/>
                <w:sz w:val="24"/>
              </w:rPr>
              <w:t>4、水平衡</w:t>
            </w:r>
          </w:p>
          <w:p w14:paraId="48AB292E">
            <w:pPr>
              <w:tabs>
                <w:tab w:val="left" w:pos="1755"/>
              </w:tabs>
              <w:spacing w:line="360" w:lineRule="auto"/>
              <w:ind w:firstLine="480" w:firstLineChars="200"/>
              <w:rPr>
                <w:rFonts w:ascii="Times New Roman" w:hAnsi="Times New Roman"/>
                <w:color w:val="auto"/>
                <w:sz w:val="24"/>
              </w:rPr>
            </w:pPr>
            <w:r>
              <w:rPr>
                <w:rFonts w:ascii="Times New Roman" w:hAnsi="Times New Roman"/>
                <w:color w:val="auto"/>
                <w:sz w:val="24"/>
              </w:rPr>
              <w:t>（1）</w:t>
            </w:r>
            <w:r>
              <w:rPr>
                <w:rFonts w:hint="eastAsia" w:ascii="Times New Roman" w:hAnsi="Times New Roman"/>
                <w:color w:val="auto"/>
                <w:sz w:val="24"/>
              </w:rPr>
              <w:t>钻井</w:t>
            </w:r>
            <w:r>
              <w:rPr>
                <w:rFonts w:ascii="Times New Roman" w:hAnsi="Times New Roman"/>
                <w:color w:val="auto"/>
                <w:sz w:val="24"/>
              </w:rPr>
              <w:t>用水：项目钻井过程中使用水，产生的钻井废水经沉淀池</w:t>
            </w:r>
            <w:r>
              <w:rPr>
                <w:rFonts w:hint="eastAsia" w:ascii="Times New Roman" w:hAnsi="Times New Roman"/>
                <w:color w:val="auto"/>
                <w:sz w:val="24"/>
                <w:lang w:val="en-US" w:eastAsia="zh-CN"/>
              </w:rPr>
              <w:t>沉淀</w:t>
            </w:r>
            <w:r>
              <w:rPr>
                <w:rFonts w:ascii="Times New Roman" w:hAnsi="Times New Roman"/>
                <w:color w:val="auto"/>
                <w:sz w:val="24"/>
              </w:rPr>
              <w:t>后循环使用。</w:t>
            </w:r>
          </w:p>
          <w:p w14:paraId="6F227318">
            <w:pPr>
              <w:tabs>
                <w:tab w:val="left" w:pos="1755"/>
              </w:tabs>
              <w:spacing w:line="360" w:lineRule="auto"/>
              <w:ind w:firstLine="480" w:firstLineChars="200"/>
              <w:rPr>
                <w:rFonts w:ascii="Times New Roman" w:hAnsi="Times New Roman"/>
                <w:color w:val="auto"/>
                <w:sz w:val="24"/>
              </w:rPr>
            </w:pPr>
            <w:r>
              <w:rPr>
                <w:rFonts w:ascii="Times New Roman" w:hAnsi="Times New Roman"/>
                <w:color w:val="auto"/>
                <w:sz w:val="24"/>
              </w:rPr>
              <w:t>项目钻井期为每个井场逐步开工实施，废水主要指钻井液（即钻井泥浆）。钻井需配置泥浆作为钻井液供钻井使用，</w:t>
            </w:r>
            <w:r>
              <w:rPr>
                <w:rFonts w:hint="eastAsia" w:ascii="Times New Roman" w:hAnsi="Times New Roman"/>
                <w:color w:val="auto"/>
                <w:sz w:val="24"/>
              </w:rPr>
              <w:t>根据建设单位施工经验，每个钻孔总用水约为</w:t>
            </w:r>
            <w:r>
              <w:rPr>
                <w:rFonts w:hint="eastAsia" w:ascii="Times New Roman" w:hAnsi="Times New Roman"/>
                <w:color w:val="auto"/>
                <w:sz w:val="24"/>
                <w:lang w:val="en-US" w:eastAsia="zh-CN"/>
              </w:rPr>
              <w:t>140</w:t>
            </w:r>
            <w:r>
              <w:rPr>
                <w:rFonts w:hint="eastAsia" w:ascii="Times New Roman" w:hAnsi="Times New Roman"/>
                <w:color w:val="auto"/>
                <w:sz w:val="24"/>
              </w:rPr>
              <w:t>m³，共</w:t>
            </w:r>
            <w:r>
              <w:rPr>
                <w:rFonts w:hint="eastAsia" w:ascii="Times New Roman" w:hAnsi="Times New Roman"/>
                <w:color w:val="auto"/>
                <w:sz w:val="24"/>
                <w:lang w:val="en-US" w:eastAsia="zh-CN"/>
              </w:rPr>
              <w:t>13</w:t>
            </w:r>
            <w:r>
              <w:rPr>
                <w:rFonts w:hint="eastAsia" w:ascii="Times New Roman" w:hAnsi="Times New Roman"/>
                <w:color w:val="auto"/>
                <w:sz w:val="24"/>
              </w:rPr>
              <w:t>个钻孔</w:t>
            </w:r>
            <w:r>
              <w:rPr>
                <w:rFonts w:ascii="Times New Roman" w:hAnsi="Times New Roman"/>
                <w:color w:val="auto"/>
                <w:sz w:val="24"/>
              </w:rPr>
              <w:t>，</w:t>
            </w:r>
            <w:r>
              <w:rPr>
                <w:rFonts w:hint="eastAsia" w:ascii="Times New Roman" w:hAnsi="Times New Roman"/>
                <w:color w:val="auto"/>
                <w:sz w:val="24"/>
                <w:lang w:val="en-US" w:eastAsia="zh-CN"/>
              </w:rPr>
              <w:t>钻井总用水量1820</w:t>
            </w:r>
            <w:r>
              <w:rPr>
                <w:rFonts w:hint="eastAsia" w:ascii="Times New Roman" w:hAnsi="Times New Roman"/>
                <w:color w:val="auto"/>
                <w:sz w:val="24"/>
              </w:rPr>
              <w:t>m³</w:t>
            </w:r>
            <w:r>
              <w:rPr>
                <w:rFonts w:hint="eastAsia" w:ascii="Times New Roman" w:hAnsi="Times New Roman"/>
                <w:color w:val="auto"/>
                <w:sz w:val="24"/>
                <w:lang w:val="en-US" w:eastAsia="zh-CN"/>
              </w:rPr>
              <w:t>，</w:t>
            </w:r>
            <w:r>
              <w:rPr>
                <w:rFonts w:ascii="Times New Roman" w:hAnsi="Times New Roman"/>
                <w:color w:val="auto"/>
                <w:sz w:val="24"/>
              </w:rPr>
              <w:t>钻井工程工期为</w:t>
            </w:r>
            <w:r>
              <w:rPr>
                <w:rFonts w:hint="eastAsia" w:ascii="Times New Roman" w:hAnsi="Times New Roman"/>
                <w:color w:val="auto"/>
                <w:sz w:val="24"/>
                <w:lang w:val="en-US" w:eastAsia="zh-CN"/>
              </w:rPr>
              <w:t>12</w:t>
            </w:r>
            <w:r>
              <w:rPr>
                <w:rFonts w:ascii="Times New Roman" w:hAnsi="Times New Roman"/>
                <w:color w:val="auto"/>
                <w:sz w:val="24"/>
              </w:rPr>
              <w:t>个月，</w:t>
            </w:r>
            <w:r>
              <w:rPr>
                <w:rFonts w:hint="eastAsia" w:ascii="Times New Roman" w:hAnsi="Times New Roman"/>
                <w:color w:val="auto"/>
                <w:sz w:val="24"/>
                <w:lang w:val="en-US" w:eastAsia="zh-CN"/>
              </w:rPr>
              <w:t>每天钻井液用水约5</w:t>
            </w:r>
            <w:r>
              <w:rPr>
                <w:rFonts w:hint="eastAsia" w:ascii="Times New Roman" w:hAnsi="Times New Roman"/>
                <w:color w:val="auto"/>
                <w:sz w:val="24"/>
              </w:rPr>
              <w:t>m³</w:t>
            </w:r>
            <w:r>
              <w:rPr>
                <w:rFonts w:hint="eastAsia" w:ascii="Times New Roman" w:hAnsi="Times New Roman"/>
                <w:color w:val="auto"/>
                <w:sz w:val="24"/>
                <w:lang w:eastAsia="zh-CN"/>
              </w:rPr>
              <w:t>，</w:t>
            </w:r>
            <w:r>
              <w:rPr>
                <w:rFonts w:ascii="Times New Roman" w:hAnsi="Times New Roman"/>
                <w:color w:val="auto"/>
                <w:sz w:val="24"/>
              </w:rPr>
              <w:t>钻井液（泥浆）在使用过程中水损耗量为20%，即</w:t>
            </w:r>
            <w:r>
              <w:rPr>
                <w:rFonts w:hint="eastAsia" w:ascii="Times New Roman" w:hAnsi="Times New Roman"/>
                <w:color w:val="auto"/>
                <w:sz w:val="24"/>
                <w:lang w:val="en-US" w:eastAsia="zh-CN"/>
              </w:rPr>
              <w:t>1</w:t>
            </w:r>
            <w:r>
              <w:rPr>
                <w:rFonts w:hint="eastAsia" w:ascii="Times New Roman" w:hAnsi="Times New Roman"/>
                <w:color w:val="auto"/>
                <w:sz w:val="24"/>
              </w:rPr>
              <w:t>m³</w:t>
            </w:r>
            <w:r>
              <w:rPr>
                <w:rFonts w:hint="eastAsia" w:ascii="Times New Roman" w:hAnsi="Times New Roman"/>
                <w:color w:val="auto"/>
                <w:sz w:val="24"/>
                <w:lang w:val="en-US" w:eastAsia="zh-CN"/>
              </w:rPr>
              <w:t>/d，循环水量约4</w:t>
            </w:r>
            <w:r>
              <w:rPr>
                <w:rFonts w:hint="eastAsia" w:ascii="Times New Roman" w:hAnsi="Times New Roman"/>
                <w:color w:val="auto"/>
                <w:sz w:val="24"/>
              </w:rPr>
              <w:t>m³</w:t>
            </w:r>
            <w:r>
              <w:rPr>
                <w:rFonts w:hint="eastAsia" w:ascii="Times New Roman" w:hAnsi="Times New Roman"/>
                <w:color w:val="auto"/>
                <w:sz w:val="24"/>
                <w:lang w:val="en-US" w:eastAsia="zh-CN"/>
              </w:rPr>
              <w:t>/d。</w:t>
            </w:r>
            <w:r>
              <w:rPr>
                <w:rFonts w:ascii="Times New Roman" w:hAnsi="Times New Roman"/>
                <w:color w:val="auto"/>
                <w:sz w:val="24"/>
              </w:rPr>
              <w:t>钻井泥浆通过泥浆泵以废浆池沉淀后循环使用，不外排，泥浆</w:t>
            </w:r>
            <w:r>
              <w:rPr>
                <w:rFonts w:hint="eastAsia" w:ascii="Times New Roman" w:hAnsi="Times New Roman"/>
                <w:color w:val="auto"/>
                <w:sz w:val="24"/>
                <w:lang w:val="en-US" w:eastAsia="zh-CN"/>
              </w:rPr>
              <w:t>在废浆池中通过加入泥浆固化剂固化，固化</w:t>
            </w:r>
            <w:r>
              <w:rPr>
                <w:rFonts w:ascii="Times New Roman" w:hAnsi="Times New Roman"/>
                <w:color w:val="auto"/>
                <w:sz w:val="24"/>
              </w:rPr>
              <w:t>后属于一般固废，作为周边路基维护的建材使用。</w:t>
            </w:r>
          </w:p>
          <w:p w14:paraId="5F13B618">
            <w:pPr>
              <w:spacing w:line="360" w:lineRule="auto"/>
              <w:ind w:firstLine="480" w:firstLineChars="200"/>
              <w:rPr>
                <w:rFonts w:ascii="Times New Roman" w:hAnsi="Times New Roman"/>
                <w:color w:val="auto"/>
                <w:sz w:val="24"/>
              </w:rPr>
            </w:pPr>
            <w:r>
              <w:rPr>
                <w:rFonts w:ascii="Times New Roman" w:hAnsi="Times New Roman"/>
                <w:color w:val="auto"/>
                <w:sz w:val="24"/>
              </w:rPr>
              <w:t>（2）办公生活用水：项目租赁周边农村民房，用于员工食宿，施工现场不设施工营地，项目员工</w:t>
            </w:r>
            <w:r>
              <w:rPr>
                <w:rFonts w:hint="eastAsia" w:ascii="Times New Roman" w:hAnsi="Times New Roman"/>
                <w:color w:val="auto"/>
                <w:sz w:val="24"/>
                <w:lang w:val="en-US" w:eastAsia="zh-CN"/>
              </w:rPr>
              <w:t>总</w:t>
            </w:r>
            <w:r>
              <w:rPr>
                <w:rFonts w:ascii="Times New Roman" w:hAnsi="Times New Roman"/>
                <w:color w:val="auto"/>
                <w:sz w:val="24"/>
              </w:rPr>
              <w:t>人数为</w:t>
            </w:r>
            <w:r>
              <w:rPr>
                <w:rFonts w:hint="eastAsia" w:ascii="Times New Roman" w:hAnsi="Times New Roman"/>
                <w:color w:val="auto"/>
                <w:sz w:val="24"/>
                <w:lang w:val="en-US" w:eastAsia="zh-CN"/>
              </w:rPr>
              <w:t>50</w:t>
            </w:r>
            <w:r>
              <w:rPr>
                <w:rFonts w:ascii="Times New Roman" w:hAnsi="Times New Roman"/>
                <w:color w:val="auto"/>
                <w:sz w:val="24"/>
              </w:rPr>
              <w:t>人，根据</w:t>
            </w:r>
            <w:r>
              <w:rPr>
                <w:rFonts w:hint="eastAsia" w:ascii="Times New Roman" w:hAnsi="Times New Roman"/>
                <w:color w:val="auto"/>
                <w:sz w:val="24"/>
              </w:rPr>
              <w:t>《安徽省行业用水定额》（DB34/T 679-2025）</w:t>
            </w:r>
            <w:r>
              <w:rPr>
                <w:rFonts w:ascii="Times New Roman" w:hAnsi="Times New Roman"/>
                <w:color w:val="auto"/>
                <w:sz w:val="24"/>
              </w:rPr>
              <w:t xml:space="preserve">，员工生活用水按 </w:t>
            </w:r>
            <w:r>
              <w:rPr>
                <w:rFonts w:hint="eastAsia" w:ascii="Times New Roman" w:hAnsi="Times New Roman"/>
                <w:color w:val="auto"/>
                <w:sz w:val="24"/>
                <w:lang w:val="en-US" w:eastAsia="zh-CN"/>
              </w:rPr>
              <w:t>160</w:t>
            </w:r>
            <w:r>
              <w:rPr>
                <w:rFonts w:ascii="Times New Roman" w:hAnsi="Times New Roman"/>
                <w:color w:val="auto"/>
                <w:sz w:val="24"/>
              </w:rPr>
              <w:t>L/人·d 计，用水量约为</w:t>
            </w:r>
            <w:r>
              <w:rPr>
                <w:rFonts w:hint="eastAsia" w:ascii="Times New Roman" w:hAnsi="Times New Roman"/>
                <w:color w:val="auto"/>
                <w:sz w:val="24"/>
                <w:lang w:val="en-US" w:eastAsia="zh-CN"/>
              </w:rPr>
              <w:t>8.0</w:t>
            </w:r>
            <w:r>
              <w:rPr>
                <w:rFonts w:ascii="Times New Roman" w:hAnsi="Times New Roman"/>
                <w:color w:val="auto"/>
                <w:sz w:val="24"/>
              </w:rPr>
              <w:t>m</w:t>
            </w:r>
            <w:r>
              <w:rPr>
                <w:rFonts w:ascii="Times New Roman" w:hAnsi="Times New Roman"/>
                <w:color w:val="auto"/>
                <w:sz w:val="24"/>
                <w:vertAlign w:val="superscript"/>
              </w:rPr>
              <w:t>3</w:t>
            </w:r>
            <w:r>
              <w:rPr>
                <w:rFonts w:ascii="Times New Roman" w:hAnsi="Times New Roman"/>
                <w:color w:val="auto"/>
                <w:sz w:val="24"/>
              </w:rPr>
              <w:t>/d，年用水量为</w:t>
            </w:r>
            <w:r>
              <w:rPr>
                <w:rFonts w:hint="eastAsia" w:ascii="Times New Roman" w:hAnsi="Times New Roman"/>
                <w:color w:val="auto"/>
                <w:sz w:val="24"/>
                <w:lang w:val="en-US" w:eastAsia="zh-CN"/>
              </w:rPr>
              <w:t>2920</w:t>
            </w:r>
            <w:r>
              <w:rPr>
                <w:rFonts w:hint="eastAsia" w:ascii="Times New Roman" w:hAnsi="Times New Roman"/>
                <w:color w:val="auto"/>
                <w:sz w:val="24"/>
              </w:rPr>
              <w:t>m³</w:t>
            </w:r>
            <w:r>
              <w:rPr>
                <w:rFonts w:ascii="Times New Roman" w:hAnsi="Times New Roman"/>
                <w:color w:val="auto"/>
                <w:sz w:val="24"/>
              </w:rPr>
              <w:t>。</w:t>
            </w:r>
          </w:p>
          <w:p w14:paraId="5BD93AB1">
            <w:pPr>
              <w:spacing w:line="360" w:lineRule="auto"/>
              <w:ind w:firstLine="480" w:firstLineChars="200"/>
              <w:rPr>
                <w:rFonts w:ascii="Times New Roman" w:hAnsi="Times New Roman"/>
                <w:color w:val="auto"/>
                <w:sz w:val="24"/>
              </w:rPr>
            </w:pPr>
            <w:r>
              <w:rPr>
                <w:rFonts w:ascii="Times New Roman" w:hAnsi="Times New Roman"/>
                <w:color w:val="auto"/>
                <w:sz w:val="24"/>
              </w:rPr>
              <w:t>（3）车辆冲洗水</w:t>
            </w:r>
          </w:p>
          <w:p w14:paraId="7CEE161C">
            <w:pPr>
              <w:pStyle w:val="31"/>
              <w:spacing w:line="360" w:lineRule="auto"/>
              <w:ind w:firstLine="482" w:firstLineChars="201"/>
              <w:rPr>
                <w:rFonts w:hint="eastAsia" w:eastAsia="宋体"/>
                <w:color w:val="auto"/>
                <w:sz w:val="24"/>
                <w:lang w:eastAsia="zh-CN"/>
              </w:rPr>
            </w:pPr>
            <w:r>
              <w:rPr>
                <w:rFonts w:eastAsia="宋体"/>
                <w:color w:val="auto"/>
                <w:sz w:val="24"/>
              </w:rPr>
              <w:t>对于项目所有运输车辆进出厂区时均需冲洗。</w:t>
            </w:r>
            <w:r>
              <w:rPr>
                <w:rFonts w:hint="eastAsia" w:eastAsia="宋体"/>
                <w:color w:val="auto"/>
                <w:sz w:val="24"/>
              </w:rPr>
              <w:t>参考《建筑给水排水设计标准》（GB50015-2019），每次清洗用水量按80L/辆·次计</w:t>
            </w:r>
            <w:r>
              <w:rPr>
                <w:rFonts w:eastAsia="宋体"/>
                <w:color w:val="auto"/>
                <w:sz w:val="24"/>
              </w:rPr>
              <w:t>。根据建设方资料，项目施工期每天进出车辆共约10辆次，则冲洗用水量约为</w:t>
            </w:r>
            <w:r>
              <w:rPr>
                <w:rFonts w:hint="eastAsia" w:eastAsia="宋体"/>
                <w:color w:val="auto"/>
                <w:sz w:val="24"/>
                <w:lang w:val="en-US" w:eastAsia="zh-CN"/>
              </w:rPr>
              <w:t>0.8</w:t>
            </w:r>
            <w:r>
              <w:rPr>
                <w:rFonts w:eastAsia="宋体"/>
                <w:color w:val="auto"/>
                <w:sz w:val="24"/>
              </w:rPr>
              <w:t>m</w:t>
            </w:r>
            <w:r>
              <w:rPr>
                <w:rFonts w:eastAsia="宋体"/>
                <w:color w:val="auto"/>
                <w:sz w:val="24"/>
                <w:vertAlign w:val="superscript"/>
              </w:rPr>
              <w:t>3</w:t>
            </w:r>
            <w:r>
              <w:rPr>
                <w:rFonts w:eastAsia="宋体"/>
                <w:color w:val="auto"/>
                <w:sz w:val="24"/>
              </w:rPr>
              <w:t>/d。冲洗水约有</w:t>
            </w:r>
            <w:r>
              <w:rPr>
                <w:rFonts w:hint="eastAsia" w:eastAsia="宋体"/>
                <w:color w:val="auto"/>
                <w:sz w:val="24"/>
                <w:lang w:val="en-US" w:eastAsia="zh-CN"/>
              </w:rPr>
              <w:t>2</w:t>
            </w:r>
            <w:r>
              <w:rPr>
                <w:rFonts w:eastAsia="宋体"/>
                <w:color w:val="auto"/>
                <w:sz w:val="24"/>
              </w:rPr>
              <w:t>0%蒸发，其余</w:t>
            </w:r>
            <w:r>
              <w:rPr>
                <w:rFonts w:hint="eastAsia" w:eastAsia="宋体"/>
                <w:color w:val="auto"/>
                <w:sz w:val="24"/>
                <w:lang w:val="en-US" w:eastAsia="zh-CN"/>
              </w:rPr>
              <w:t>约0.64</w:t>
            </w:r>
            <w:r>
              <w:rPr>
                <w:rFonts w:eastAsia="宋体"/>
                <w:color w:val="auto"/>
                <w:sz w:val="24"/>
              </w:rPr>
              <w:t>m</w:t>
            </w:r>
            <w:r>
              <w:rPr>
                <w:rFonts w:eastAsia="宋体"/>
                <w:color w:val="auto"/>
                <w:sz w:val="24"/>
                <w:vertAlign w:val="superscript"/>
              </w:rPr>
              <w:t>3</w:t>
            </w:r>
            <w:r>
              <w:rPr>
                <w:rFonts w:eastAsia="宋体"/>
                <w:color w:val="auto"/>
                <w:sz w:val="24"/>
              </w:rPr>
              <w:t>/d水进入沉淀池沉淀后循环使用。井场进出口</w:t>
            </w:r>
            <w:r>
              <w:rPr>
                <w:rFonts w:hint="eastAsia" w:eastAsia="宋体"/>
                <w:color w:val="auto"/>
                <w:sz w:val="24"/>
                <w:lang w:val="en-US" w:eastAsia="zh-CN"/>
              </w:rPr>
              <w:t>需进行冲洗</w:t>
            </w:r>
            <w:r>
              <w:rPr>
                <w:rFonts w:eastAsia="宋体"/>
                <w:color w:val="auto"/>
                <w:sz w:val="24"/>
              </w:rPr>
              <w:t>，旁边设置沉淀池，冲洗废水沉淀后循环使用。冲洗用水因自然蒸发、车辆带走等损耗，日补充量约为</w:t>
            </w:r>
            <w:r>
              <w:rPr>
                <w:rFonts w:hint="eastAsia" w:eastAsia="宋体"/>
                <w:color w:val="auto"/>
                <w:sz w:val="24"/>
                <w:lang w:val="en-US" w:eastAsia="zh-CN"/>
              </w:rPr>
              <w:t>0.16</w:t>
            </w:r>
            <w:r>
              <w:rPr>
                <w:rFonts w:eastAsia="宋体"/>
                <w:color w:val="auto"/>
                <w:sz w:val="24"/>
              </w:rPr>
              <w:t>m</w:t>
            </w:r>
            <w:r>
              <w:rPr>
                <w:rFonts w:eastAsia="宋体"/>
                <w:color w:val="auto"/>
                <w:sz w:val="24"/>
                <w:vertAlign w:val="superscript"/>
              </w:rPr>
              <w:t>3</w:t>
            </w:r>
            <w:r>
              <w:rPr>
                <w:rFonts w:eastAsia="宋体"/>
                <w:color w:val="auto"/>
                <w:sz w:val="24"/>
              </w:rPr>
              <w:t>/d</w:t>
            </w:r>
            <w:r>
              <w:rPr>
                <w:rFonts w:hint="eastAsia" w:eastAsia="宋体"/>
                <w:color w:val="auto"/>
                <w:sz w:val="24"/>
                <w:lang w:eastAsia="zh-CN"/>
              </w:rPr>
              <w:t>，</w:t>
            </w:r>
            <w:r>
              <w:rPr>
                <w:rFonts w:hint="eastAsia" w:eastAsia="宋体"/>
                <w:color w:val="auto"/>
                <w:sz w:val="24"/>
                <w:lang w:val="en-US" w:eastAsia="zh-CN"/>
              </w:rPr>
              <w:t>年用水量为292</w:t>
            </w:r>
            <w:r>
              <w:rPr>
                <w:rFonts w:eastAsia="宋体"/>
                <w:color w:val="auto"/>
                <w:sz w:val="24"/>
              </w:rPr>
              <w:t>m</w:t>
            </w:r>
            <w:r>
              <w:rPr>
                <w:rFonts w:eastAsia="宋体"/>
                <w:color w:val="auto"/>
                <w:sz w:val="24"/>
                <w:vertAlign w:val="superscript"/>
              </w:rPr>
              <w:t>3</w:t>
            </w:r>
            <w:r>
              <w:rPr>
                <w:rFonts w:hint="eastAsia" w:eastAsia="宋体"/>
                <w:color w:val="auto"/>
                <w:sz w:val="24"/>
                <w:lang w:eastAsia="zh-CN"/>
              </w:rPr>
              <w:t>。</w:t>
            </w:r>
          </w:p>
          <w:p w14:paraId="0E66CE53">
            <w:pPr>
              <w:pStyle w:val="31"/>
              <w:spacing w:line="360" w:lineRule="auto"/>
              <w:ind w:firstLine="482" w:firstLineChars="201"/>
              <w:rPr>
                <w:rFonts w:ascii="Times New Roman" w:hAnsi="Times New Roman"/>
                <w:color w:val="auto"/>
                <w:sz w:val="24"/>
              </w:rPr>
            </w:pPr>
            <w:r>
              <w:rPr>
                <w:rFonts w:hint="eastAsia" w:eastAsia="宋体"/>
                <w:color w:val="auto"/>
                <w:sz w:val="24"/>
                <w:lang w:val="en-US" w:eastAsia="zh-CN"/>
              </w:rPr>
              <w:t>综上，</w:t>
            </w:r>
            <w:r>
              <w:rPr>
                <w:rFonts w:eastAsia="宋体"/>
                <w:color w:val="auto"/>
                <w:sz w:val="24"/>
              </w:rPr>
              <w:t>项目总用水量为</w:t>
            </w:r>
            <w:r>
              <w:rPr>
                <w:rFonts w:hint="eastAsia" w:eastAsia="宋体"/>
                <w:color w:val="auto"/>
                <w:sz w:val="24"/>
                <w:lang w:val="en-US" w:eastAsia="zh-CN"/>
              </w:rPr>
              <w:t>5032</w:t>
            </w:r>
            <w:r>
              <w:rPr>
                <w:rFonts w:eastAsia="宋体"/>
                <w:color w:val="auto"/>
                <w:sz w:val="24"/>
              </w:rPr>
              <w:t>m</w:t>
            </w:r>
            <w:r>
              <w:rPr>
                <w:rFonts w:eastAsia="宋体"/>
                <w:color w:val="auto"/>
                <w:sz w:val="24"/>
                <w:vertAlign w:val="superscript"/>
              </w:rPr>
              <w:t>3</w:t>
            </w:r>
            <w:r>
              <w:rPr>
                <w:rFonts w:eastAsia="宋体"/>
                <w:color w:val="auto"/>
                <w:sz w:val="24"/>
              </w:rPr>
              <w:t>，项目水平衡图见下图所示。</w:t>
            </w:r>
          </w:p>
          <w:p w14:paraId="25D84E56">
            <w:pPr>
              <w:pStyle w:val="12"/>
              <w:spacing w:after="0"/>
              <w:ind w:left="0" w:leftChars="0" w:firstLine="0"/>
              <w:jc w:val="center"/>
              <w:rPr>
                <w:rFonts w:hint="eastAsia" w:ascii="Times New Roman" w:hAnsi="Times New Roman" w:eastAsia="楷体_GB2312"/>
                <w:color w:val="auto"/>
                <w:lang w:eastAsia="zh-CN"/>
              </w:rPr>
            </w:pPr>
            <w:r>
              <w:rPr>
                <w:rFonts w:hint="eastAsia" w:ascii="Times New Roman" w:hAnsi="Times New Roman" w:eastAsia="楷体_GB2312"/>
                <w:color w:val="auto"/>
                <w:lang w:eastAsia="zh-CN"/>
              </w:rPr>
              <w:drawing>
                <wp:inline distT="0" distB="0" distL="114300" distR="114300">
                  <wp:extent cx="3621405" cy="2903855"/>
                  <wp:effectExtent l="0" t="0" r="0" b="0"/>
                  <wp:docPr id="2" name="ECB019B1-382A-4266-B25C-5B523AA43C14-2" descr="C:/Users/Administrator/AppData/Local/Temp/wps.TFqiIT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2" descr="C:/Users/Administrator/AppData/Local/Temp/wps.TFqiITwps"/>
                          <pic:cNvPicPr>
                            <a:picLocks noChangeAspect="1"/>
                          </pic:cNvPicPr>
                        </pic:nvPicPr>
                        <pic:blipFill>
                          <a:blip r:embed="rId24"/>
                          <a:stretch>
                            <a:fillRect/>
                          </a:stretch>
                        </pic:blipFill>
                        <pic:spPr>
                          <a:xfrm>
                            <a:off x="0" y="0"/>
                            <a:ext cx="3621405" cy="2903855"/>
                          </a:xfrm>
                          <a:prstGeom prst="rect">
                            <a:avLst/>
                          </a:prstGeom>
                        </pic:spPr>
                      </pic:pic>
                    </a:graphicData>
                  </a:graphic>
                </wp:inline>
              </w:drawing>
            </w:r>
          </w:p>
          <w:p w14:paraId="66748384">
            <w:pPr>
              <w:pStyle w:val="12"/>
              <w:spacing w:after="0" w:line="360" w:lineRule="auto"/>
              <w:jc w:val="center"/>
              <w:rPr>
                <w:rFonts w:ascii="Times New Roman" w:hAnsi="Times New Roman" w:eastAsia="宋体"/>
                <w:b/>
                <w:color w:val="auto"/>
                <w:sz w:val="21"/>
                <w:szCs w:val="21"/>
              </w:rPr>
            </w:pPr>
            <w:r>
              <w:rPr>
                <w:rFonts w:ascii="Times New Roman" w:hAnsi="Times New Roman" w:eastAsia="宋体"/>
                <w:b/>
                <w:color w:val="auto"/>
                <w:sz w:val="21"/>
                <w:szCs w:val="21"/>
              </w:rPr>
              <w:t>图</w:t>
            </w:r>
            <w:r>
              <w:rPr>
                <w:rFonts w:hint="eastAsia" w:ascii="Times New Roman" w:hAnsi="Times New Roman" w:eastAsia="宋体"/>
                <w:b/>
                <w:color w:val="auto"/>
                <w:sz w:val="21"/>
                <w:szCs w:val="21"/>
              </w:rPr>
              <w:t>2-</w:t>
            </w:r>
            <w:r>
              <w:rPr>
                <w:rFonts w:hint="eastAsia" w:ascii="Times New Roman" w:hAnsi="Times New Roman" w:eastAsia="宋体"/>
                <w:b/>
                <w:color w:val="auto"/>
                <w:sz w:val="21"/>
                <w:szCs w:val="21"/>
                <w:lang w:val="en-US" w:eastAsia="zh-CN"/>
              </w:rPr>
              <w:t>5</w:t>
            </w:r>
            <w:r>
              <w:rPr>
                <w:rFonts w:hint="eastAsia" w:ascii="Times New Roman" w:hAnsi="Times New Roman" w:eastAsia="宋体"/>
                <w:b/>
                <w:color w:val="auto"/>
                <w:sz w:val="21"/>
                <w:szCs w:val="21"/>
              </w:rPr>
              <w:t xml:space="preserve"> </w:t>
            </w:r>
            <w:r>
              <w:rPr>
                <w:rFonts w:ascii="Times New Roman" w:hAnsi="Times New Roman" w:eastAsia="宋体"/>
                <w:b/>
                <w:color w:val="auto"/>
                <w:sz w:val="21"/>
                <w:szCs w:val="21"/>
              </w:rPr>
              <w:t xml:space="preserve"> 项目水平衡图（</w:t>
            </w:r>
            <w:r>
              <w:rPr>
                <w:rFonts w:hint="eastAsia" w:ascii="Times New Roman" w:hAnsi="Times New Roman" w:eastAsia="宋体"/>
                <w:b/>
                <w:color w:val="auto"/>
                <w:sz w:val="21"/>
                <w:szCs w:val="21"/>
              </w:rPr>
              <w:t>m</w:t>
            </w:r>
            <w:r>
              <w:rPr>
                <w:rFonts w:hint="eastAsia" w:ascii="Times New Roman" w:hAnsi="Times New Roman" w:eastAsia="宋体"/>
                <w:b/>
                <w:color w:val="auto"/>
                <w:sz w:val="21"/>
                <w:szCs w:val="21"/>
                <w:vertAlign w:val="superscript"/>
              </w:rPr>
              <w:t>3</w:t>
            </w:r>
            <w:r>
              <w:rPr>
                <w:rFonts w:hint="eastAsia" w:ascii="Times New Roman" w:hAnsi="Times New Roman" w:eastAsia="宋体"/>
                <w:b/>
                <w:color w:val="auto"/>
                <w:sz w:val="21"/>
                <w:szCs w:val="21"/>
              </w:rPr>
              <w:t>/d</w:t>
            </w:r>
            <w:r>
              <w:rPr>
                <w:rFonts w:ascii="Times New Roman" w:hAnsi="Times New Roman" w:eastAsia="宋体"/>
                <w:b/>
                <w:color w:val="auto"/>
                <w:sz w:val="21"/>
                <w:szCs w:val="21"/>
              </w:rPr>
              <w:t>）</w:t>
            </w:r>
          </w:p>
          <w:p w14:paraId="4D6DBB80">
            <w:pPr>
              <w:pStyle w:val="23"/>
              <w:adjustRightInd/>
              <w:spacing w:line="360" w:lineRule="auto"/>
              <w:ind w:firstLine="482" w:firstLineChars="200"/>
              <w:jc w:val="both"/>
              <w:rPr>
                <w:rFonts w:ascii="Times New Roman" w:hAnsi="Times New Roman"/>
                <w:b/>
                <w:color w:val="auto"/>
              </w:rPr>
            </w:pPr>
            <w:r>
              <w:rPr>
                <w:rFonts w:ascii="Times New Roman" w:hAnsi="Times New Roman"/>
                <w:b/>
                <w:color w:val="auto"/>
              </w:rPr>
              <w:t>5</w:t>
            </w:r>
            <w:r>
              <w:rPr>
                <w:rFonts w:ascii="Times New Roman" w:hAnsi="宋体"/>
                <w:b/>
                <w:color w:val="auto"/>
              </w:rPr>
              <w:t>、建设周期和项目劳动定员及工作制度</w:t>
            </w:r>
          </w:p>
          <w:p w14:paraId="6CC6698B">
            <w:pPr>
              <w:pStyle w:val="23"/>
              <w:adjustRightInd/>
              <w:spacing w:line="360" w:lineRule="auto"/>
              <w:ind w:firstLine="480" w:firstLineChars="200"/>
              <w:jc w:val="both"/>
              <w:rPr>
                <w:rFonts w:ascii="Times New Roman" w:hAnsi="Times New Roman"/>
                <w:color w:val="auto"/>
              </w:rPr>
            </w:pPr>
            <w:r>
              <w:rPr>
                <w:rFonts w:ascii="Times New Roman" w:hAnsi="宋体"/>
                <w:bCs/>
                <w:color w:val="auto"/>
              </w:rPr>
              <w:t>本项目实施是为了</w:t>
            </w:r>
            <w:r>
              <w:rPr>
                <w:rFonts w:ascii="Times New Roman" w:hAnsi="宋体"/>
                <w:color w:val="auto"/>
              </w:rPr>
              <w:t>采掘面瓦斯抽采预先进行的钻前工程、钻井工程、复垦工程。由于本项目的实施是为了消除煤炭开采的安全隐患，为后期采掘面预抽采做前期准备工作。项目的实施仅为钻井工程，不涉及后期瓦斯抽采及瓦斯输送线路工程。因此本项目只涉及施工期。项目施工周期为</w:t>
            </w:r>
            <w:r>
              <w:rPr>
                <w:rFonts w:hint="eastAsia" w:ascii="Times New Roman" w:hAnsi="Times New Roman"/>
                <w:color w:val="auto"/>
                <w:lang w:val="en-US" w:eastAsia="zh-CN"/>
              </w:rPr>
              <w:t>12</w:t>
            </w:r>
            <w:r>
              <w:rPr>
                <w:rFonts w:ascii="Times New Roman" w:hAnsi="宋体"/>
                <w:color w:val="auto"/>
              </w:rPr>
              <w:t>个月，</w:t>
            </w:r>
            <w:r>
              <w:rPr>
                <w:rFonts w:hint="eastAsia" w:ascii="Times New Roman" w:hAnsi="宋体"/>
                <w:color w:val="auto"/>
                <w:lang w:val="en-US" w:eastAsia="zh-CN"/>
              </w:rPr>
              <w:t>13个井场每天</w:t>
            </w:r>
            <w:r>
              <w:rPr>
                <w:rFonts w:hint="eastAsia" w:ascii="Times New Roman" w:hAnsi="宋体"/>
                <w:color w:val="auto"/>
              </w:rPr>
              <w:t>施工</w:t>
            </w:r>
            <w:r>
              <w:rPr>
                <w:rFonts w:hint="eastAsia" w:ascii="Times New Roman" w:hAnsi="宋体"/>
                <w:color w:val="auto"/>
                <w:lang w:val="en-US" w:eastAsia="zh-CN"/>
              </w:rPr>
              <w:t>总人数为50</w:t>
            </w:r>
            <w:r>
              <w:rPr>
                <w:rFonts w:hint="eastAsia" w:ascii="Times New Roman" w:hAnsi="宋体"/>
                <w:color w:val="auto"/>
              </w:rPr>
              <w:t>人</w:t>
            </w:r>
            <w:r>
              <w:rPr>
                <w:rFonts w:hint="eastAsia" w:ascii="Times New Roman" w:hAnsi="宋体"/>
                <w:color w:val="auto"/>
                <w:lang w:eastAsia="zh-CN"/>
              </w:rPr>
              <w:t>，</w:t>
            </w:r>
            <w:r>
              <w:rPr>
                <w:rFonts w:ascii="Times New Roman" w:hAnsi="宋体"/>
                <w:color w:val="auto"/>
              </w:rPr>
              <w:t>年工作时间为</w:t>
            </w:r>
            <w:r>
              <w:rPr>
                <w:rFonts w:ascii="Times New Roman" w:hAnsi="Times New Roman"/>
                <w:color w:val="auto"/>
              </w:rPr>
              <w:t>365</w:t>
            </w:r>
            <w:r>
              <w:rPr>
                <w:rFonts w:ascii="Times New Roman" w:hAnsi="宋体"/>
                <w:color w:val="auto"/>
              </w:rPr>
              <w:t>天，实行三班制，每班工作</w:t>
            </w:r>
            <w:r>
              <w:rPr>
                <w:rFonts w:ascii="Times New Roman" w:hAnsi="Times New Roman"/>
                <w:color w:val="auto"/>
              </w:rPr>
              <w:t>8</w:t>
            </w:r>
            <w:r>
              <w:rPr>
                <w:rFonts w:ascii="Times New Roman" w:hAnsi="宋体"/>
                <w:color w:val="auto"/>
              </w:rPr>
              <w:t>小时。</w:t>
            </w:r>
          </w:p>
          <w:p w14:paraId="4ABD866A">
            <w:pPr>
              <w:pStyle w:val="23"/>
              <w:adjustRightInd/>
              <w:spacing w:line="360" w:lineRule="auto"/>
              <w:ind w:firstLine="482" w:firstLineChars="200"/>
              <w:jc w:val="both"/>
              <w:rPr>
                <w:rFonts w:ascii="Times New Roman" w:hAnsi="Times New Roman"/>
                <w:b/>
                <w:bCs/>
                <w:color w:val="auto"/>
              </w:rPr>
            </w:pPr>
            <w:r>
              <w:rPr>
                <w:rFonts w:ascii="Times New Roman" w:hAnsi="Times New Roman"/>
                <w:b/>
                <w:color w:val="auto"/>
              </w:rPr>
              <w:t>6</w:t>
            </w:r>
            <w:r>
              <w:rPr>
                <w:rFonts w:ascii="Times New Roman" w:hAnsi="宋体"/>
                <w:b/>
                <w:color w:val="auto"/>
              </w:rPr>
              <w:t>、</w:t>
            </w:r>
            <w:r>
              <w:rPr>
                <w:rFonts w:ascii="Times New Roman" w:hAnsi="宋体"/>
                <w:b/>
                <w:bCs/>
                <w:color w:val="auto"/>
              </w:rPr>
              <w:t>施工时序</w:t>
            </w:r>
          </w:p>
          <w:p w14:paraId="641567F4">
            <w:pPr>
              <w:pStyle w:val="23"/>
              <w:adjustRightInd/>
              <w:spacing w:line="360" w:lineRule="auto"/>
              <w:ind w:firstLine="480" w:firstLineChars="200"/>
              <w:jc w:val="both"/>
              <w:rPr>
                <w:rFonts w:ascii="Times New Roman" w:hAnsi="Times New Roman"/>
                <w:bCs/>
                <w:color w:val="auto"/>
              </w:rPr>
            </w:pPr>
            <w:r>
              <w:rPr>
                <w:rFonts w:ascii="Times New Roman" w:hAnsi="宋体"/>
                <w:bCs/>
                <w:color w:val="auto"/>
              </w:rPr>
              <w:t>项目井场施工时序如下：</w:t>
            </w:r>
          </w:p>
          <w:p w14:paraId="43EA36A6">
            <w:pPr>
              <w:pStyle w:val="23"/>
              <w:adjustRightInd/>
              <w:spacing w:line="360" w:lineRule="auto"/>
              <w:ind w:firstLine="480" w:firstLineChars="200"/>
              <w:jc w:val="both"/>
              <w:rPr>
                <w:rFonts w:ascii="Times New Roman" w:hAnsi="Times New Roman"/>
                <w:color w:val="auto"/>
              </w:rPr>
            </w:pPr>
            <w:r>
              <w:rPr>
                <w:rFonts w:ascii="宋体" w:hAnsi="宋体"/>
                <w:bCs/>
                <w:color w:val="auto"/>
              </w:rPr>
              <w:t>①</w:t>
            </w:r>
            <w:r>
              <w:rPr>
                <w:rFonts w:ascii="Times New Roman" w:hAnsi="宋体"/>
                <w:bCs/>
                <w:color w:val="auto"/>
              </w:rPr>
              <w:t>实施</w:t>
            </w:r>
            <w:r>
              <w:rPr>
                <w:rFonts w:ascii="Times New Roman" w:hAnsi="宋体"/>
                <w:color w:val="auto"/>
              </w:rPr>
              <w:t>钻前工程；</w:t>
            </w:r>
          </w:p>
          <w:p w14:paraId="13998D66">
            <w:pPr>
              <w:pStyle w:val="23"/>
              <w:adjustRightInd/>
              <w:spacing w:line="360" w:lineRule="auto"/>
              <w:ind w:firstLine="480" w:firstLineChars="200"/>
              <w:jc w:val="both"/>
              <w:rPr>
                <w:rFonts w:hint="eastAsia" w:ascii="Times New Roman" w:hAnsi="Times New Roman" w:eastAsia="宋体"/>
                <w:color w:val="auto"/>
                <w:lang w:eastAsia="zh-CN"/>
              </w:rPr>
            </w:pPr>
            <w:r>
              <w:rPr>
                <w:rFonts w:ascii="宋体" w:hAnsi="宋体"/>
                <w:bCs/>
                <w:color w:val="auto"/>
              </w:rPr>
              <w:t>②</w:t>
            </w:r>
            <w:r>
              <w:rPr>
                <w:rFonts w:ascii="Times New Roman" w:hAnsi="宋体"/>
                <w:bCs/>
                <w:color w:val="auto"/>
              </w:rPr>
              <w:t>实施钻井工程：计划依次施工顺序为</w:t>
            </w:r>
            <w:r>
              <w:rPr>
                <w:rFonts w:ascii="Times New Roman" w:hAnsi="Times New Roman"/>
                <w:bCs/>
                <w:color w:val="auto"/>
              </w:rPr>
              <w:t>1号井场</w:t>
            </w:r>
            <w:r>
              <w:rPr>
                <w:rFonts w:ascii="Times New Roman" w:hAnsi="宋体"/>
                <w:bCs/>
                <w:color w:val="auto"/>
              </w:rPr>
              <w:t>、</w:t>
            </w:r>
            <w:r>
              <w:rPr>
                <w:rFonts w:ascii="Times New Roman" w:hAnsi="Times New Roman"/>
                <w:bCs/>
                <w:color w:val="auto"/>
              </w:rPr>
              <w:t>2号井场</w:t>
            </w:r>
            <w:r>
              <w:rPr>
                <w:rFonts w:ascii="Times New Roman" w:hAnsi="宋体"/>
                <w:bCs/>
                <w:color w:val="auto"/>
              </w:rPr>
              <w:t>、</w:t>
            </w:r>
            <w:r>
              <w:rPr>
                <w:rFonts w:ascii="Times New Roman" w:hAnsi="Times New Roman"/>
                <w:bCs/>
                <w:color w:val="auto"/>
              </w:rPr>
              <w:t>3号井场</w:t>
            </w:r>
            <w:r>
              <w:rPr>
                <w:rFonts w:ascii="Times New Roman" w:hAnsi="宋体"/>
                <w:bCs/>
                <w:color w:val="auto"/>
              </w:rPr>
              <w:t>、</w:t>
            </w:r>
            <w:r>
              <w:rPr>
                <w:rFonts w:ascii="Times New Roman" w:hAnsi="Times New Roman"/>
                <w:bCs/>
                <w:color w:val="auto"/>
              </w:rPr>
              <w:t>4号井场</w:t>
            </w:r>
            <w:r>
              <w:rPr>
                <w:rFonts w:ascii="Times New Roman" w:hAnsi="宋体"/>
                <w:bCs/>
                <w:color w:val="auto"/>
              </w:rPr>
              <w:t>、</w:t>
            </w:r>
            <w:r>
              <w:rPr>
                <w:rFonts w:ascii="Times New Roman" w:hAnsi="Times New Roman"/>
                <w:bCs/>
                <w:color w:val="auto"/>
              </w:rPr>
              <w:t>5号井场</w:t>
            </w:r>
            <w:r>
              <w:rPr>
                <w:rFonts w:ascii="Times New Roman" w:hAnsi="宋体"/>
                <w:bCs/>
                <w:color w:val="auto"/>
              </w:rPr>
              <w:t>、</w:t>
            </w:r>
            <w:r>
              <w:rPr>
                <w:rFonts w:ascii="Times New Roman" w:hAnsi="Times New Roman"/>
                <w:bCs/>
                <w:color w:val="auto"/>
              </w:rPr>
              <w:t>6号井场</w:t>
            </w:r>
            <w:r>
              <w:rPr>
                <w:rFonts w:hint="eastAsia" w:ascii="Times New Roman" w:hAnsi="Times New Roman"/>
                <w:bCs/>
                <w:color w:val="auto"/>
                <w:lang w:eastAsia="zh-CN"/>
              </w:rPr>
              <w:t>、</w:t>
            </w:r>
            <w:r>
              <w:rPr>
                <w:rFonts w:ascii="Times New Roman" w:hAnsi="Times New Roman"/>
                <w:bCs/>
                <w:color w:val="auto"/>
              </w:rPr>
              <w:t>7号井场</w:t>
            </w:r>
            <w:r>
              <w:rPr>
                <w:rFonts w:hint="eastAsia" w:ascii="Times New Roman" w:hAnsi="Times New Roman"/>
                <w:bCs/>
                <w:color w:val="auto"/>
                <w:lang w:eastAsia="zh-CN"/>
              </w:rPr>
              <w:t>、</w:t>
            </w:r>
            <w:r>
              <w:rPr>
                <w:rFonts w:hint="eastAsia" w:ascii="Times New Roman" w:hAnsi="Times New Roman"/>
                <w:bCs/>
                <w:color w:val="auto"/>
                <w:lang w:val="en-US" w:eastAsia="zh-CN"/>
              </w:rPr>
              <w:t>8</w:t>
            </w:r>
            <w:r>
              <w:rPr>
                <w:rFonts w:ascii="Times New Roman" w:hAnsi="Times New Roman"/>
                <w:bCs/>
                <w:color w:val="auto"/>
              </w:rPr>
              <w:t>号井场</w:t>
            </w:r>
            <w:r>
              <w:rPr>
                <w:rFonts w:ascii="Times New Roman" w:hAnsi="宋体"/>
                <w:bCs/>
                <w:color w:val="auto"/>
              </w:rPr>
              <w:t>、</w:t>
            </w:r>
            <w:r>
              <w:rPr>
                <w:rFonts w:hint="eastAsia" w:ascii="Times New Roman" w:hAnsi="Times New Roman"/>
                <w:bCs/>
                <w:color w:val="auto"/>
                <w:lang w:val="en-US" w:eastAsia="zh-CN"/>
              </w:rPr>
              <w:t>9</w:t>
            </w:r>
            <w:r>
              <w:rPr>
                <w:rFonts w:ascii="Times New Roman" w:hAnsi="Times New Roman"/>
                <w:bCs/>
                <w:color w:val="auto"/>
              </w:rPr>
              <w:t>号井场</w:t>
            </w:r>
            <w:r>
              <w:rPr>
                <w:rFonts w:ascii="Times New Roman" w:hAnsi="宋体"/>
                <w:bCs/>
                <w:color w:val="auto"/>
              </w:rPr>
              <w:t>、</w:t>
            </w:r>
            <w:r>
              <w:rPr>
                <w:rFonts w:hint="eastAsia" w:ascii="Times New Roman" w:hAnsi="Times New Roman"/>
                <w:bCs/>
                <w:color w:val="auto"/>
                <w:lang w:val="en-US" w:eastAsia="zh-CN"/>
              </w:rPr>
              <w:t>10</w:t>
            </w:r>
            <w:r>
              <w:rPr>
                <w:rFonts w:ascii="Times New Roman" w:hAnsi="Times New Roman"/>
                <w:bCs/>
                <w:color w:val="auto"/>
              </w:rPr>
              <w:t>号井场</w:t>
            </w:r>
            <w:r>
              <w:rPr>
                <w:rFonts w:ascii="Times New Roman" w:hAnsi="宋体"/>
                <w:bCs/>
                <w:color w:val="auto"/>
              </w:rPr>
              <w:t>、</w:t>
            </w:r>
            <w:r>
              <w:rPr>
                <w:rFonts w:hint="eastAsia" w:ascii="Times New Roman" w:hAnsi="Times New Roman"/>
                <w:bCs/>
                <w:color w:val="auto"/>
                <w:lang w:val="en-US" w:eastAsia="zh-CN"/>
              </w:rPr>
              <w:t>11</w:t>
            </w:r>
            <w:r>
              <w:rPr>
                <w:rFonts w:ascii="Times New Roman" w:hAnsi="Times New Roman"/>
                <w:bCs/>
                <w:color w:val="auto"/>
              </w:rPr>
              <w:t>号井场</w:t>
            </w:r>
            <w:r>
              <w:rPr>
                <w:rFonts w:ascii="Times New Roman" w:hAnsi="宋体"/>
                <w:bCs/>
                <w:color w:val="auto"/>
              </w:rPr>
              <w:t>、</w:t>
            </w:r>
            <w:r>
              <w:rPr>
                <w:rFonts w:hint="eastAsia" w:ascii="Times New Roman" w:hAnsi="Times New Roman"/>
                <w:bCs/>
                <w:color w:val="auto"/>
                <w:lang w:val="en-US" w:eastAsia="zh-CN"/>
              </w:rPr>
              <w:t>12</w:t>
            </w:r>
            <w:r>
              <w:rPr>
                <w:rFonts w:ascii="Times New Roman" w:hAnsi="Times New Roman"/>
                <w:bCs/>
                <w:color w:val="auto"/>
              </w:rPr>
              <w:t>号井场</w:t>
            </w:r>
            <w:r>
              <w:rPr>
                <w:rFonts w:ascii="Times New Roman" w:hAnsi="宋体"/>
                <w:bCs/>
                <w:color w:val="auto"/>
              </w:rPr>
              <w:t>、</w:t>
            </w:r>
            <w:r>
              <w:rPr>
                <w:rFonts w:hint="eastAsia" w:ascii="Times New Roman" w:hAnsi="Times New Roman"/>
                <w:bCs/>
                <w:color w:val="auto"/>
                <w:lang w:val="en-US" w:eastAsia="zh-CN"/>
              </w:rPr>
              <w:t>13</w:t>
            </w:r>
            <w:r>
              <w:rPr>
                <w:rFonts w:ascii="Times New Roman" w:hAnsi="Times New Roman"/>
                <w:bCs/>
                <w:color w:val="auto"/>
              </w:rPr>
              <w:t>号井场</w:t>
            </w:r>
            <w:r>
              <w:rPr>
                <w:rFonts w:hint="eastAsia" w:ascii="Times New Roman" w:hAnsi="Times New Roman"/>
                <w:bCs/>
                <w:color w:val="auto"/>
                <w:lang w:eastAsia="zh-CN"/>
              </w:rPr>
              <w:t>。</w:t>
            </w:r>
          </w:p>
          <w:p w14:paraId="2E675575">
            <w:pPr>
              <w:pStyle w:val="23"/>
              <w:adjustRightInd/>
              <w:spacing w:line="360" w:lineRule="auto"/>
              <w:ind w:firstLine="480" w:firstLineChars="200"/>
              <w:jc w:val="both"/>
              <w:rPr>
                <w:rFonts w:ascii="Times New Roman" w:hAnsi="Times New Roman"/>
                <w:color w:val="auto"/>
              </w:rPr>
            </w:pPr>
            <w:r>
              <w:rPr>
                <w:rFonts w:ascii="宋体" w:hAnsi="宋体"/>
                <w:color w:val="auto"/>
              </w:rPr>
              <w:t>③</w:t>
            </w:r>
            <w:r>
              <w:rPr>
                <w:rFonts w:ascii="Times New Roman" w:hAnsi="宋体"/>
                <w:color w:val="auto"/>
              </w:rPr>
              <w:t>实施生态恢复工程。</w:t>
            </w:r>
          </w:p>
        </w:tc>
      </w:tr>
    </w:tbl>
    <w:p w14:paraId="3C4F0B39">
      <w:pPr>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br w:type="page"/>
      </w:r>
    </w:p>
    <w:p w14:paraId="61AD4DA8">
      <w:pPr>
        <w:pStyle w:val="16"/>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三、生态环境现状、保护目标及评价标准</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4"/>
        <w:gridCol w:w="8068"/>
      </w:tblGrid>
      <w:tr w14:paraId="6358F6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32" w:hRule="atLeast"/>
          <w:jc w:val="center"/>
        </w:trPr>
        <w:tc>
          <w:tcPr>
            <w:tcW w:w="454" w:type="dxa"/>
            <w:noWrap w:val="0"/>
            <w:vAlign w:val="center"/>
          </w:tcPr>
          <w:p w14:paraId="1F861638">
            <w:pPr>
              <w:adjustRightInd w:val="0"/>
              <w:snapToGrid w:val="0"/>
              <w:jc w:val="center"/>
              <w:rPr>
                <w:rFonts w:ascii="Times New Roman" w:hAnsi="Times New Roman"/>
                <w:color w:val="auto"/>
                <w:kern w:val="0"/>
                <w:sz w:val="24"/>
              </w:rPr>
            </w:pPr>
            <w:r>
              <w:rPr>
                <w:rFonts w:ascii="Times New Roman" w:hAnsi="Times New Roman"/>
                <w:color w:val="auto"/>
                <w:kern w:val="0"/>
                <w:sz w:val="24"/>
              </w:rPr>
              <w:t>生态环境现状</w:t>
            </w:r>
          </w:p>
        </w:tc>
        <w:tc>
          <w:tcPr>
            <w:tcW w:w="8068" w:type="dxa"/>
            <w:noWrap w:val="0"/>
            <w:vAlign w:val="center"/>
          </w:tcPr>
          <w:p w14:paraId="649BF2BA">
            <w:pPr>
              <w:pStyle w:val="13"/>
              <w:tabs>
                <w:tab w:val="left" w:pos="0"/>
              </w:tabs>
              <w:snapToGrid/>
              <w:spacing w:line="360" w:lineRule="auto"/>
              <w:rPr>
                <w:rFonts w:ascii="Times New Roman" w:hAnsi="Times New Roman"/>
                <w:b/>
                <w:bCs/>
                <w:color w:val="auto"/>
                <w:sz w:val="24"/>
                <w:lang w:val="en-US" w:eastAsia="zh-CN"/>
              </w:rPr>
            </w:pPr>
            <w:r>
              <w:rPr>
                <w:rFonts w:ascii="Times New Roman" w:hAnsi="Times New Roman"/>
                <w:b/>
                <w:bCs/>
                <w:color w:val="auto"/>
                <w:sz w:val="24"/>
                <w:lang w:val="en-US" w:eastAsia="zh-CN"/>
              </w:rPr>
              <w:t>一、自然环境简介</w:t>
            </w:r>
          </w:p>
          <w:p w14:paraId="46307339">
            <w:pPr>
              <w:pStyle w:val="13"/>
              <w:tabs>
                <w:tab w:val="left" w:pos="0"/>
              </w:tabs>
              <w:snapToGrid/>
              <w:spacing w:line="360" w:lineRule="auto"/>
              <w:ind w:firstLine="482" w:firstLineChars="200"/>
              <w:rPr>
                <w:rFonts w:ascii="Times New Roman" w:hAnsi="Times New Roman"/>
                <w:b/>
                <w:bCs/>
                <w:color w:val="auto"/>
                <w:sz w:val="24"/>
                <w:lang w:val="en-US" w:eastAsia="zh-CN"/>
              </w:rPr>
            </w:pPr>
            <w:r>
              <w:rPr>
                <w:rFonts w:ascii="Times New Roman" w:hAnsi="Times New Roman"/>
                <w:b/>
                <w:bCs/>
                <w:color w:val="auto"/>
                <w:sz w:val="24"/>
                <w:lang w:val="en-US" w:eastAsia="zh-CN"/>
              </w:rPr>
              <w:t xml:space="preserve">1、生态现状调查 </w:t>
            </w:r>
          </w:p>
          <w:p w14:paraId="67EBD238">
            <w:pPr>
              <w:spacing w:line="360" w:lineRule="auto"/>
              <w:ind w:firstLine="480"/>
              <w:rPr>
                <w:rFonts w:ascii="Times New Roman" w:hAnsi="Times New Roman"/>
                <w:color w:val="auto"/>
                <w:sz w:val="24"/>
              </w:rPr>
            </w:pPr>
            <w:r>
              <w:rPr>
                <w:rFonts w:ascii="Times New Roman" w:hAnsi="Times New Roman"/>
                <w:color w:val="auto"/>
                <w:sz w:val="24"/>
              </w:rPr>
              <w:t>（1）主体功能区规划</w:t>
            </w:r>
          </w:p>
          <w:p w14:paraId="5FA3B27F">
            <w:pPr>
              <w:keepNext/>
              <w:keepLines/>
              <w:spacing w:line="360" w:lineRule="auto"/>
              <w:ind w:firstLine="480" w:firstLineChars="200"/>
              <w:outlineLvl w:val="2"/>
              <w:rPr>
                <w:rFonts w:hint="eastAsia" w:ascii="Times New Roman" w:hAnsi="Times New Roman" w:eastAsia="宋体"/>
                <w:b w:val="0"/>
                <w:bCs w:val="0"/>
                <w:color w:val="auto"/>
                <w:sz w:val="24"/>
                <w:lang w:eastAsia="zh-CN"/>
              </w:rPr>
            </w:pPr>
            <w:r>
              <w:rPr>
                <w:rFonts w:hint="eastAsia" w:ascii="Times New Roman" w:hAnsi="Times New Roman" w:eastAsia="宋体"/>
                <w:b w:val="0"/>
                <w:bCs w:val="0"/>
                <w:color w:val="auto"/>
                <w:sz w:val="24"/>
                <w:lang w:eastAsia="zh-CN"/>
              </w:rPr>
              <w:t>本工程位于潘集区贺瞳镇境内，根据《关于印发安徽省主体功能区划的通知》（皖政〔2013〕82号），工程所在位置属于省重点开发区域。安徽省主体功能区划图详见附图</w:t>
            </w:r>
            <w:r>
              <w:rPr>
                <w:rFonts w:hint="eastAsia" w:ascii="Times New Roman" w:hAnsi="Times New Roman"/>
                <w:b w:val="0"/>
                <w:bCs w:val="0"/>
                <w:color w:val="auto"/>
                <w:sz w:val="24"/>
                <w:lang w:val="en-US" w:eastAsia="zh-CN"/>
              </w:rPr>
              <w:t>10</w:t>
            </w:r>
            <w:r>
              <w:rPr>
                <w:rFonts w:hint="eastAsia" w:ascii="Times New Roman" w:hAnsi="Times New Roman" w:eastAsia="宋体"/>
                <w:b w:val="0"/>
                <w:bCs w:val="0"/>
                <w:color w:val="auto"/>
                <w:sz w:val="24"/>
                <w:lang w:eastAsia="zh-CN"/>
              </w:rPr>
              <w:t>。</w:t>
            </w:r>
          </w:p>
          <w:p w14:paraId="551D7493">
            <w:pPr>
              <w:keepNext/>
              <w:keepLines/>
              <w:spacing w:line="360" w:lineRule="auto"/>
              <w:ind w:firstLine="480" w:firstLineChars="200"/>
              <w:outlineLvl w:val="2"/>
              <w:rPr>
                <w:rFonts w:hint="eastAsia" w:ascii="Times New Roman" w:hAnsi="Times New Roman" w:eastAsia="宋体"/>
                <w:color w:val="auto"/>
                <w:sz w:val="24"/>
                <w:lang w:eastAsia="zh-CN"/>
              </w:rPr>
            </w:pPr>
            <w:r>
              <w:rPr>
                <w:rFonts w:hint="eastAsia" w:ascii="Times New Roman" w:hAnsi="Times New Roman" w:eastAsia="宋体"/>
                <w:color w:val="auto"/>
                <w:sz w:val="24"/>
                <w:lang w:eastAsia="zh-CN"/>
              </w:rPr>
              <w:t>该片区是皖北城镇群的重要节点城市，包括淮南市5个市辖区和蚌埠市4个市辖区。</w:t>
            </w:r>
          </w:p>
          <w:p w14:paraId="78B01F28">
            <w:pPr>
              <w:keepNext/>
              <w:keepLines/>
              <w:spacing w:line="360" w:lineRule="auto"/>
              <w:ind w:firstLine="480" w:firstLineChars="200"/>
              <w:outlineLvl w:val="2"/>
              <w:rPr>
                <w:rFonts w:hint="eastAsia" w:ascii="Times New Roman" w:hAnsi="Times New Roman" w:eastAsia="宋体"/>
                <w:color w:val="auto"/>
                <w:sz w:val="24"/>
                <w:lang w:eastAsia="zh-CN"/>
              </w:rPr>
            </w:pPr>
            <w:r>
              <w:rPr>
                <w:rFonts w:hint="eastAsia" w:ascii="Times New Roman" w:hAnsi="Times New Roman" w:eastAsia="宋体"/>
                <w:color w:val="auto"/>
                <w:sz w:val="24"/>
                <w:lang w:eastAsia="zh-CN"/>
              </w:rPr>
              <w:t>功能定位：全国重要的能源基地、先进制造业基地、煤化工及化工新材料基地和创新基地，全国重要的商品粮基地和农副产品加工基地，全省重要的生物医药基地。</w:t>
            </w:r>
          </w:p>
          <w:p w14:paraId="1394663C">
            <w:pPr>
              <w:keepNext/>
              <w:keepLines/>
              <w:spacing w:line="360" w:lineRule="auto"/>
              <w:ind w:firstLine="480" w:firstLineChars="200"/>
              <w:outlineLvl w:val="2"/>
              <w:rPr>
                <w:rFonts w:hint="eastAsia" w:ascii="Times New Roman" w:hAnsi="Times New Roman" w:eastAsia="宋体"/>
                <w:color w:val="auto"/>
                <w:sz w:val="24"/>
                <w:lang w:eastAsia="zh-CN"/>
              </w:rPr>
            </w:pPr>
            <w:r>
              <w:rPr>
                <w:rFonts w:hint="eastAsia" w:ascii="Times New Roman" w:hAnsi="Times New Roman" w:eastAsia="宋体"/>
                <w:color w:val="auto"/>
                <w:sz w:val="24"/>
                <w:lang w:eastAsia="zh-CN"/>
              </w:rPr>
              <w:t>——加快蚌埠区域性中心城市建设，形成以市区为中心、县城为骨干、中心镇为节点的城镇体系；加强交通等基础设施规划和建设，巩固提升区域性综合交通枢纽地位。加快淮南资源枯竭型城市转型，优化城市空间布局，强化城市基础设施支撑能力，建设成为沿淮经济带重要的现代化大城市。</w:t>
            </w:r>
          </w:p>
          <w:p w14:paraId="50782D5C">
            <w:pPr>
              <w:keepNext/>
              <w:keepLines/>
              <w:spacing w:line="360" w:lineRule="auto"/>
              <w:ind w:firstLine="480" w:firstLineChars="200"/>
              <w:outlineLvl w:val="2"/>
              <w:rPr>
                <w:rFonts w:hint="eastAsia" w:ascii="Times New Roman" w:hAnsi="Times New Roman" w:eastAsia="宋体"/>
                <w:color w:val="auto"/>
                <w:sz w:val="24"/>
                <w:lang w:eastAsia="zh-CN"/>
              </w:rPr>
            </w:pPr>
            <w:r>
              <w:rPr>
                <w:rFonts w:hint="eastAsia" w:ascii="Times New Roman" w:hAnsi="Times New Roman" w:eastAsia="宋体"/>
                <w:color w:val="auto"/>
                <w:sz w:val="24"/>
                <w:lang w:eastAsia="zh-CN"/>
              </w:rPr>
              <w:t>——加强重点产业基地建设，培育壮大机械制造、新能源汽车及汽车零部件、煤化工及化工新材料、硅基新材料基地、商贸物流及电子信息、新能源等产业。</w:t>
            </w:r>
          </w:p>
          <w:p w14:paraId="6EA3CB7B">
            <w:pPr>
              <w:keepNext/>
              <w:keepLines/>
              <w:spacing w:line="360" w:lineRule="auto"/>
              <w:ind w:firstLine="480" w:firstLineChars="200"/>
              <w:outlineLvl w:val="2"/>
              <w:rPr>
                <w:rFonts w:hint="eastAsia" w:ascii="Times New Roman" w:hAnsi="Times New Roman" w:eastAsia="宋体"/>
                <w:color w:val="auto"/>
                <w:sz w:val="24"/>
                <w:lang w:eastAsia="zh-CN"/>
              </w:rPr>
            </w:pPr>
            <w:r>
              <w:rPr>
                <w:rFonts w:hint="eastAsia" w:ascii="Times New Roman" w:hAnsi="Times New Roman" w:eastAsia="宋体"/>
                <w:color w:val="auto"/>
                <w:sz w:val="24"/>
                <w:lang w:eastAsia="zh-CN"/>
              </w:rPr>
              <w:t>——大力发展都市农业，兴建具有观光农业、休闲农业等功能的农业科技园（区）。推进采煤塌陷区综合治理及土地复垦</w:t>
            </w:r>
            <w:r>
              <w:rPr>
                <w:rFonts w:hint="eastAsia" w:ascii="Times New Roman" w:hAnsi="Times New Roman"/>
                <w:color w:val="auto"/>
                <w:sz w:val="24"/>
                <w:lang w:eastAsia="zh-CN"/>
              </w:rPr>
              <w:t>。</w:t>
            </w:r>
          </w:p>
          <w:p w14:paraId="7A402563">
            <w:pPr>
              <w:keepNext/>
              <w:keepLines/>
              <w:spacing w:line="360" w:lineRule="auto"/>
              <w:ind w:firstLine="480" w:firstLineChars="200"/>
              <w:outlineLvl w:val="2"/>
              <w:rPr>
                <w:rFonts w:ascii="Times New Roman" w:hAnsi="Times New Roman"/>
                <w:color w:val="auto"/>
                <w:sz w:val="24"/>
              </w:rPr>
            </w:pPr>
            <w:r>
              <w:rPr>
                <w:rFonts w:ascii="Times New Roman" w:hAnsi="Times New Roman"/>
                <w:color w:val="auto"/>
                <w:sz w:val="24"/>
              </w:rPr>
              <w:t>（2）生态功能区概述</w:t>
            </w:r>
          </w:p>
          <w:p w14:paraId="35086D0D">
            <w:pPr>
              <w:spacing w:line="360" w:lineRule="auto"/>
              <w:ind w:firstLine="480"/>
              <w:rPr>
                <w:rFonts w:ascii="Times New Roman" w:hAnsi="Times New Roman"/>
                <w:color w:val="auto"/>
                <w:sz w:val="24"/>
              </w:rPr>
            </w:pPr>
            <w:r>
              <w:rPr>
                <w:rFonts w:ascii="Times New Roman" w:hAnsi="Times New Roman"/>
                <w:color w:val="auto"/>
                <w:sz w:val="24"/>
              </w:rPr>
              <w:t>根据原环保部、中国科学院制定的《全国生态功能区规划（修编版）》，中安联合煤化有限责任公司朱集西煤矿位于黄淮平原农产品提供三级功能区（II-01-15）。根据《安徽省生态环境保护规划》，中安联合煤化有限责任公司位于沿淮淮北平原生态区的淮南农业与城镇生态功能区（I3-3）。根据《淮南市生态生态功能分区》，朱集西煤矿井田属于北部平原旱作农业与矿业发展区，本项目与安徽省生态功能区划关系图见附图</w:t>
            </w:r>
            <w:r>
              <w:rPr>
                <w:rFonts w:hint="eastAsia" w:ascii="Times New Roman" w:hAnsi="Times New Roman"/>
                <w:color w:val="auto"/>
                <w:sz w:val="24"/>
                <w:lang w:val="en-US" w:eastAsia="zh-CN"/>
              </w:rPr>
              <w:t>11</w:t>
            </w:r>
            <w:r>
              <w:rPr>
                <w:rFonts w:ascii="Times New Roman" w:hAnsi="Times New Roman"/>
                <w:color w:val="auto"/>
                <w:sz w:val="24"/>
              </w:rPr>
              <w:t>。</w:t>
            </w:r>
          </w:p>
          <w:p w14:paraId="7B2CC0C6">
            <w:pPr>
              <w:pStyle w:val="32"/>
              <w:adjustRightInd/>
              <w:snapToGrid/>
              <w:rPr>
                <w:rFonts w:ascii="Times New Roman" w:hAnsi="Times New Roman"/>
                <w:color w:val="auto"/>
                <w:kern w:val="2"/>
                <w:shd w:val="clear" w:color="auto" w:fill="auto"/>
                <w:lang w:val="en-US"/>
              </w:rPr>
            </w:pPr>
            <w:r>
              <w:rPr>
                <w:rFonts w:ascii="Times New Roman" w:hAnsi="Times New Roman"/>
                <w:color w:val="auto"/>
                <w:kern w:val="2"/>
                <w:shd w:val="clear" w:color="auto" w:fill="auto"/>
                <w:lang w:val="en-US"/>
              </w:rPr>
              <w:t>本区地貌有以平原为主，丘岗嵌于其中，海拔最高处为241m。</w:t>
            </w:r>
            <w:r>
              <w:rPr>
                <w:rFonts w:hint="eastAsia" w:ascii="Times New Roman" w:hAnsi="Times New Roman"/>
                <w:color w:val="auto"/>
                <w:kern w:val="2"/>
                <w:shd w:val="clear" w:color="auto" w:fill="auto"/>
                <w:lang w:val="en-US" w:eastAsia="zh-CN"/>
              </w:rPr>
              <w:t>区</w:t>
            </w:r>
            <w:r>
              <w:rPr>
                <w:rFonts w:ascii="Times New Roman" w:hAnsi="Times New Roman"/>
                <w:color w:val="auto"/>
                <w:kern w:val="2"/>
                <w:shd w:val="clear" w:color="auto" w:fill="auto"/>
                <w:lang w:val="en-US"/>
              </w:rPr>
              <w:t>内工矿与城镇密集，主要安徽省重要工业城市淮南市，本区煤炭远景储量444×10</w:t>
            </w:r>
            <w:r>
              <w:rPr>
                <w:rFonts w:ascii="Times New Roman" w:hAnsi="Times New Roman"/>
                <w:color w:val="auto"/>
                <w:kern w:val="2"/>
                <w:shd w:val="clear" w:color="auto" w:fill="auto"/>
                <w:vertAlign w:val="superscript"/>
                <w:lang w:val="en-US"/>
              </w:rPr>
              <w:t>8</w:t>
            </w:r>
            <w:r>
              <w:rPr>
                <w:rFonts w:ascii="Times New Roman" w:hAnsi="Times New Roman"/>
                <w:color w:val="auto"/>
                <w:kern w:val="2"/>
                <w:shd w:val="clear" w:color="auto" w:fill="auto"/>
                <w:lang w:val="en-US"/>
              </w:rPr>
              <w:t>t，探明储量145×10</w:t>
            </w:r>
            <w:r>
              <w:rPr>
                <w:rFonts w:ascii="Times New Roman" w:hAnsi="Times New Roman"/>
                <w:color w:val="auto"/>
                <w:kern w:val="2"/>
                <w:shd w:val="clear" w:color="auto" w:fill="auto"/>
                <w:vertAlign w:val="superscript"/>
                <w:lang w:val="en-US"/>
              </w:rPr>
              <w:t>8</w:t>
            </w:r>
            <w:r>
              <w:rPr>
                <w:rFonts w:ascii="Times New Roman" w:hAnsi="Times New Roman"/>
                <w:color w:val="auto"/>
                <w:kern w:val="2"/>
                <w:shd w:val="clear" w:color="auto" w:fill="auto"/>
                <w:lang w:val="en-US"/>
              </w:rPr>
              <w:t>t，是全国十大煤田之一，占安徽省储量的63％，且煤质好，煤种多。</w:t>
            </w:r>
          </w:p>
          <w:p w14:paraId="524A092B">
            <w:pPr>
              <w:pStyle w:val="32"/>
              <w:adjustRightInd/>
              <w:snapToGrid/>
              <w:rPr>
                <w:rFonts w:ascii="Times New Roman" w:hAnsi="Times New Roman"/>
                <w:color w:val="auto"/>
              </w:rPr>
            </w:pPr>
            <w:r>
              <w:rPr>
                <w:rFonts w:ascii="Times New Roman" w:hAnsi="Times New Roman"/>
                <w:color w:val="auto"/>
              </w:rPr>
              <w:t>本</w:t>
            </w:r>
            <w:r>
              <w:rPr>
                <w:rFonts w:hint="eastAsia" w:ascii="Times New Roman" w:hAnsi="Times New Roman"/>
                <w:color w:val="auto"/>
                <w:lang w:val="en-US" w:eastAsia="zh-CN"/>
              </w:rPr>
              <w:t>项目</w:t>
            </w:r>
            <w:r>
              <w:rPr>
                <w:rFonts w:ascii="Times New Roman" w:hAnsi="Times New Roman"/>
                <w:color w:val="auto"/>
              </w:rPr>
              <w:t>生态功能区内潴育水稻土、黄潮土和黄褐土广泛分布，在丘岗区有石灰岩土分布，部分地区裸岩出露，石材开采盛行。耕作制度多为一年两熟为主，主要农作物有水稻、小麦等，经济作物有油菜、花生等。丘岗地区分布有地带性天然次生林，主要包括暖温带落叶阔叶林、暖温带针叶林和北亚热带针叶林等。该生态功能区的煤资源已进行了大规模开采，采空后塌陷区已成为区</w:t>
            </w:r>
            <w:r>
              <w:rPr>
                <w:rFonts w:hint="eastAsia" w:ascii="Times New Roman" w:hAnsi="Times New Roman"/>
                <w:color w:val="auto"/>
                <w:lang w:val="en-US" w:eastAsia="zh-CN"/>
              </w:rPr>
              <w:t>内</w:t>
            </w:r>
            <w:r>
              <w:rPr>
                <w:rFonts w:ascii="Times New Roman" w:hAnsi="Times New Roman"/>
                <w:color w:val="auto"/>
              </w:rPr>
              <w:t>主要生态环境问题之一。由于农业生产所需要的水土等条件相对较好，本区也是重要的农业生产区，但容易受洪涝等灾害干扰。</w:t>
            </w:r>
          </w:p>
          <w:p w14:paraId="20260CEB">
            <w:pPr>
              <w:pStyle w:val="13"/>
              <w:snapToGrid/>
              <w:spacing w:line="360" w:lineRule="auto"/>
              <w:ind w:firstLine="480" w:firstLineChars="200"/>
              <w:rPr>
                <w:rFonts w:ascii="Times New Roman" w:hAnsi="Times New Roman"/>
                <w:color w:val="auto"/>
                <w:sz w:val="24"/>
                <w:lang w:val="en-US" w:eastAsia="zh-CN"/>
              </w:rPr>
            </w:pPr>
            <w:r>
              <w:rPr>
                <w:rFonts w:ascii="Times New Roman" w:hAnsi="Times New Roman"/>
                <w:color w:val="auto"/>
                <w:sz w:val="24"/>
                <w:lang w:val="en-US" w:eastAsia="zh-CN"/>
              </w:rPr>
              <w:t>（3）土地利用情况</w:t>
            </w:r>
          </w:p>
          <w:p w14:paraId="6C868A24">
            <w:pPr>
              <w:pStyle w:val="23"/>
              <w:adjustRightInd/>
              <w:spacing w:line="360" w:lineRule="auto"/>
              <w:ind w:firstLine="480" w:firstLineChars="200"/>
              <w:jc w:val="both"/>
              <w:rPr>
                <w:rFonts w:ascii="Times New Roman" w:hAnsi="Times New Roman"/>
                <w:color w:val="auto"/>
              </w:rPr>
            </w:pPr>
            <w:r>
              <w:rPr>
                <w:rFonts w:hint="eastAsia" w:ascii="Times New Roman" w:hAnsi="Times New Roman"/>
                <w:color w:val="auto"/>
                <w:highlight w:val="none"/>
              </w:rPr>
              <w:t>本项目为了后期煤矿瓦斯安全抽采、消除煤与瓦斯突出危险所实施的钻井工程，属于地质勘查技术服务项目，临时用地面积为</w:t>
            </w:r>
            <w:r>
              <w:rPr>
                <w:rFonts w:hint="eastAsia" w:ascii="Times New Roman" w:hAnsi="Times New Roman"/>
                <w:color w:val="auto"/>
                <w:highlight w:val="none"/>
                <w:lang w:val="en-US" w:eastAsia="zh-CN"/>
              </w:rPr>
              <w:t>20784</w:t>
            </w:r>
            <w:r>
              <w:rPr>
                <w:rFonts w:hint="eastAsia" w:ascii="Times New Roman" w:hAnsi="Times New Roman"/>
                <w:color w:val="auto"/>
                <w:highlight w:val="none"/>
              </w:rPr>
              <w:t>m</w:t>
            </w:r>
            <w:r>
              <w:rPr>
                <w:rFonts w:hint="eastAsia" w:ascii="Times New Roman" w:hAnsi="Times New Roman"/>
                <w:color w:val="auto"/>
                <w:highlight w:val="none"/>
                <w:vertAlign w:val="superscript"/>
              </w:rPr>
              <w:t>2</w:t>
            </w:r>
            <w:r>
              <w:rPr>
                <w:rFonts w:hint="eastAsia" w:ascii="Times New Roman" w:hAnsi="Times New Roman"/>
                <w:color w:val="auto"/>
                <w:highlight w:val="none"/>
              </w:rPr>
              <w:t>，用地时间预计为</w:t>
            </w:r>
            <w:r>
              <w:rPr>
                <w:rFonts w:hint="eastAsia" w:ascii="Times New Roman" w:hAnsi="Times New Roman"/>
                <w:color w:val="auto"/>
                <w:highlight w:val="none"/>
                <w:lang w:val="en-US" w:eastAsia="zh-CN"/>
              </w:rPr>
              <w:t>1</w:t>
            </w:r>
            <w:r>
              <w:rPr>
                <w:rFonts w:hint="eastAsia" w:ascii="Times New Roman" w:hAnsi="Times New Roman"/>
                <w:color w:val="auto"/>
                <w:highlight w:val="none"/>
              </w:rPr>
              <w:t>年。中安联合煤化有限责任公司委托施工单位中国煤炭地质总局地球物理勘探研究院办理了项目临时用地相关手续。项目租用安徽省淮南市潘集区贺疃镇境内的土地作为本项目的临时建设用地。</w:t>
            </w:r>
          </w:p>
          <w:p w14:paraId="5AB8987C">
            <w:pPr>
              <w:pStyle w:val="13"/>
              <w:snapToGrid/>
              <w:spacing w:line="360" w:lineRule="auto"/>
              <w:ind w:firstLine="480" w:firstLineChars="200"/>
              <w:rPr>
                <w:rFonts w:ascii="Times New Roman" w:hAnsi="Times New Roman"/>
                <w:bCs/>
                <w:color w:val="auto"/>
                <w:sz w:val="24"/>
                <w:lang w:val="en-US" w:eastAsia="zh-CN"/>
              </w:rPr>
            </w:pPr>
            <w:r>
              <w:rPr>
                <w:rFonts w:ascii="Times New Roman" w:hAnsi="Times New Roman"/>
                <w:bCs/>
                <w:color w:val="auto"/>
                <w:sz w:val="24"/>
                <w:lang w:val="en-US" w:eastAsia="zh-CN"/>
              </w:rPr>
              <w:t>（4）土壤、植被类型及野生动植物</w:t>
            </w:r>
          </w:p>
          <w:p w14:paraId="3D8D9865">
            <w:pPr>
              <w:pStyle w:val="13"/>
              <w:snapToGrid/>
              <w:spacing w:line="360" w:lineRule="auto"/>
              <w:ind w:firstLine="480" w:firstLineChars="200"/>
              <w:rPr>
                <w:rFonts w:ascii="Times New Roman" w:hAnsi="Times New Roman"/>
                <w:bCs/>
                <w:color w:val="auto"/>
                <w:sz w:val="24"/>
                <w:lang w:val="en-US" w:eastAsia="zh-CN"/>
              </w:rPr>
            </w:pPr>
            <w:r>
              <w:rPr>
                <w:rFonts w:ascii="Times New Roman" w:hAnsi="Times New Roman"/>
                <w:bCs/>
                <w:color w:val="auto"/>
                <w:sz w:val="24"/>
                <w:lang w:val="en-US" w:eastAsia="zh-CN"/>
              </w:rPr>
              <w:t>项目区地处淮河中游，地势平坦。由滩地、岗地伸向平原中心，一般分布着黄棕壤和水稻土。土层厚度约为30cm。根据现场调查并结合现有的资料，运用景观法（即以植被作为主导因素），并结合土壤、地貌等因子进行综合分析后对土地进行分类，将土地利用格局的拼块类型分为林地、灌草地、耕地、水域和建设用地五种类型。</w:t>
            </w:r>
          </w:p>
          <w:p w14:paraId="1C434588">
            <w:pPr>
              <w:pStyle w:val="13"/>
              <w:snapToGrid/>
              <w:spacing w:line="360" w:lineRule="auto"/>
              <w:ind w:firstLine="480" w:firstLineChars="200"/>
              <w:rPr>
                <w:rFonts w:ascii="Times New Roman" w:hAnsi="Times New Roman"/>
                <w:bCs/>
                <w:color w:val="auto"/>
                <w:sz w:val="24"/>
                <w:lang w:val="en-US" w:eastAsia="zh-CN"/>
              </w:rPr>
            </w:pPr>
            <w:r>
              <w:rPr>
                <w:rFonts w:ascii="Times New Roman" w:hAnsi="Times New Roman"/>
                <w:color w:val="auto"/>
                <w:sz w:val="24"/>
                <w:lang w:val="en-US" w:eastAsia="zh-CN"/>
              </w:rPr>
              <w:t>评价区地势平坦，由河谷平原与丘岗组成。主要成土母质由第四纪物质构成，分布最广的是黄土型古河道沉积物质，近代黄泛沉积物次之，土壤可分为5个土类、7个亚类。主要土壤类型为：棕壤、粘盘黄棕壤亚类中的粘盘黄棕壤、马肝土、黄白土，水稻土中的马肝田土、黄白田土。局部低洼地为黄土性古河流沉积物质发育的黑粘土，毗邻河流湖泊的地势较低地段为湖泊沉积物发育的湖泥土</w:t>
            </w:r>
            <w:r>
              <w:rPr>
                <w:rFonts w:ascii="Times New Roman" w:hAnsi="Times New Roman"/>
                <w:bCs/>
                <w:color w:val="auto"/>
                <w:sz w:val="24"/>
                <w:lang w:val="en-US" w:eastAsia="zh-CN"/>
              </w:rPr>
              <w:t>。</w:t>
            </w:r>
          </w:p>
          <w:p w14:paraId="23DF6929">
            <w:pPr>
              <w:pStyle w:val="13"/>
              <w:snapToGrid/>
              <w:spacing w:line="360" w:lineRule="auto"/>
              <w:ind w:firstLine="480" w:firstLineChars="200"/>
              <w:rPr>
                <w:rFonts w:ascii="Times New Roman" w:hAnsi="Times New Roman"/>
                <w:bCs/>
                <w:color w:val="auto"/>
                <w:sz w:val="24"/>
                <w:lang w:val="en-US" w:eastAsia="zh-CN"/>
              </w:rPr>
            </w:pPr>
            <w:r>
              <w:rPr>
                <w:rFonts w:ascii="Times New Roman" w:hAnsi="Times New Roman"/>
                <w:bCs/>
                <w:color w:val="auto"/>
                <w:sz w:val="24"/>
                <w:lang w:val="en-US" w:eastAsia="zh-CN"/>
              </w:rPr>
              <w:t>根据现场调查，本工程涉及区域植被主要为农作物、绿化植被和行道树，沿线分布少量林木、主要为杨树及灌木等。</w:t>
            </w:r>
          </w:p>
          <w:p w14:paraId="5EB1E12B">
            <w:pPr>
              <w:pStyle w:val="13"/>
              <w:tabs>
                <w:tab w:val="left" w:pos="0"/>
              </w:tabs>
              <w:snapToGrid/>
              <w:spacing w:line="360" w:lineRule="auto"/>
              <w:ind w:firstLine="480" w:firstLineChars="200"/>
              <w:rPr>
                <w:rFonts w:ascii="Times New Roman" w:hAnsi="Times New Roman"/>
                <w:color w:val="auto"/>
                <w:sz w:val="24"/>
                <w:lang w:val="en-US" w:eastAsia="zh-CN"/>
              </w:rPr>
            </w:pPr>
            <w:r>
              <w:rPr>
                <w:rFonts w:ascii="Times New Roman" w:hAnsi="Times New Roman"/>
                <w:color w:val="auto"/>
                <w:sz w:val="24"/>
                <w:lang w:val="en-US" w:eastAsia="zh-CN"/>
              </w:rPr>
              <w:t>项目所在地区由于人类活动和生态环境的改变，树木草丛之间早已没有大型野生动物，仅有鸟类、鼠类、蛙类小型动物以及各种昆虫等。随着人类的农业开发，项目所在区域的自然生态系统早已被人工农业生态环境所替代。</w:t>
            </w:r>
          </w:p>
          <w:p w14:paraId="6A815E50">
            <w:pPr>
              <w:pStyle w:val="13"/>
              <w:tabs>
                <w:tab w:val="left" w:pos="0"/>
              </w:tabs>
              <w:snapToGrid/>
              <w:spacing w:line="360" w:lineRule="auto"/>
              <w:ind w:firstLine="480" w:firstLineChars="200"/>
              <w:rPr>
                <w:rFonts w:ascii="Times New Roman" w:hAnsi="Times New Roman"/>
                <w:color w:val="auto"/>
                <w:sz w:val="24"/>
                <w:lang w:val="en-US" w:eastAsia="zh-CN"/>
              </w:rPr>
            </w:pPr>
            <w:r>
              <w:rPr>
                <w:rFonts w:ascii="Times New Roman" w:hAnsi="Times New Roman"/>
                <w:color w:val="auto"/>
                <w:sz w:val="24"/>
                <w:lang w:val="en-US" w:eastAsia="zh-CN"/>
              </w:rPr>
              <w:t>综上所述，项目未穿越自然保护区和森林公园。项目评价区域内人口分散，部分密集，沿线未发现珍稀、濒危植物，未见挂牌名木古树，沿线未发现珍稀、濒危动物，陆生动物以家禽、家畜为主。</w:t>
            </w:r>
          </w:p>
          <w:p w14:paraId="5FFD486D">
            <w:pPr>
              <w:spacing w:line="360" w:lineRule="auto"/>
              <w:ind w:firstLine="482" w:firstLineChars="200"/>
              <w:rPr>
                <w:rFonts w:ascii="Times New Roman" w:hAnsi="Times New Roman"/>
                <w:b/>
                <w:color w:val="auto"/>
                <w:sz w:val="24"/>
              </w:rPr>
            </w:pPr>
            <w:r>
              <w:rPr>
                <w:rFonts w:ascii="Times New Roman" w:hAnsi="Times New Roman"/>
                <w:b/>
                <w:bCs/>
                <w:color w:val="auto"/>
                <w:sz w:val="24"/>
              </w:rPr>
              <w:t>2、</w:t>
            </w:r>
            <w:r>
              <w:rPr>
                <w:rFonts w:ascii="Times New Roman" w:hAnsi="Times New Roman"/>
                <w:b/>
                <w:color w:val="auto"/>
                <w:sz w:val="24"/>
              </w:rPr>
              <w:t>地形地貌</w:t>
            </w:r>
          </w:p>
          <w:p w14:paraId="570EB7C4">
            <w:pPr>
              <w:spacing w:line="360" w:lineRule="auto"/>
              <w:ind w:firstLine="480" w:firstLineChars="200"/>
              <w:rPr>
                <w:rFonts w:ascii="Times New Roman" w:hAnsi="Times New Roman"/>
                <w:color w:val="auto"/>
                <w:sz w:val="24"/>
              </w:rPr>
            </w:pPr>
            <w:r>
              <w:rPr>
                <w:rFonts w:ascii="Times New Roman" w:hAnsi="Times New Roman"/>
                <w:color w:val="auto"/>
                <w:sz w:val="24"/>
              </w:rPr>
              <w:t>项目区域在构造单元上属于中朝准地台淮河台坳淮南陷褶断带（即华北地台豫淮褶皱带）东部的淮南复向斜。东界为郯庐断裂，西临周口坳陷，北接蚌埠隆起，南邻合肥坳陷，南北为洞山断裂和刘府断裂夹持。区内构造以北西西向构造占主导地位，受后期强烈改造，但总体形态变化不大，复式向斜内次一级褶皱及断裂发育。地质演化历史可分为前震旦纪、震旦纪—三叠纪、侏罗纪—第四纪3个阶段，前震旦纪，淮南地壳处于活动阶段；震旦纪—三叠纪属于剧烈运动时期，先后经历了蚌埠、凤阳、皖南、加里东、华西力、印支等运动。其间地壳几度隆起沉降，形成了海陆交互相地层。特别是晚石炭纪和二叠纪时期海陆交互相的沉积环境，为煤炭资源的生成提供了良好条件，从而形成了境内大量的煤炭资源。侏罗纪—第四纪，经过燕山运动和喜马拉雅运动，逐渐塑造出了今天的地貌特征。</w:t>
            </w:r>
          </w:p>
          <w:p w14:paraId="0301D212">
            <w:pPr>
              <w:spacing w:line="360" w:lineRule="auto"/>
              <w:ind w:firstLine="480" w:firstLineChars="200"/>
              <w:rPr>
                <w:rFonts w:ascii="Times New Roman" w:hAnsi="Times New Roman"/>
                <w:color w:val="auto"/>
                <w:sz w:val="24"/>
              </w:rPr>
            </w:pPr>
            <w:r>
              <w:rPr>
                <w:rFonts w:ascii="Times New Roman" w:hAnsi="Times New Roman"/>
                <w:color w:val="auto"/>
                <w:sz w:val="24"/>
              </w:rPr>
              <w:t>市境以淮河为界形成两种不同的地貌类型，淮河以南为丘陵，属于江淮丘陵的一部分；淮河以北为地势平坦的淮北平原，淮河南岸由东至西隆起不连续的低山丘陵，环山为一斜坡地带，宽约500米～1500米，坡度10°左右，海拔40米～75米；斜坡地带以下交错衔接洪冲积二级阶地，宽500米～2500米，海拔30米～40米，坡度2°左右；舜耕山以北二级阶地以下是淮河冲积一级阶地，宽2500米～3000米，海拔25米以下，坡度平缓；一级阶地以下是淮河高位漫滩，宽2000米～3000米，海拔17米～20米，漫滩以下是淮河滨河浅滩。舜耕山以南斜坡以下，东为高塘湖一、二级洪冲积阶地，西为瓦埠湖一、二级洪冲积阶地；中为丘陵岗地。</w:t>
            </w:r>
          </w:p>
          <w:p w14:paraId="7C2F5165">
            <w:pPr>
              <w:spacing w:line="360" w:lineRule="auto"/>
              <w:ind w:firstLine="482" w:firstLineChars="200"/>
              <w:rPr>
                <w:rFonts w:ascii="Times New Roman" w:hAnsi="Times New Roman"/>
                <w:b/>
                <w:color w:val="auto"/>
                <w:sz w:val="24"/>
              </w:rPr>
            </w:pPr>
            <w:r>
              <w:rPr>
                <w:rFonts w:ascii="Times New Roman" w:hAnsi="Times New Roman"/>
                <w:b/>
                <w:color w:val="auto"/>
                <w:sz w:val="24"/>
              </w:rPr>
              <w:t>3、气候、气象</w:t>
            </w:r>
          </w:p>
          <w:p w14:paraId="166C8866">
            <w:pPr>
              <w:spacing w:line="360" w:lineRule="auto"/>
              <w:ind w:firstLine="480" w:firstLineChars="200"/>
              <w:rPr>
                <w:rFonts w:ascii="Times New Roman" w:hAnsi="Times New Roman"/>
                <w:color w:val="auto"/>
                <w:sz w:val="24"/>
              </w:rPr>
            </w:pPr>
            <w:r>
              <w:rPr>
                <w:rFonts w:ascii="Times New Roman" w:hAnsi="Times New Roman"/>
                <w:color w:val="auto"/>
                <w:sz w:val="24"/>
              </w:rPr>
              <w:t>项目区域是属于暖温带和亚热带的过渡地带，年平均气温偏高，平均气温16.6℃，较常年偏高1.0℃；全年只有2月、12月较常年分别偏低0.7℃、1.5℃，其余月份均较常年偏高，其中4月较常年偏高2.8℃。冬季平均气温3.5℃，较常年偏低0.1℃，为正常年份。年高温日数28天，较常年偏多11天。年极端最高气温38.9℃，出现在7月30日；年极端最低气温-5.5℃，出现在1月23日。初霜出现在11月6日，终霜出现在3月13日，全年无霜期238天。</w:t>
            </w:r>
          </w:p>
          <w:p w14:paraId="0E518E65">
            <w:pPr>
              <w:spacing w:line="360" w:lineRule="auto"/>
              <w:ind w:firstLine="480" w:firstLineChars="200"/>
              <w:rPr>
                <w:rFonts w:ascii="Times New Roman" w:hAnsi="Times New Roman"/>
                <w:color w:val="auto"/>
                <w:sz w:val="24"/>
              </w:rPr>
            </w:pPr>
            <w:r>
              <w:rPr>
                <w:rFonts w:ascii="Times New Roman" w:hAnsi="Times New Roman"/>
                <w:color w:val="auto"/>
                <w:sz w:val="24"/>
              </w:rPr>
              <w:t>降水全年降水量893.4毫米，与常年相比正常略偏少，季节性降水分布不均。6月22日入梅，7月21日出梅，均较常年偏晚，梅雨量166.3毫米。12月22日，迎来第一场降雪。全年降水日数107天，暴雨日数5天。</w:t>
            </w:r>
          </w:p>
          <w:p w14:paraId="4DC5C8B1">
            <w:pPr>
              <w:spacing w:line="360" w:lineRule="auto"/>
              <w:ind w:firstLine="482" w:firstLineChars="200"/>
              <w:rPr>
                <w:rFonts w:ascii="Times New Roman" w:hAnsi="Times New Roman"/>
                <w:b/>
                <w:color w:val="auto"/>
                <w:sz w:val="24"/>
              </w:rPr>
            </w:pPr>
            <w:r>
              <w:rPr>
                <w:rFonts w:ascii="Times New Roman" w:hAnsi="Times New Roman"/>
                <w:b/>
                <w:color w:val="auto"/>
                <w:sz w:val="24"/>
              </w:rPr>
              <w:t>4、水文状况</w:t>
            </w:r>
          </w:p>
          <w:p w14:paraId="775C1138">
            <w:pPr>
              <w:spacing w:line="360" w:lineRule="auto"/>
              <w:ind w:firstLine="480" w:firstLineChars="200"/>
              <w:rPr>
                <w:rFonts w:ascii="Times New Roman" w:hAnsi="Times New Roman"/>
                <w:snapToGrid w:val="0"/>
                <w:color w:val="auto"/>
                <w:sz w:val="24"/>
              </w:rPr>
            </w:pPr>
            <w:r>
              <w:rPr>
                <w:rFonts w:ascii="Times New Roman" w:hAnsi="Times New Roman"/>
                <w:snapToGrid w:val="0"/>
                <w:color w:val="auto"/>
                <w:sz w:val="24"/>
              </w:rPr>
              <w:t>淮河流域西起桐柏山和伏牛山，南以大别山和江淮丘陵与长江流域分界，北以黄河南堤和沂蒙山与黄河流域分界。淮河流域由淮河与泗、沂、沭河两大水系组成，流域面积29万km</w:t>
            </w:r>
            <w:r>
              <w:rPr>
                <w:rFonts w:ascii="Times New Roman" w:hAnsi="Times New Roman"/>
                <w:snapToGrid w:val="0"/>
                <w:color w:val="auto"/>
                <w:sz w:val="24"/>
                <w:vertAlign w:val="superscript"/>
              </w:rPr>
              <w:t>2</w:t>
            </w:r>
            <w:r>
              <w:rPr>
                <w:rFonts w:ascii="Times New Roman" w:hAnsi="Times New Roman"/>
                <w:snapToGrid w:val="0"/>
                <w:color w:val="auto"/>
                <w:sz w:val="24"/>
              </w:rPr>
              <w:t>，其中淮河水系为21万km</w:t>
            </w:r>
            <w:r>
              <w:rPr>
                <w:rFonts w:ascii="Times New Roman" w:hAnsi="Times New Roman"/>
                <w:snapToGrid w:val="0"/>
                <w:color w:val="auto"/>
                <w:sz w:val="24"/>
                <w:vertAlign w:val="superscript"/>
              </w:rPr>
              <w:t>2</w:t>
            </w:r>
            <w:r>
              <w:rPr>
                <w:rFonts w:ascii="Times New Roman" w:hAnsi="Times New Roman"/>
                <w:snapToGrid w:val="0"/>
                <w:color w:val="auto"/>
                <w:sz w:val="24"/>
              </w:rPr>
              <w:t>，泗、沂、沭河水系为8万km</w:t>
            </w:r>
            <w:r>
              <w:rPr>
                <w:rFonts w:ascii="Times New Roman" w:hAnsi="Times New Roman"/>
                <w:snapToGrid w:val="0"/>
                <w:color w:val="auto"/>
                <w:sz w:val="24"/>
                <w:vertAlign w:val="superscript"/>
              </w:rPr>
              <w:t>2</w:t>
            </w:r>
            <w:r>
              <w:rPr>
                <w:rFonts w:ascii="Times New Roman" w:hAnsi="Times New Roman"/>
                <w:snapToGrid w:val="0"/>
                <w:color w:val="auto"/>
                <w:sz w:val="24"/>
              </w:rPr>
              <w:t>。</w:t>
            </w:r>
          </w:p>
          <w:p w14:paraId="4B99CA2B">
            <w:pPr>
              <w:spacing w:line="360" w:lineRule="auto"/>
              <w:ind w:firstLine="480" w:firstLineChars="200"/>
              <w:rPr>
                <w:rFonts w:ascii="Times New Roman" w:hAnsi="Times New Roman"/>
                <w:snapToGrid w:val="0"/>
                <w:color w:val="auto"/>
                <w:sz w:val="24"/>
              </w:rPr>
            </w:pPr>
            <w:r>
              <w:rPr>
                <w:rFonts w:ascii="Times New Roman" w:hAnsi="Times New Roman"/>
                <w:snapToGrid w:val="0"/>
                <w:color w:val="auto"/>
                <w:sz w:val="24"/>
              </w:rPr>
              <w:t>淮河是我国五大水系之一，发源于河南省桐柏山北麓，流经河南、安徽至江苏扬州三江营入长江。历史上淮河是一条独流入海的河流，公元1194年黄河第四次决堤南泛夺淮，至1855年黄河改道北经山东利津入海的661年间，黄河挟带的大量泥沙淤塞了淮河入海尾闾，逐使淮河改道经三河、高宝湖穿运河至三江营流入长江。</w:t>
            </w:r>
          </w:p>
          <w:p w14:paraId="02AEC233">
            <w:pPr>
              <w:spacing w:line="360" w:lineRule="auto"/>
              <w:ind w:firstLine="480" w:firstLineChars="200"/>
              <w:rPr>
                <w:rFonts w:ascii="Times New Roman" w:hAnsi="Times New Roman"/>
                <w:snapToGrid w:val="0"/>
                <w:color w:val="auto"/>
                <w:sz w:val="24"/>
              </w:rPr>
            </w:pPr>
            <w:r>
              <w:rPr>
                <w:rFonts w:ascii="Times New Roman" w:hAnsi="Times New Roman"/>
                <w:snapToGrid w:val="0"/>
                <w:color w:val="auto"/>
                <w:sz w:val="24"/>
              </w:rPr>
              <w:t>淮河干流全长1000km，总落差200m，平均比降0.2‰。豫皖两省交界的洪河口以上为上游，长360km，落差177m，比降0.5‰，流域面积3万km2；洪河口至洪泽湖三河闸为中游，长490km，原有落差16m，自三河闸控制后，平均比降0.027‰，流域面积16万km</w:t>
            </w:r>
            <w:r>
              <w:rPr>
                <w:rFonts w:ascii="Times New Roman" w:hAnsi="Times New Roman"/>
                <w:snapToGrid w:val="0"/>
                <w:color w:val="auto"/>
                <w:sz w:val="24"/>
                <w:vertAlign w:val="superscript"/>
              </w:rPr>
              <w:t>2</w:t>
            </w:r>
            <w:r>
              <w:rPr>
                <w:rFonts w:ascii="Times New Roman" w:hAnsi="Times New Roman"/>
                <w:snapToGrid w:val="0"/>
                <w:color w:val="auto"/>
                <w:sz w:val="24"/>
              </w:rPr>
              <w:t>；洪泽湖以下为下游，流域面积3万km</w:t>
            </w:r>
            <w:r>
              <w:rPr>
                <w:rFonts w:ascii="Times New Roman" w:hAnsi="Times New Roman"/>
                <w:snapToGrid w:val="0"/>
                <w:color w:val="auto"/>
                <w:sz w:val="24"/>
                <w:vertAlign w:val="superscript"/>
              </w:rPr>
              <w:t>2</w:t>
            </w:r>
            <w:r>
              <w:rPr>
                <w:rFonts w:ascii="Times New Roman" w:hAnsi="Times New Roman"/>
                <w:snapToGrid w:val="0"/>
                <w:color w:val="auto"/>
                <w:sz w:val="24"/>
              </w:rPr>
              <w:t>，入江水道长150km，平均比降0.036‰。淮河干流安徽段上自阜南县洪河口，下至明光市洪山头，全长430km，上承河南大量迅猛来水，下受洪泽湖顶托，中间有天然三峡(峡山口、荆山峡、浮山峡)阻水。平水河槽宽一般为260～320m，平均深3～6m；洪水河槽宽度，蚌埠上下一般约1000～1250m，峡山口仅400m，平均深度6.5～7.5m。淮河干流安徽段地势平缓，蓄水能力差，汛期河水暴涨，易泛滥成灾，干旱时期则河流断流。1949年～2005年，安徽省淮河流域水灾面积在1000万亩以上的有10多年，灾旱面积在1000万亩以上的也有10多年。</w:t>
            </w:r>
          </w:p>
          <w:p w14:paraId="51F8018E">
            <w:pPr>
              <w:spacing w:line="360" w:lineRule="auto"/>
              <w:ind w:firstLine="480" w:firstLineChars="200"/>
              <w:rPr>
                <w:rFonts w:ascii="Times New Roman" w:hAnsi="Times New Roman"/>
                <w:snapToGrid w:val="0"/>
                <w:color w:val="auto"/>
                <w:sz w:val="24"/>
              </w:rPr>
            </w:pPr>
            <w:r>
              <w:rPr>
                <w:rFonts w:ascii="Times New Roman" w:hAnsi="Times New Roman"/>
                <w:snapToGrid w:val="0"/>
                <w:color w:val="auto"/>
                <w:sz w:val="24"/>
              </w:rPr>
              <w:t>淮河中上游支流多，流域面积大于1000km</w:t>
            </w:r>
            <w:r>
              <w:rPr>
                <w:rFonts w:ascii="Times New Roman" w:hAnsi="Times New Roman"/>
                <w:snapToGrid w:val="0"/>
                <w:color w:val="auto"/>
                <w:sz w:val="24"/>
                <w:vertAlign w:val="superscript"/>
              </w:rPr>
              <w:t>2</w:t>
            </w:r>
            <w:r>
              <w:rPr>
                <w:rFonts w:ascii="Times New Roman" w:hAnsi="Times New Roman"/>
                <w:snapToGrid w:val="0"/>
                <w:color w:val="auto"/>
                <w:sz w:val="24"/>
              </w:rPr>
              <w:t>的一级支流21条，其中大于2000km</w:t>
            </w:r>
            <w:r>
              <w:rPr>
                <w:rFonts w:ascii="Times New Roman" w:hAnsi="Times New Roman"/>
                <w:snapToGrid w:val="0"/>
                <w:color w:val="auto"/>
                <w:sz w:val="24"/>
                <w:vertAlign w:val="superscript"/>
              </w:rPr>
              <w:t>2</w:t>
            </w:r>
            <w:r>
              <w:rPr>
                <w:rFonts w:ascii="Times New Roman" w:hAnsi="Times New Roman"/>
                <w:snapToGrid w:val="0"/>
                <w:color w:val="auto"/>
                <w:sz w:val="24"/>
              </w:rPr>
              <w:t>的有16条，其它小支流达180条以上。淮河主要支流北岸有洪河、颍河、黑茨河、汾泉河、包浍河、沱河、涡河、奎濉河等跨省河流，安徽省境内淮河北岸支流有谷河、润河、八里河、泥黑河、茨河、北淝河等，淮河南岸主要支流有史河、淠河、沣河、汲河、东淝河、窑河、天河、池河、白塔河等，均发源于安徽省境内，并在安徽境内入淮河。</w:t>
            </w:r>
          </w:p>
          <w:p w14:paraId="35EA2FCA">
            <w:pPr>
              <w:spacing w:line="360" w:lineRule="auto"/>
              <w:ind w:firstLine="480" w:firstLineChars="200"/>
              <w:rPr>
                <w:rFonts w:ascii="Times New Roman" w:hAnsi="Times New Roman"/>
                <w:color w:val="auto"/>
                <w:sz w:val="24"/>
              </w:rPr>
            </w:pPr>
            <w:r>
              <w:rPr>
                <w:rFonts w:ascii="Times New Roman" w:hAnsi="Times New Roman"/>
                <w:color w:val="auto"/>
                <w:sz w:val="24"/>
              </w:rPr>
              <w:t>泥河自源头东南过徐圩入市境潘集区至徐桥再至刘隆集，河面宽4～10米，两岸支流多，汇水面积253平方公里；自刘隆集河面宽300米，东南流8公里，转东流7公里，左汇黑河，河面宽1.1公里。</w:t>
            </w:r>
          </w:p>
          <w:p w14:paraId="21BBD3F2">
            <w:pPr>
              <w:spacing w:line="360" w:lineRule="auto"/>
              <w:ind w:firstLine="480" w:firstLineChars="200"/>
              <w:rPr>
                <w:rFonts w:ascii="Times New Roman" w:hAnsi="Times New Roman"/>
                <w:color w:val="auto"/>
                <w:sz w:val="24"/>
              </w:rPr>
            </w:pPr>
            <w:r>
              <w:rPr>
                <w:rFonts w:hint="default" w:ascii="Times New Roman" w:hAnsi="Times New Roman" w:cs="Times New Roman"/>
                <w:color w:val="auto"/>
                <w:sz w:val="24"/>
              </w:rPr>
              <w:t>茨淮新河：淮河一级支流，人工河流，上起沙颍河茨淮铺，于荆山口上游入淮河，流经阜阳、利辛、蒙城、凤台、淮南、怀远四县两市，全长134.2km，流域总面积7127km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；凤台县流经长31.12km，境内河宽225~375m，1995~2004年最枯月平均流量1.98m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/s。</w:t>
            </w:r>
          </w:p>
          <w:p w14:paraId="39972CA6">
            <w:pPr>
              <w:pStyle w:val="9"/>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color w:val="auto"/>
              </w:rPr>
            </w:pPr>
            <w:r>
              <w:rPr>
                <w:rFonts w:hint="eastAsia" w:ascii="Times New Roman" w:hAnsi="Times New Roman" w:eastAsia="宋体" w:cs="Times New Roman"/>
                <w:color w:val="auto"/>
                <w:kern w:val="2"/>
                <w:sz w:val="24"/>
                <w:szCs w:val="24"/>
                <w:lang w:val="en-US" w:eastAsia="zh-CN" w:bidi="ar-SA"/>
              </w:rPr>
              <w:t>利民新河属于人工开挖河道，主要功能为灌溉和排涝，无通航功能，不承担防洪任务。河道全长约16km，河道宽约20～30m，利民新河汇水面积约32km2。线路在利民新河2处跨越处河道上口宽均约30m。</w:t>
            </w:r>
          </w:p>
          <w:p w14:paraId="1DB3CBC7">
            <w:pPr>
              <w:spacing w:line="360" w:lineRule="auto"/>
              <w:ind w:firstLine="482" w:firstLineChars="200"/>
              <w:rPr>
                <w:rFonts w:ascii="Times New Roman" w:hAnsi="Times New Roman"/>
                <w:b/>
                <w:color w:val="auto"/>
                <w:sz w:val="24"/>
              </w:rPr>
            </w:pPr>
            <w:r>
              <w:rPr>
                <w:rFonts w:ascii="Times New Roman" w:hAnsi="Times New Roman"/>
                <w:b/>
                <w:color w:val="auto"/>
                <w:sz w:val="24"/>
              </w:rPr>
              <w:t>5、土壤植被</w:t>
            </w:r>
          </w:p>
          <w:p w14:paraId="35C17ED3">
            <w:pPr>
              <w:spacing w:line="360" w:lineRule="auto"/>
              <w:ind w:firstLine="480" w:firstLineChars="200"/>
              <w:rPr>
                <w:rFonts w:ascii="Times New Roman" w:hAnsi="Times New Roman"/>
                <w:b/>
                <w:bCs/>
                <w:color w:val="auto"/>
                <w:sz w:val="24"/>
              </w:rPr>
            </w:pPr>
            <w:r>
              <w:rPr>
                <w:rFonts w:ascii="Times New Roman" w:hAnsi="Times New Roman"/>
                <w:color w:val="auto"/>
                <w:sz w:val="24"/>
              </w:rPr>
              <w:t>评价区地势平坦，由河谷平原与丘岗组成。主要成土母质由第四纪物质构成，分布最广的是黄土型古河道沉积物质，近代黄泛沉积物次之，土壤可分为5个土类、7个亚类。主要土壤类型为：棕壤、粘盘黄棕壤亚类中的粘盘黄棕壤、马肝土、黄白土，水稻土中的马肝田土、黄白田土。局部低洼地为黄土性古河流沉积物质发育的黑粘土，毗邻河流湖泊的地势较低地段为湖泊沉积物发育的湖泥土，目前项目区域主要为农田。</w:t>
            </w:r>
          </w:p>
          <w:p w14:paraId="33EB4525">
            <w:pPr>
              <w:pStyle w:val="13"/>
              <w:tabs>
                <w:tab w:val="left" w:pos="0"/>
              </w:tabs>
              <w:snapToGrid/>
              <w:spacing w:line="360" w:lineRule="auto"/>
              <w:rPr>
                <w:rFonts w:ascii="Times New Roman" w:hAnsi="Times New Roman"/>
                <w:b/>
                <w:bCs/>
                <w:color w:val="auto"/>
                <w:sz w:val="24"/>
                <w:lang w:val="en-US" w:eastAsia="zh-CN"/>
              </w:rPr>
            </w:pPr>
            <w:r>
              <w:rPr>
                <w:rFonts w:ascii="Times New Roman" w:hAnsi="Times New Roman"/>
                <w:b/>
                <w:bCs/>
                <w:color w:val="auto"/>
                <w:sz w:val="24"/>
                <w:lang w:val="en-US" w:eastAsia="zh-CN"/>
              </w:rPr>
              <w:t>二、环境质量现状</w:t>
            </w:r>
          </w:p>
          <w:p w14:paraId="676790DD">
            <w:pPr>
              <w:spacing w:line="360" w:lineRule="auto"/>
              <w:ind w:firstLine="482" w:firstLineChars="200"/>
              <w:rPr>
                <w:rFonts w:ascii="Times New Roman" w:hAnsi="Times New Roman"/>
                <w:b/>
                <w:bCs/>
                <w:color w:val="auto"/>
                <w:sz w:val="24"/>
              </w:rPr>
            </w:pPr>
            <w:r>
              <w:rPr>
                <w:rFonts w:ascii="Times New Roman" w:hAnsi="Times New Roman"/>
                <w:b/>
                <w:bCs/>
                <w:color w:val="auto"/>
                <w:sz w:val="24"/>
              </w:rPr>
              <w:t>1、大气环境质量现状</w:t>
            </w:r>
          </w:p>
          <w:p w14:paraId="3FF630E6">
            <w:pPr>
              <w:pStyle w:val="23"/>
              <w:adjustRightInd/>
              <w:spacing w:line="360" w:lineRule="auto"/>
              <w:ind w:firstLine="480" w:firstLineChars="200"/>
              <w:jc w:val="both"/>
              <w:rPr>
                <w:rFonts w:hint="eastAsia" w:ascii="Times New Roman" w:hAnsi="Times New Roman"/>
                <w:color w:val="auto"/>
                <w:sz w:val="24"/>
              </w:rPr>
            </w:pPr>
            <w:r>
              <w:rPr>
                <w:rFonts w:hint="eastAsia" w:ascii="Times New Roman" w:hAnsi="Times New Roman"/>
                <w:color w:val="auto"/>
                <w:sz w:val="24"/>
              </w:rPr>
              <w:t>项目所在区域达标判定优先采用国家或地方生态环境主管部门公开发布的评价基准年环境质量公告或环境质量报告中的数据或结论。本工程位于淮南市潘集区境内，本次评价采用淮南市生态环境局于2025年6月4日在其网站公开发布的《2024年淮南市环境质量状况公报》，项目区域空气环境质量现状评价见下表。</w:t>
            </w:r>
          </w:p>
          <w:p w14:paraId="287463D4">
            <w:pPr>
              <w:spacing w:line="240" w:lineRule="auto"/>
              <w:ind w:firstLine="0" w:firstLineChars="0"/>
              <w:jc w:val="center"/>
              <w:rPr>
                <w:rFonts w:hint="eastAsia"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表3</w:t>
            </w:r>
            <w:r>
              <w:rPr>
                <w:rFonts w:hint="eastAsia" w:ascii="Times New Roman" w:hAnsi="Times New Roman" w:eastAsia="宋体" w:cs="Times New Roman"/>
                <w:b/>
                <w:bCs/>
                <w:color w:val="auto"/>
                <w:kern w:val="0"/>
                <w:szCs w:val="21"/>
                <w:lang w:val="en-US" w:eastAsia="zh-CN"/>
              </w:rPr>
              <w:t>.4</w:t>
            </w:r>
            <w:r>
              <w:rPr>
                <w:rFonts w:hint="eastAsia" w:ascii="Times New Roman" w:hAnsi="Times New Roman" w:eastAsia="宋体" w:cs="Times New Roman"/>
                <w:b/>
                <w:bCs/>
                <w:color w:val="auto"/>
                <w:kern w:val="0"/>
                <w:szCs w:val="21"/>
              </w:rPr>
              <w:t>-1  区域大气污染物浓度值</w:t>
            </w:r>
          </w:p>
          <w:tbl>
            <w:tblPr>
              <w:tblStyle w:val="17"/>
              <w:tblpPr w:leftFromText="181" w:rightFromText="181" w:bottomFromText="170" w:vertAnchor="text"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2141"/>
              <w:gridCol w:w="1806"/>
              <w:gridCol w:w="1345"/>
              <w:gridCol w:w="989"/>
              <w:gridCol w:w="799"/>
            </w:tblGrid>
            <w:tr w14:paraId="0CC3E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6" w:type="pct"/>
                  <w:tcBorders>
                    <w:tl2br w:val="nil"/>
                    <w:tr2bl w:val="nil"/>
                  </w:tcBorders>
                  <w:noWrap w:val="0"/>
                  <w:vAlign w:val="center"/>
                </w:tcPr>
                <w:p w14:paraId="2613E16B">
                  <w:pPr>
                    <w:widowControl/>
                    <w:spacing w:line="240" w:lineRule="auto"/>
                    <w:ind w:firstLine="0" w:firstLineChars="0"/>
                    <w:jc w:val="center"/>
                    <w:rPr>
                      <w:rFonts w:hint="eastAsia"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污染物</w:t>
                  </w:r>
                </w:p>
              </w:tc>
              <w:tc>
                <w:tcPr>
                  <w:tcW w:w="1364" w:type="pct"/>
                  <w:tcBorders>
                    <w:tl2br w:val="nil"/>
                    <w:tr2bl w:val="nil"/>
                  </w:tcBorders>
                  <w:noWrap w:val="0"/>
                  <w:vAlign w:val="center"/>
                </w:tcPr>
                <w:p w14:paraId="069142C7">
                  <w:pPr>
                    <w:widowControl/>
                    <w:spacing w:line="240" w:lineRule="auto"/>
                    <w:ind w:firstLine="0" w:firstLineChars="0"/>
                    <w:jc w:val="center"/>
                    <w:rPr>
                      <w:rFonts w:hint="eastAsia"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lang w:eastAsia="zh-CN"/>
                    </w:rPr>
                    <w:t>年度</w:t>
                  </w:r>
                  <w:r>
                    <w:rPr>
                      <w:rFonts w:hint="eastAsia" w:ascii="Times New Roman" w:hAnsi="Times New Roman" w:eastAsia="宋体" w:cs="Times New Roman"/>
                      <w:b/>
                      <w:bCs/>
                      <w:color w:val="auto"/>
                      <w:kern w:val="0"/>
                      <w:szCs w:val="21"/>
                    </w:rPr>
                    <w:t>评价指标</w:t>
                  </w:r>
                </w:p>
              </w:tc>
              <w:tc>
                <w:tcPr>
                  <w:tcW w:w="1151" w:type="pct"/>
                  <w:tcBorders>
                    <w:tl2br w:val="nil"/>
                    <w:tr2bl w:val="nil"/>
                  </w:tcBorders>
                  <w:noWrap w:val="0"/>
                  <w:vAlign w:val="center"/>
                </w:tcPr>
                <w:p w14:paraId="350EEF19">
                  <w:pPr>
                    <w:widowControl/>
                    <w:spacing w:line="240" w:lineRule="auto"/>
                    <w:ind w:firstLine="0" w:firstLineChars="0"/>
                    <w:jc w:val="center"/>
                    <w:rPr>
                      <w:rFonts w:hint="eastAsia"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现状浓度（µg/m³）</w:t>
                  </w:r>
                </w:p>
              </w:tc>
              <w:tc>
                <w:tcPr>
                  <w:tcW w:w="857" w:type="pct"/>
                  <w:tcBorders>
                    <w:tl2br w:val="nil"/>
                    <w:tr2bl w:val="nil"/>
                  </w:tcBorders>
                  <w:noWrap w:val="0"/>
                  <w:vAlign w:val="center"/>
                </w:tcPr>
                <w:p w14:paraId="249EB2DD">
                  <w:pPr>
                    <w:widowControl/>
                    <w:spacing w:line="240" w:lineRule="auto"/>
                    <w:ind w:firstLine="0" w:firstLineChars="0"/>
                    <w:jc w:val="center"/>
                    <w:rPr>
                      <w:rFonts w:hint="eastAsia"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标准值（µg/m³）</w:t>
                  </w:r>
                </w:p>
              </w:tc>
              <w:tc>
                <w:tcPr>
                  <w:tcW w:w="630" w:type="pct"/>
                  <w:tcBorders>
                    <w:tl2br w:val="nil"/>
                    <w:tr2bl w:val="nil"/>
                  </w:tcBorders>
                  <w:noWrap w:val="0"/>
                  <w:vAlign w:val="center"/>
                </w:tcPr>
                <w:p w14:paraId="57424819">
                  <w:pPr>
                    <w:widowControl/>
                    <w:spacing w:line="240" w:lineRule="auto"/>
                    <w:ind w:firstLine="0" w:firstLineChars="0"/>
                    <w:jc w:val="center"/>
                    <w:rPr>
                      <w:rFonts w:hint="eastAsia"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占标率</w:t>
                  </w:r>
                </w:p>
                <w:p w14:paraId="1BE9B34E">
                  <w:pPr>
                    <w:widowControl/>
                    <w:spacing w:line="240" w:lineRule="auto"/>
                    <w:ind w:firstLine="0" w:firstLineChars="0"/>
                    <w:jc w:val="center"/>
                    <w:rPr>
                      <w:rFonts w:hint="eastAsia"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w:t>
                  </w:r>
                </w:p>
              </w:tc>
              <w:tc>
                <w:tcPr>
                  <w:tcW w:w="509" w:type="pct"/>
                  <w:tcBorders>
                    <w:tl2br w:val="nil"/>
                    <w:tr2bl w:val="nil"/>
                  </w:tcBorders>
                  <w:noWrap w:val="0"/>
                  <w:vAlign w:val="center"/>
                </w:tcPr>
                <w:p w14:paraId="110EC909">
                  <w:pPr>
                    <w:widowControl/>
                    <w:spacing w:line="240" w:lineRule="auto"/>
                    <w:ind w:firstLine="0" w:firstLineChars="0"/>
                    <w:jc w:val="center"/>
                    <w:rPr>
                      <w:rFonts w:hint="eastAsia"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达标情况</w:t>
                  </w:r>
                </w:p>
              </w:tc>
            </w:tr>
            <w:tr w14:paraId="19BC1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6" w:type="pct"/>
                  <w:tcBorders>
                    <w:tl2br w:val="nil"/>
                    <w:tr2bl w:val="nil"/>
                  </w:tcBorders>
                  <w:noWrap w:val="0"/>
                  <w:vAlign w:val="center"/>
                </w:tcPr>
                <w:p w14:paraId="01244671">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SO</w:t>
                  </w:r>
                  <w:r>
                    <w:rPr>
                      <w:rFonts w:hint="eastAsia" w:ascii="Times New Roman" w:hAnsi="Times New Roman" w:eastAsia="宋体" w:cs="Times New Roman"/>
                      <w:color w:val="auto"/>
                      <w:kern w:val="0"/>
                      <w:szCs w:val="21"/>
                      <w:vertAlign w:val="subscript"/>
                    </w:rPr>
                    <w:t>2</w:t>
                  </w:r>
                </w:p>
              </w:tc>
              <w:tc>
                <w:tcPr>
                  <w:tcW w:w="1364" w:type="pct"/>
                  <w:tcBorders>
                    <w:tl2br w:val="nil"/>
                    <w:tr2bl w:val="nil"/>
                  </w:tcBorders>
                  <w:noWrap w:val="0"/>
                  <w:vAlign w:val="center"/>
                </w:tcPr>
                <w:p w14:paraId="4CBAFFBE">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年均值</w:t>
                  </w:r>
                </w:p>
              </w:tc>
              <w:tc>
                <w:tcPr>
                  <w:tcW w:w="1151" w:type="pct"/>
                  <w:tcBorders>
                    <w:tl2br w:val="nil"/>
                    <w:tr2bl w:val="nil"/>
                  </w:tcBorders>
                  <w:noWrap w:val="0"/>
                  <w:vAlign w:val="center"/>
                </w:tcPr>
                <w:p w14:paraId="7F4FE15C">
                  <w:pPr>
                    <w:widowControl/>
                    <w:spacing w:line="240" w:lineRule="auto"/>
                    <w:ind w:firstLine="0" w:firstLineChars="0"/>
                    <w:jc w:val="center"/>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val="en-US" w:eastAsia="zh-CN"/>
                    </w:rPr>
                    <w:t>7</w:t>
                  </w:r>
                </w:p>
              </w:tc>
              <w:tc>
                <w:tcPr>
                  <w:tcW w:w="857" w:type="pct"/>
                  <w:tcBorders>
                    <w:tl2br w:val="nil"/>
                    <w:tr2bl w:val="nil"/>
                  </w:tcBorders>
                  <w:noWrap w:val="0"/>
                  <w:vAlign w:val="center"/>
                </w:tcPr>
                <w:p w14:paraId="0C4246EA">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60</w:t>
                  </w:r>
                </w:p>
              </w:tc>
              <w:tc>
                <w:tcPr>
                  <w:tcW w:w="1024" w:type="dxa"/>
                  <w:tcBorders>
                    <w:tl2br w:val="nil"/>
                    <w:tr2bl w:val="nil"/>
                  </w:tcBorders>
                  <w:noWrap w:val="0"/>
                  <w:vAlign w:val="center"/>
                </w:tcPr>
                <w:p w14:paraId="1EDA784C">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11.67</w:t>
                  </w:r>
                </w:p>
              </w:tc>
              <w:tc>
                <w:tcPr>
                  <w:tcW w:w="509" w:type="pct"/>
                  <w:tcBorders>
                    <w:tl2br w:val="nil"/>
                    <w:tr2bl w:val="nil"/>
                  </w:tcBorders>
                  <w:noWrap w:val="0"/>
                  <w:vAlign w:val="center"/>
                </w:tcPr>
                <w:p w14:paraId="2DBF2682">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达标</w:t>
                  </w:r>
                </w:p>
              </w:tc>
            </w:tr>
            <w:tr w14:paraId="4E462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6" w:type="pct"/>
                  <w:tcBorders>
                    <w:tl2br w:val="nil"/>
                    <w:tr2bl w:val="nil"/>
                  </w:tcBorders>
                  <w:noWrap w:val="0"/>
                  <w:vAlign w:val="center"/>
                </w:tcPr>
                <w:p w14:paraId="50365355">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NO</w:t>
                  </w:r>
                  <w:r>
                    <w:rPr>
                      <w:rFonts w:hint="eastAsia" w:ascii="Times New Roman" w:hAnsi="Times New Roman" w:eastAsia="宋体" w:cs="Times New Roman"/>
                      <w:color w:val="auto"/>
                      <w:kern w:val="0"/>
                      <w:szCs w:val="21"/>
                      <w:vertAlign w:val="subscript"/>
                    </w:rPr>
                    <w:t>2</w:t>
                  </w:r>
                </w:p>
              </w:tc>
              <w:tc>
                <w:tcPr>
                  <w:tcW w:w="1364" w:type="pct"/>
                  <w:tcBorders>
                    <w:tl2br w:val="nil"/>
                    <w:tr2bl w:val="nil"/>
                  </w:tcBorders>
                  <w:noWrap w:val="0"/>
                  <w:vAlign w:val="center"/>
                </w:tcPr>
                <w:p w14:paraId="60DCB6CF">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年均值</w:t>
                  </w:r>
                </w:p>
              </w:tc>
              <w:tc>
                <w:tcPr>
                  <w:tcW w:w="1151" w:type="pct"/>
                  <w:tcBorders>
                    <w:tl2br w:val="nil"/>
                    <w:tr2bl w:val="nil"/>
                  </w:tcBorders>
                  <w:noWrap w:val="0"/>
                  <w:vAlign w:val="center"/>
                </w:tcPr>
                <w:p w14:paraId="2E01B00B">
                  <w:pPr>
                    <w:widowControl/>
                    <w:spacing w:line="240" w:lineRule="auto"/>
                    <w:ind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19</w:t>
                  </w:r>
                </w:p>
              </w:tc>
              <w:tc>
                <w:tcPr>
                  <w:tcW w:w="857" w:type="pct"/>
                  <w:tcBorders>
                    <w:tl2br w:val="nil"/>
                    <w:tr2bl w:val="nil"/>
                  </w:tcBorders>
                  <w:noWrap w:val="0"/>
                  <w:vAlign w:val="center"/>
                </w:tcPr>
                <w:p w14:paraId="0F6694DA">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40</w:t>
                  </w:r>
                </w:p>
              </w:tc>
              <w:tc>
                <w:tcPr>
                  <w:tcW w:w="1024" w:type="dxa"/>
                  <w:tcBorders>
                    <w:tl2br w:val="nil"/>
                    <w:tr2bl w:val="nil"/>
                  </w:tcBorders>
                  <w:noWrap w:val="0"/>
                  <w:vAlign w:val="center"/>
                </w:tcPr>
                <w:p w14:paraId="4F9777E6">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47.50</w:t>
                  </w:r>
                </w:p>
              </w:tc>
              <w:tc>
                <w:tcPr>
                  <w:tcW w:w="509" w:type="pct"/>
                  <w:tcBorders>
                    <w:tl2br w:val="nil"/>
                    <w:tr2bl w:val="nil"/>
                  </w:tcBorders>
                  <w:noWrap w:val="0"/>
                  <w:vAlign w:val="center"/>
                </w:tcPr>
                <w:p w14:paraId="7B94400C">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达标</w:t>
                  </w:r>
                </w:p>
              </w:tc>
            </w:tr>
            <w:tr w14:paraId="254D5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6" w:type="pct"/>
                  <w:tcBorders>
                    <w:tl2br w:val="nil"/>
                    <w:tr2bl w:val="nil"/>
                  </w:tcBorders>
                  <w:noWrap w:val="0"/>
                  <w:vAlign w:val="center"/>
                </w:tcPr>
                <w:p w14:paraId="6BFB5DA9">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CO</w:t>
                  </w:r>
                </w:p>
              </w:tc>
              <w:tc>
                <w:tcPr>
                  <w:tcW w:w="1364" w:type="pct"/>
                  <w:tcBorders>
                    <w:tl2br w:val="nil"/>
                    <w:tr2bl w:val="nil"/>
                  </w:tcBorders>
                  <w:noWrap w:val="0"/>
                  <w:vAlign w:val="center"/>
                </w:tcPr>
                <w:p w14:paraId="2E95DD4A">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日均值第95百分位数</w:t>
                  </w:r>
                </w:p>
              </w:tc>
              <w:tc>
                <w:tcPr>
                  <w:tcW w:w="1151" w:type="pct"/>
                  <w:tcBorders>
                    <w:tl2br w:val="nil"/>
                    <w:tr2bl w:val="nil"/>
                  </w:tcBorders>
                  <w:noWrap w:val="0"/>
                  <w:vAlign w:val="center"/>
                </w:tcPr>
                <w:p w14:paraId="45E99641">
                  <w:pPr>
                    <w:widowControl/>
                    <w:spacing w:line="240" w:lineRule="auto"/>
                    <w:ind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800</w:t>
                  </w:r>
                </w:p>
              </w:tc>
              <w:tc>
                <w:tcPr>
                  <w:tcW w:w="857" w:type="pct"/>
                  <w:tcBorders>
                    <w:tl2br w:val="nil"/>
                    <w:tr2bl w:val="nil"/>
                  </w:tcBorders>
                  <w:noWrap w:val="0"/>
                  <w:vAlign w:val="center"/>
                </w:tcPr>
                <w:p w14:paraId="476D8808">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4000</w:t>
                  </w:r>
                </w:p>
              </w:tc>
              <w:tc>
                <w:tcPr>
                  <w:tcW w:w="1024" w:type="dxa"/>
                  <w:tcBorders>
                    <w:tl2br w:val="nil"/>
                    <w:tr2bl w:val="nil"/>
                  </w:tcBorders>
                  <w:noWrap w:val="0"/>
                  <w:vAlign w:val="center"/>
                </w:tcPr>
                <w:p w14:paraId="13285491">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20.00</w:t>
                  </w:r>
                </w:p>
              </w:tc>
              <w:tc>
                <w:tcPr>
                  <w:tcW w:w="509" w:type="pct"/>
                  <w:tcBorders>
                    <w:tl2br w:val="nil"/>
                    <w:tr2bl w:val="nil"/>
                  </w:tcBorders>
                  <w:noWrap w:val="0"/>
                  <w:vAlign w:val="center"/>
                </w:tcPr>
                <w:p w14:paraId="4EC44AA2">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达标</w:t>
                  </w:r>
                </w:p>
              </w:tc>
            </w:tr>
            <w:tr w14:paraId="0ED90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6" w:type="pct"/>
                  <w:tcBorders>
                    <w:tl2br w:val="nil"/>
                    <w:tr2bl w:val="nil"/>
                  </w:tcBorders>
                  <w:noWrap w:val="0"/>
                  <w:vAlign w:val="center"/>
                </w:tcPr>
                <w:p w14:paraId="5DF1AC4E">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O</w:t>
                  </w:r>
                  <w:r>
                    <w:rPr>
                      <w:rFonts w:hint="eastAsia" w:ascii="Times New Roman" w:hAnsi="Times New Roman" w:eastAsia="宋体" w:cs="Times New Roman"/>
                      <w:color w:val="auto"/>
                      <w:kern w:val="0"/>
                      <w:szCs w:val="21"/>
                      <w:vertAlign w:val="subscript"/>
                    </w:rPr>
                    <w:t>3</w:t>
                  </w:r>
                </w:p>
              </w:tc>
              <w:tc>
                <w:tcPr>
                  <w:tcW w:w="1364" w:type="pct"/>
                  <w:tcBorders>
                    <w:tl2br w:val="nil"/>
                    <w:tr2bl w:val="nil"/>
                  </w:tcBorders>
                  <w:noWrap w:val="0"/>
                  <w:vAlign w:val="center"/>
                </w:tcPr>
                <w:p w14:paraId="0C4AD4AA">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日最大8小时平均值第90百分位数</w:t>
                  </w:r>
                </w:p>
              </w:tc>
              <w:tc>
                <w:tcPr>
                  <w:tcW w:w="1151" w:type="pct"/>
                  <w:tcBorders>
                    <w:tl2br w:val="nil"/>
                    <w:tr2bl w:val="nil"/>
                  </w:tcBorders>
                  <w:noWrap w:val="0"/>
                  <w:vAlign w:val="center"/>
                </w:tcPr>
                <w:p w14:paraId="460A292C">
                  <w:pPr>
                    <w:widowControl/>
                    <w:spacing w:line="240" w:lineRule="auto"/>
                    <w:ind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160</w:t>
                  </w:r>
                </w:p>
              </w:tc>
              <w:tc>
                <w:tcPr>
                  <w:tcW w:w="857" w:type="pct"/>
                  <w:tcBorders>
                    <w:tl2br w:val="nil"/>
                    <w:tr2bl w:val="nil"/>
                  </w:tcBorders>
                  <w:noWrap w:val="0"/>
                  <w:vAlign w:val="center"/>
                </w:tcPr>
                <w:p w14:paraId="5C753B33">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160</w:t>
                  </w:r>
                </w:p>
              </w:tc>
              <w:tc>
                <w:tcPr>
                  <w:tcW w:w="1024" w:type="dxa"/>
                  <w:tcBorders>
                    <w:tl2br w:val="nil"/>
                    <w:tr2bl w:val="nil"/>
                  </w:tcBorders>
                  <w:noWrap w:val="0"/>
                  <w:vAlign w:val="center"/>
                </w:tcPr>
                <w:p w14:paraId="586D8226">
                  <w:pPr>
                    <w:widowControl/>
                    <w:spacing w:line="240" w:lineRule="auto"/>
                    <w:ind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100.00</w:t>
                  </w:r>
                </w:p>
              </w:tc>
              <w:tc>
                <w:tcPr>
                  <w:tcW w:w="509" w:type="pct"/>
                  <w:tcBorders>
                    <w:tl2br w:val="nil"/>
                    <w:tr2bl w:val="nil"/>
                  </w:tcBorders>
                  <w:noWrap w:val="0"/>
                  <w:vAlign w:val="center"/>
                </w:tcPr>
                <w:p w14:paraId="329B778D">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达标</w:t>
                  </w:r>
                </w:p>
              </w:tc>
            </w:tr>
            <w:tr w14:paraId="1FE7D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6" w:type="pct"/>
                  <w:tcBorders>
                    <w:tl2br w:val="nil"/>
                    <w:tr2bl w:val="nil"/>
                  </w:tcBorders>
                  <w:noWrap w:val="0"/>
                  <w:vAlign w:val="center"/>
                </w:tcPr>
                <w:p w14:paraId="19C15181">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PM</w:t>
                  </w:r>
                  <w:r>
                    <w:rPr>
                      <w:rFonts w:hint="eastAsia" w:ascii="Times New Roman" w:hAnsi="Times New Roman" w:eastAsia="宋体" w:cs="Times New Roman"/>
                      <w:color w:val="auto"/>
                      <w:kern w:val="0"/>
                      <w:szCs w:val="21"/>
                      <w:vertAlign w:val="subscript"/>
                    </w:rPr>
                    <w:t>10</w:t>
                  </w:r>
                </w:p>
              </w:tc>
              <w:tc>
                <w:tcPr>
                  <w:tcW w:w="1364" w:type="pct"/>
                  <w:tcBorders>
                    <w:tl2br w:val="nil"/>
                    <w:tr2bl w:val="nil"/>
                  </w:tcBorders>
                  <w:noWrap w:val="0"/>
                  <w:vAlign w:val="center"/>
                </w:tcPr>
                <w:p w14:paraId="18B48637">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年均值</w:t>
                  </w:r>
                </w:p>
              </w:tc>
              <w:tc>
                <w:tcPr>
                  <w:tcW w:w="1151" w:type="pct"/>
                  <w:tcBorders>
                    <w:tl2br w:val="nil"/>
                    <w:tr2bl w:val="nil"/>
                  </w:tcBorders>
                  <w:noWrap w:val="0"/>
                  <w:vAlign w:val="center"/>
                </w:tcPr>
                <w:p w14:paraId="68914D99">
                  <w:pPr>
                    <w:widowControl/>
                    <w:spacing w:line="240" w:lineRule="auto"/>
                    <w:ind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65</w:t>
                  </w:r>
                </w:p>
              </w:tc>
              <w:tc>
                <w:tcPr>
                  <w:tcW w:w="857" w:type="pct"/>
                  <w:tcBorders>
                    <w:tl2br w:val="nil"/>
                    <w:tr2bl w:val="nil"/>
                  </w:tcBorders>
                  <w:noWrap w:val="0"/>
                  <w:vAlign w:val="center"/>
                </w:tcPr>
                <w:p w14:paraId="29E11FC2">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70</w:t>
                  </w:r>
                </w:p>
              </w:tc>
              <w:tc>
                <w:tcPr>
                  <w:tcW w:w="1024" w:type="dxa"/>
                  <w:tcBorders>
                    <w:tl2br w:val="nil"/>
                    <w:tr2bl w:val="nil"/>
                  </w:tcBorders>
                  <w:noWrap w:val="0"/>
                  <w:vAlign w:val="center"/>
                </w:tcPr>
                <w:p w14:paraId="70331F07">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92.86</w:t>
                  </w:r>
                </w:p>
              </w:tc>
              <w:tc>
                <w:tcPr>
                  <w:tcW w:w="509" w:type="pct"/>
                  <w:tcBorders>
                    <w:tl2br w:val="nil"/>
                    <w:tr2bl w:val="nil"/>
                  </w:tcBorders>
                  <w:noWrap w:val="0"/>
                  <w:vAlign w:val="center"/>
                </w:tcPr>
                <w:p w14:paraId="680D2A47">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达标</w:t>
                  </w:r>
                </w:p>
              </w:tc>
            </w:tr>
            <w:tr w14:paraId="3B740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6" w:type="pct"/>
                  <w:tcBorders>
                    <w:tl2br w:val="nil"/>
                    <w:tr2bl w:val="nil"/>
                  </w:tcBorders>
                  <w:noWrap w:val="0"/>
                  <w:vAlign w:val="center"/>
                </w:tcPr>
                <w:p w14:paraId="4A8FBF33">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PM</w:t>
                  </w:r>
                  <w:r>
                    <w:rPr>
                      <w:rFonts w:hint="eastAsia" w:ascii="Times New Roman" w:hAnsi="Times New Roman" w:eastAsia="宋体" w:cs="Times New Roman"/>
                      <w:color w:val="auto"/>
                      <w:kern w:val="0"/>
                      <w:szCs w:val="21"/>
                      <w:vertAlign w:val="subscript"/>
                    </w:rPr>
                    <w:t>2.5</w:t>
                  </w:r>
                </w:p>
              </w:tc>
              <w:tc>
                <w:tcPr>
                  <w:tcW w:w="1364" w:type="pct"/>
                  <w:tcBorders>
                    <w:tl2br w:val="nil"/>
                    <w:tr2bl w:val="nil"/>
                  </w:tcBorders>
                  <w:noWrap w:val="0"/>
                  <w:vAlign w:val="center"/>
                </w:tcPr>
                <w:p w14:paraId="22DDAF28">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年均值</w:t>
                  </w:r>
                </w:p>
              </w:tc>
              <w:tc>
                <w:tcPr>
                  <w:tcW w:w="1151" w:type="pct"/>
                  <w:tcBorders>
                    <w:tl2br w:val="nil"/>
                    <w:tr2bl w:val="nil"/>
                  </w:tcBorders>
                  <w:noWrap w:val="0"/>
                  <w:vAlign w:val="center"/>
                </w:tcPr>
                <w:p w14:paraId="3AB34987">
                  <w:pPr>
                    <w:widowControl/>
                    <w:spacing w:line="240" w:lineRule="auto"/>
                    <w:ind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40</w:t>
                  </w:r>
                </w:p>
              </w:tc>
              <w:tc>
                <w:tcPr>
                  <w:tcW w:w="857" w:type="pct"/>
                  <w:tcBorders>
                    <w:tl2br w:val="nil"/>
                    <w:tr2bl w:val="nil"/>
                  </w:tcBorders>
                  <w:noWrap w:val="0"/>
                  <w:vAlign w:val="center"/>
                </w:tcPr>
                <w:p w14:paraId="73853549">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35</w:t>
                  </w:r>
                </w:p>
              </w:tc>
              <w:tc>
                <w:tcPr>
                  <w:tcW w:w="1024" w:type="dxa"/>
                  <w:tcBorders>
                    <w:tl2br w:val="nil"/>
                    <w:tr2bl w:val="nil"/>
                  </w:tcBorders>
                  <w:noWrap w:val="0"/>
                  <w:vAlign w:val="center"/>
                </w:tcPr>
                <w:p w14:paraId="34D671B7">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114.29</w:t>
                  </w:r>
                </w:p>
              </w:tc>
              <w:tc>
                <w:tcPr>
                  <w:tcW w:w="509" w:type="pct"/>
                  <w:tcBorders>
                    <w:tl2br w:val="nil"/>
                    <w:tr2bl w:val="nil"/>
                  </w:tcBorders>
                  <w:noWrap w:val="0"/>
                  <w:vAlign w:val="center"/>
                </w:tcPr>
                <w:p w14:paraId="488B95E2">
                  <w:pPr>
                    <w:widowControl/>
                    <w:spacing w:line="240" w:lineRule="auto"/>
                    <w:ind w:firstLine="0" w:firstLineChars="0"/>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不达标</w:t>
                  </w:r>
                </w:p>
              </w:tc>
            </w:tr>
          </w:tbl>
          <w:p w14:paraId="009711E2">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2"/>
              <w:rPr>
                <w:rFonts w:ascii="Times New Roman" w:hAnsi="Times New Roman"/>
                <w:color w:val="auto"/>
                <w:sz w:val="24"/>
              </w:rPr>
            </w:pPr>
            <w:bookmarkStart w:id="4" w:name="_Toc12167"/>
            <w:r>
              <w:rPr>
                <w:rFonts w:hint="eastAsia" w:ascii="Times New Roman" w:hAnsi="Times New Roman" w:eastAsia="宋体" w:cs="Times New Roman"/>
                <w:color w:val="auto"/>
                <w:sz w:val="24"/>
                <w:szCs w:val="24"/>
                <w:lang w:val="en-US" w:eastAsia="zh-CN" w:bidi="ar-SA"/>
              </w:rPr>
              <w:t>综上，2024年淮南市二氧化硫（SO</w:t>
            </w:r>
            <w:r>
              <w:rPr>
                <w:rFonts w:hint="eastAsia" w:ascii="Times New Roman" w:hAnsi="Times New Roman" w:eastAsia="宋体" w:cs="Times New Roman"/>
                <w:color w:val="auto"/>
                <w:sz w:val="24"/>
                <w:szCs w:val="24"/>
                <w:vertAlign w:val="subscript"/>
                <w:lang w:val="en-US" w:eastAsia="zh-CN" w:bidi="ar-SA"/>
              </w:rPr>
              <w:t>2</w:t>
            </w:r>
            <w:r>
              <w:rPr>
                <w:rFonts w:hint="eastAsia" w:ascii="Times New Roman" w:hAnsi="Times New Roman" w:eastAsia="宋体" w:cs="Times New Roman"/>
                <w:color w:val="auto"/>
                <w:sz w:val="24"/>
                <w:szCs w:val="24"/>
                <w:lang w:val="en-US" w:eastAsia="zh-CN" w:bidi="ar-SA"/>
              </w:rPr>
              <w:t>）、二氧化氮（NO</w:t>
            </w:r>
            <w:r>
              <w:rPr>
                <w:rFonts w:hint="eastAsia" w:ascii="Times New Roman" w:hAnsi="Times New Roman" w:eastAsia="宋体" w:cs="Times New Roman"/>
                <w:color w:val="auto"/>
                <w:sz w:val="24"/>
                <w:szCs w:val="24"/>
                <w:vertAlign w:val="subscript"/>
                <w:lang w:val="en-US" w:eastAsia="zh-CN" w:bidi="ar-SA"/>
              </w:rPr>
              <w:t>2</w:t>
            </w:r>
            <w:r>
              <w:rPr>
                <w:rFonts w:hint="eastAsia" w:ascii="Times New Roman" w:hAnsi="Times New Roman" w:eastAsia="宋体" w:cs="Times New Roman"/>
                <w:color w:val="auto"/>
                <w:sz w:val="24"/>
                <w:szCs w:val="24"/>
                <w:lang w:val="en-US" w:eastAsia="zh-CN" w:bidi="ar-SA"/>
              </w:rPr>
              <w:t>）、一氧化碳（CO）、可吸入颗粒物（PM</w:t>
            </w:r>
            <w:r>
              <w:rPr>
                <w:rFonts w:hint="eastAsia" w:ascii="Times New Roman" w:hAnsi="Times New Roman" w:eastAsia="宋体" w:cs="Times New Roman"/>
                <w:color w:val="auto"/>
                <w:sz w:val="24"/>
                <w:szCs w:val="24"/>
                <w:vertAlign w:val="subscript"/>
                <w:lang w:val="en-US" w:eastAsia="zh-CN" w:bidi="ar-SA"/>
              </w:rPr>
              <w:t>10</w:t>
            </w:r>
            <w:r>
              <w:rPr>
                <w:rFonts w:hint="eastAsia" w:ascii="Times New Roman" w:hAnsi="Times New Roman" w:eastAsia="宋体" w:cs="Times New Roman"/>
                <w:color w:val="auto"/>
                <w:sz w:val="24"/>
                <w:szCs w:val="24"/>
                <w:lang w:val="en-US" w:eastAsia="zh-CN" w:bidi="ar-SA"/>
              </w:rPr>
              <w:t>年均浓度）、臭氧（O</w:t>
            </w:r>
            <w:r>
              <w:rPr>
                <w:rFonts w:hint="eastAsia" w:ascii="Times New Roman" w:hAnsi="Times New Roman" w:eastAsia="宋体" w:cs="Times New Roman"/>
                <w:color w:val="auto"/>
                <w:sz w:val="24"/>
                <w:szCs w:val="24"/>
                <w:vertAlign w:val="subscript"/>
                <w:lang w:val="en-US" w:eastAsia="zh-CN" w:bidi="ar-SA"/>
              </w:rPr>
              <w:t>3</w:t>
            </w:r>
            <w:r>
              <w:rPr>
                <w:rFonts w:hint="eastAsia" w:ascii="Times New Roman" w:hAnsi="Times New Roman" w:eastAsia="宋体" w:cs="Times New Roman"/>
                <w:color w:val="auto"/>
                <w:sz w:val="24"/>
                <w:szCs w:val="24"/>
                <w:lang w:val="en-US" w:eastAsia="zh-CN" w:bidi="ar-SA"/>
              </w:rPr>
              <w:t>）年均浓度均符合《环境空气质量标准》（GB3095-2012）二级标准，细颗粒物（PM</w:t>
            </w:r>
            <w:r>
              <w:rPr>
                <w:rFonts w:hint="eastAsia" w:ascii="Times New Roman" w:hAnsi="Times New Roman" w:eastAsia="宋体" w:cs="Times New Roman"/>
                <w:color w:val="auto"/>
                <w:sz w:val="24"/>
                <w:szCs w:val="24"/>
                <w:vertAlign w:val="subscript"/>
                <w:lang w:val="en-US" w:eastAsia="zh-CN" w:bidi="ar-SA"/>
              </w:rPr>
              <w:t>2.5</w:t>
            </w:r>
            <w:r>
              <w:rPr>
                <w:rFonts w:hint="eastAsia" w:ascii="Times New Roman" w:hAnsi="Times New Roman" w:eastAsia="宋体" w:cs="Times New Roman"/>
                <w:color w:val="auto"/>
                <w:sz w:val="24"/>
                <w:szCs w:val="24"/>
                <w:lang w:val="en-US" w:eastAsia="zh-CN" w:bidi="ar-SA"/>
              </w:rPr>
              <w:t>）年均浓度超过《环境空气质量标准》（GB3095-2012）二级标准，因此项目所在评价区域为不达标区。</w:t>
            </w:r>
            <w:bookmarkEnd w:id="4"/>
          </w:p>
          <w:p w14:paraId="77BFC5A2">
            <w:pPr>
              <w:spacing w:line="360" w:lineRule="auto"/>
              <w:ind w:firstLine="482" w:firstLineChars="200"/>
              <w:rPr>
                <w:rFonts w:ascii="Times New Roman" w:hAnsi="Times New Roman"/>
                <w:b/>
                <w:bCs/>
                <w:color w:val="auto"/>
                <w:sz w:val="24"/>
              </w:rPr>
            </w:pPr>
            <w:r>
              <w:rPr>
                <w:rFonts w:ascii="Times New Roman" w:hAnsi="Times New Roman"/>
                <w:b/>
                <w:bCs/>
                <w:color w:val="auto"/>
                <w:sz w:val="24"/>
              </w:rPr>
              <w:t>2、地表水环境现状</w:t>
            </w:r>
          </w:p>
          <w:p w14:paraId="224B0C3F">
            <w:pPr>
              <w:pStyle w:val="2"/>
              <w:spacing w:before="0" w:after="0" w:line="360" w:lineRule="auto"/>
              <w:ind w:firstLine="480"/>
              <w:rPr>
                <w:rFonts w:hint="eastAsia" w:ascii="Times New Roman" w:hAnsi="Times New Roman"/>
                <w:b w:val="0"/>
                <w:color w:val="auto"/>
                <w:sz w:val="24"/>
                <w:szCs w:val="24"/>
              </w:rPr>
            </w:pPr>
            <w:r>
              <w:rPr>
                <w:rFonts w:hint="eastAsia" w:ascii="Times New Roman" w:hAnsi="Times New Roman"/>
                <w:b w:val="0"/>
                <w:color w:val="auto"/>
                <w:sz w:val="24"/>
                <w:szCs w:val="24"/>
              </w:rPr>
              <w:t>根据《2024年淮南市生态环境质量状况公报》：</w:t>
            </w:r>
          </w:p>
          <w:p w14:paraId="47793987">
            <w:pPr>
              <w:pStyle w:val="2"/>
              <w:spacing w:before="0" w:after="0" w:line="360" w:lineRule="auto"/>
              <w:ind w:firstLine="480"/>
              <w:rPr>
                <w:rFonts w:ascii="Times New Roman" w:hAnsi="Times New Roman"/>
                <w:b w:val="0"/>
                <w:color w:val="auto"/>
                <w:sz w:val="24"/>
                <w:szCs w:val="24"/>
              </w:rPr>
            </w:pPr>
            <w:r>
              <w:rPr>
                <w:rFonts w:hint="eastAsia" w:ascii="Times New Roman" w:hAnsi="Times New Roman"/>
                <w:b w:val="0"/>
                <w:color w:val="auto"/>
                <w:sz w:val="24"/>
                <w:szCs w:val="24"/>
              </w:rPr>
              <w:t>2024年淮南市地表水24个监测断面中优良水质比例为91.7%，比上年下降了4.1个百分点，Ⅳ类水质比例8.3%，总体水质状况优。</w:t>
            </w:r>
          </w:p>
          <w:p w14:paraId="730C956A">
            <w:pPr>
              <w:pStyle w:val="5"/>
              <w:spacing w:line="360" w:lineRule="auto"/>
              <w:ind w:firstLine="482"/>
              <w:rPr>
                <w:rFonts w:ascii="Times New Roman" w:hAnsi="Times New Roman"/>
                <w:b/>
                <w:bCs/>
                <w:color w:val="auto"/>
                <w:sz w:val="24"/>
                <w:lang w:val="en-US" w:eastAsia="zh-CN"/>
              </w:rPr>
            </w:pPr>
            <w:r>
              <w:rPr>
                <w:rFonts w:ascii="Times New Roman" w:hAnsi="Times New Roman"/>
                <w:b/>
                <w:bCs/>
                <w:color w:val="auto"/>
                <w:sz w:val="24"/>
                <w:lang w:val="en-US" w:eastAsia="zh-CN"/>
              </w:rPr>
              <w:t>3、声环境质量现状</w:t>
            </w:r>
          </w:p>
          <w:p w14:paraId="07B83023">
            <w:pPr>
              <w:spacing w:line="360" w:lineRule="auto"/>
              <w:ind w:firstLine="480" w:firstLineChars="200"/>
              <w:rPr>
                <w:rFonts w:hint="eastAsia" w:ascii="Times New Roman" w:hAnsi="Times New Roman"/>
                <w:color w:val="auto"/>
                <w:sz w:val="24"/>
              </w:rPr>
            </w:pPr>
            <w:r>
              <w:rPr>
                <w:rFonts w:hint="eastAsia" w:ascii="Times New Roman" w:hAnsi="Times New Roman"/>
                <w:color w:val="auto"/>
                <w:sz w:val="24"/>
              </w:rPr>
              <w:t>2024年，全市区域环境噪声昼间平均等效声级为51.6分贝，与上年相比上升0.4分贝，噪声总体水平稳定保持二级，声环境质量较好。</w:t>
            </w:r>
          </w:p>
          <w:p w14:paraId="64E0C958">
            <w:pPr>
              <w:spacing w:line="360" w:lineRule="auto"/>
              <w:ind w:firstLine="480" w:firstLineChars="200"/>
              <w:rPr>
                <w:rFonts w:hint="eastAsia" w:ascii="Times New Roman" w:hAnsi="Times New Roman"/>
                <w:color w:val="auto"/>
                <w:sz w:val="24"/>
              </w:rPr>
            </w:pPr>
            <w:r>
              <w:rPr>
                <w:rFonts w:hint="eastAsia" w:ascii="Times New Roman" w:hAnsi="Times New Roman"/>
                <w:color w:val="auto"/>
                <w:sz w:val="24"/>
              </w:rPr>
              <w:t>城市道路交通噪声昼间平均等效声级为66.6分贝，与上年相比上升0.4分贝，噪声强度等级稳定保持为一级，声环境质量级别为好。</w:t>
            </w:r>
          </w:p>
          <w:p w14:paraId="5ACF15BF">
            <w:pPr>
              <w:spacing w:line="360" w:lineRule="auto"/>
              <w:ind w:firstLine="480" w:firstLineChars="200"/>
              <w:rPr>
                <w:rFonts w:hint="eastAsia" w:ascii="Times New Roman" w:hAnsi="Times New Roman" w:eastAsia="宋体"/>
                <w:color w:val="auto"/>
                <w:sz w:val="24"/>
                <w:lang w:eastAsia="zh-CN"/>
              </w:rPr>
            </w:pPr>
            <w:r>
              <w:rPr>
                <w:rFonts w:hint="eastAsia" w:ascii="Times New Roman" w:hAnsi="Times New Roman"/>
                <w:color w:val="auto"/>
                <w:sz w:val="24"/>
              </w:rPr>
              <w:t>各功能区噪声平均等效声级达标率为70.8%，昼间达标率为83.3%，夜间达标率为58.3%。与上年相比，昼间达标率减少0.5个百分点，夜间达标率减少6.7个百分点，平均等效声级达标率减少了3.5个百分点</w:t>
            </w:r>
            <w:r>
              <w:rPr>
                <w:rFonts w:hint="eastAsia" w:ascii="Times New Roman" w:hAnsi="Times New Roman"/>
                <w:color w:val="auto"/>
                <w:sz w:val="24"/>
                <w:lang w:eastAsia="zh-CN"/>
              </w:rPr>
              <w:t>。</w:t>
            </w:r>
          </w:p>
          <w:p w14:paraId="11E2EE32">
            <w:pPr>
              <w:spacing w:line="360" w:lineRule="auto"/>
              <w:ind w:firstLine="480" w:firstLineChars="200"/>
              <w:rPr>
                <w:rFonts w:ascii="Times New Roman"/>
                <w:color w:val="auto"/>
                <w:sz w:val="24"/>
              </w:rPr>
            </w:pPr>
            <w:r>
              <w:rPr>
                <w:rFonts w:ascii="Times New Roman"/>
                <w:color w:val="auto"/>
                <w:sz w:val="24"/>
              </w:rPr>
              <w:t>根据现场踏勘，项目</w:t>
            </w:r>
            <w:r>
              <w:rPr>
                <w:rFonts w:hint="eastAsia" w:ascii="Times New Roman"/>
                <w:color w:val="auto"/>
                <w:sz w:val="24"/>
                <w:lang w:val="en-US" w:eastAsia="zh-CN"/>
              </w:rPr>
              <w:t>2</w:t>
            </w:r>
            <w:r>
              <w:rPr>
                <w:rFonts w:hint="eastAsia" w:ascii="Times New Roman"/>
                <w:color w:val="auto"/>
                <w:sz w:val="24"/>
              </w:rPr>
              <w:t>号井场、</w:t>
            </w:r>
            <w:r>
              <w:rPr>
                <w:rFonts w:hint="eastAsia" w:ascii="Times New Roman"/>
                <w:color w:val="auto"/>
                <w:sz w:val="24"/>
                <w:lang w:val="en-US" w:eastAsia="zh-CN"/>
              </w:rPr>
              <w:t>3</w:t>
            </w:r>
            <w:r>
              <w:rPr>
                <w:rFonts w:hint="eastAsia" w:ascii="Times New Roman"/>
                <w:color w:val="auto"/>
                <w:sz w:val="24"/>
              </w:rPr>
              <w:t>号井场、</w:t>
            </w:r>
            <w:r>
              <w:rPr>
                <w:rFonts w:hint="eastAsia" w:ascii="Times New Roman"/>
                <w:color w:val="auto"/>
                <w:sz w:val="24"/>
                <w:lang w:val="en-US" w:eastAsia="zh-CN"/>
              </w:rPr>
              <w:t>4</w:t>
            </w:r>
            <w:r>
              <w:rPr>
                <w:rFonts w:hint="eastAsia" w:ascii="Times New Roman"/>
                <w:color w:val="auto"/>
                <w:sz w:val="24"/>
              </w:rPr>
              <w:t>号井场周边</w:t>
            </w:r>
            <w:r>
              <w:rPr>
                <w:rFonts w:ascii="Times New Roman"/>
                <w:color w:val="auto"/>
                <w:sz w:val="24"/>
              </w:rPr>
              <w:t>50米范围内存在声环境保护目标。故本项目需进行声环境质量现状监测。</w:t>
            </w:r>
          </w:p>
          <w:p w14:paraId="32D89452">
            <w:pPr>
              <w:jc w:val="center"/>
              <w:rPr>
                <w:color w:val="auto"/>
                <w:sz w:val="24"/>
              </w:rPr>
            </w:pPr>
            <w:r>
              <w:rPr>
                <w:rFonts w:hint="default" w:ascii="Times New Roman" w:hAnsi="Times New Roman" w:cs="Times New Roman"/>
                <w:b/>
                <w:color w:val="auto"/>
                <w:szCs w:val="21"/>
              </w:rPr>
              <w:t>表3-2  声环境现状监测</w:t>
            </w:r>
            <w:r>
              <w:rPr>
                <w:rFonts w:hint="eastAsia"/>
                <w:b/>
                <w:color w:val="auto"/>
                <w:szCs w:val="21"/>
              </w:rPr>
              <w:t>点</w:t>
            </w:r>
            <w:r>
              <w:rPr>
                <w:b/>
                <w:color w:val="auto"/>
                <w:szCs w:val="21"/>
              </w:rPr>
              <w:t>布设一览表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7"/>
              <w:gridCol w:w="1308"/>
              <w:gridCol w:w="2350"/>
              <w:gridCol w:w="2347"/>
            </w:tblGrid>
            <w:tr w14:paraId="7A9E1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171" w:type="pct"/>
                  <w:noWrap w:val="0"/>
                  <w:vAlign w:val="center"/>
                </w:tcPr>
                <w:p w14:paraId="40928C43">
                  <w:pPr>
                    <w:jc w:val="center"/>
                    <w:rPr>
                      <w:rFonts w:ascii="Times New Roman" w:hAnsi="Times New Roman"/>
                      <w:color w:val="auto"/>
                      <w:szCs w:val="21"/>
                    </w:rPr>
                  </w:pPr>
                  <w:r>
                    <w:rPr>
                      <w:rFonts w:ascii="Times New Roman"/>
                      <w:color w:val="auto"/>
                      <w:szCs w:val="21"/>
                    </w:rPr>
                    <w:t>测点名称</w:t>
                  </w:r>
                </w:p>
              </w:tc>
              <w:tc>
                <w:tcPr>
                  <w:tcW w:w="833" w:type="pct"/>
                  <w:noWrap w:val="0"/>
                  <w:vAlign w:val="center"/>
                </w:tcPr>
                <w:p w14:paraId="2630BB79">
                  <w:pPr>
                    <w:jc w:val="center"/>
                    <w:rPr>
                      <w:rFonts w:ascii="Times New Roman" w:hAnsi="Times New Roman"/>
                      <w:color w:val="auto"/>
                      <w:szCs w:val="21"/>
                    </w:rPr>
                  </w:pPr>
                  <w:r>
                    <w:rPr>
                      <w:rFonts w:ascii="Times New Roman"/>
                      <w:color w:val="auto"/>
                      <w:szCs w:val="21"/>
                    </w:rPr>
                    <w:t>方位</w:t>
                  </w:r>
                </w:p>
              </w:tc>
              <w:tc>
                <w:tcPr>
                  <w:tcW w:w="1498" w:type="pct"/>
                  <w:noWrap w:val="0"/>
                  <w:vAlign w:val="center"/>
                </w:tcPr>
                <w:p w14:paraId="0449DE8D">
                  <w:pPr>
                    <w:jc w:val="center"/>
                    <w:rPr>
                      <w:rFonts w:ascii="Times New Roman" w:hAnsi="Times New Roman"/>
                      <w:color w:val="auto"/>
                      <w:szCs w:val="21"/>
                    </w:rPr>
                  </w:pPr>
                  <w:r>
                    <w:rPr>
                      <w:rFonts w:ascii="Times New Roman"/>
                      <w:color w:val="auto"/>
                      <w:szCs w:val="21"/>
                    </w:rPr>
                    <w:t>监测点位性质</w:t>
                  </w:r>
                </w:p>
              </w:tc>
              <w:tc>
                <w:tcPr>
                  <w:tcW w:w="1496" w:type="pct"/>
                  <w:noWrap w:val="0"/>
                  <w:vAlign w:val="center"/>
                </w:tcPr>
                <w:p w14:paraId="16B05D96">
                  <w:pPr>
                    <w:jc w:val="center"/>
                    <w:rPr>
                      <w:rFonts w:hint="eastAsia" w:ascii="Times New Roman" w:eastAsia="宋体"/>
                      <w:color w:val="auto"/>
                      <w:szCs w:val="21"/>
                      <w:lang w:val="en-US" w:eastAsia="zh-CN"/>
                    </w:rPr>
                  </w:pPr>
                  <w:r>
                    <w:rPr>
                      <w:rFonts w:hint="eastAsia" w:ascii="Times New Roman"/>
                      <w:color w:val="auto"/>
                      <w:szCs w:val="21"/>
                      <w:lang w:val="en-US" w:eastAsia="zh-CN"/>
                    </w:rPr>
                    <w:t>相对距离</w:t>
                  </w:r>
                </w:p>
              </w:tc>
            </w:tr>
            <w:tr w14:paraId="6C19A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5000" w:type="pct"/>
                  <w:gridSpan w:val="4"/>
                  <w:noWrap w:val="0"/>
                  <w:vAlign w:val="center"/>
                </w:tcPr>
                <w:p w14:paraId="5992AB1F">
                  <w:pPr>
                    <w:jc w:val="center"/>
                    <w:rPr>
                      <w:rFonts w:hint="eastAsia" w:ascii="Times New Roman" w:hAnsi="Times New Roman"/>
                      <w:color w:val="auto"/>
                      <w:szCs w:val="21"/>
                      <w:lang w:val="en-US" w:eastAsia="zh-CN"/>
                    </w:rPr>
                  </w:pPr>
                  <w:r>
                    <w:rPr>
                      <w:rFonts w:hint="eastAsia" w:ascii="Times New Roman" w:hAnsi="Times New Roman"/>
                      <w:color w:val="auto"/>
                      <w:szCs w:val="21"/>
                      <w:lang w:val="en-US" w:eastAsia="zh-CN"/>
                    </w:rPr>
                    <w:t>2</w:t>
                  </w:r>
                  <w:r>
                    <w:rPr>
                      <w:rFonts w:ascii="Times New Roman"/>
                      <w:color w:val="auto"/>
                      <w:szCs w:val="21"/>
                    </w:rPr>
                    <w:t>号井场</w:t>
                  </w:r>
                </w:p>
              </w:tc>
            </w:tr>
            <w:tr w14:paraId="28624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171" w:type="pct"/>
                  <w:noWrap w:val="0"/>
                  <w:vAlign w:val="center"/>
                </w:tcPr>
                <w:p w14:paraId="55FDA42B">
                  <w:pPr>
                    <w:jc w:val="center"/>
                    <w:rPr>
                      <w:rFonts w:ascii="Times New Roman" w:hAnsi="Times New Roman"/>
                      <w:color w:val="auto"/>
                      <w:szCs w:val="21"/>
                    </w:rPr>
                  </w:pPr>
                  <w:r>
                    <w:rPr>
                      <w:rFonts w:hint="eastAsia" w:ascii="Times New Roman" w:hAnsi="Times New Roman"/>
                      <w:color w:val="auto"/>
                      <w:szCs w:val="21"/>
                      <w:lang w:val="en-US" w:eastAsia="zh-CN"/>
                    </w:rPr>
                    <w:t>N3</w:t>
                  </w:r>
                  <w:r>
                    <w:rPr>
                      <w:rFonts w:ascii="Times New Roman"/>
                      <w:color w:val="auto"/>
                      <w:szCs w:val="21"/>
                    </w:rPr>
                    <w:t>（</w:t>
                  </w:r>
                  <w:r>
                    <w:rPr>
                      <w:rFonts w:hint="eastAsia" w:ascii="Times New Roman"/>
                      <w:color w:val="auto"/>
                      <w:szCs w:val="21"/>
                      <w:lang w:val="en-US" w:eastAsia="zh-CN"/>
                    </w:rPr>
                    <w:t>史圩孜</w:t>
                  </w:r>
                  <w:r>
                    <w:rPr>
                      <w:rFonts w:ascii="Times New Roman"/>
                      <w:color w:val="auto"/>
                      <w:szCs w:val="21"/>
                    </w:rPr>
                    <w:t>）</w:t>
                  </w:r>
                </w:p>
              </w:tc>
              <w:tc>
                <w:tcPr>
                  <w:tcW w:w="833" w:type="pct"/>
                  <w:noWrap w:val="0"/>
                  <w:vAlign w:val="center"/>
                </w:tcPr>
                <w:p w14:paraId="7CC6379F">
                  <w:pPr>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NE</w:t>
                  </w:r>
                </w:p>
              </w:tc>
              <w:tc>
                <w:tcPr>
                  <w:tcW w:w="1498" w:type="pct"/>
                  <w:noWrap w:val="0"/>
                  <w:vAlign w:val="center"/>
                </w:tcPr>
                <w:p w14:paraId="604C9B4B">
                  <w:pPr>
                    <w:jc w:val="center"/>
                    <w:rPr>
                      <w:rFonts w:ascii="Times New Roman" w:hAnsi="Times New Roman"/>
                      <w:color w:val="auto"/>
                      <w:szCs w:val="21"/>
                    </w:rPr>
                  </w:pPr>
                  <w:r>
                    <w:rPr>
                      <w:rFonts w:ascii="Times New Roman"/>
                      <w:color w:val="auto"/>
                      <w:szCs w:val="21"/>
                    </w:rPr>
                    <w:t>敏感点噪声</w:t>
                  </w:r>
                </w:p>
              </w:tc>
              <w:tc>
                <w:tcPr>
                  <w:tcW w:w="1496" w:type="pct"/>
                  <w:noWrap w:val="0"/>
                  <w:vAlign w:val="center"/>
                </w:tcPr>
                <w:p w14:paraId="3D6F09D0">
                  <w:pPr>
                    <w:jc w:val="center"/>
                    <w:rPr>
                      <w:rFonts w:hint="default" w:ascii="Times New Roman" w:eastAsia="宋体"/>
                      <w:color w:val="auto"/>
                      <w:szCs w:val="21"/>
                      <w:lang w:val="en-US" w:eastAsia="zh-CN"/>
                    </w:rPr>
                  </w:pPr>
                  <w:r>
                    <w:rPr>
                      <w:rFonts w:hint="eastAsia" w:ascii="Times New Roman"/>
                      <w:color w:val="auto"/>
                      <w:szCs w:val="21"/>
                      <w:lang w:val="en-US" w:eastAsia="zh-CN"/>
                    </w:rPr>
                    <w:t>47m</w:t>
                  </w:r>
                </w:p>
              </w:tc>
            </w:tr>
            <w:tr w14:paraId="3FF8B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000" w:type="pct"/>
                  <w:gridSpan w:val="4"/>
                  <w:noWrap w:val="0"/>
                  <w:vAlign w:val="center"/>
                </w:tcPr>
                <w:p w14:paraId="07D8CCED">
                  <w:pPr>
                    <w:jc w:val="center"/>
                    <w:rPr>
                      <w:rFonts w:hint="eastAsia" w:ascii="Times New Roman" w:hAnsi="Times New Roman"/>
                      <w:color w:val="auto"/>
                      <w:szCs w:val="21"/>
                      <w:lang w:val="en-US" w:eastAsia="zh-CN"/>
                    </w:rPr>
                  </w:pPr>
                  <w:r>
                    <w:rPr>
                      <w:rFonts w:hint="eastAsia" w:ascii="Times New Roman" w:hAnsi="Times New Roman"/>
                      <w:color w:val="auto"/>
                      <w:szCs w:val="21"/>
                      <w:lang w:val="en-US" w:eastAsia="zh-CN"/>
                    </w:rPr>
                    <w:t>3</w:t>
                  </w:r>
                  <w:r>
                    <w:rPr>
                      <w:rFonts w:ascii="Times New Roman"/>
                      <w:color w:val="auto"/>
                      <w:szCs w:val="21"/>
                    </w:rPr>
                    <w:t>号井场</w:t>
                  </w:r>
                </w:p>
              </w:tc>
            </w:tr>
            <w:tr w14:paraId="3C0BE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171" w:type="pct"/>
                  <w:noWrap w:val="0"/>
                  <w:vAlign w:val="center"/>
                </w:tcPr>
                <w:p w14:paraId="353E7E25">
                  <w:pPr>
                    <w:jc w:val="center"/>
                    <w:rPr>
                      <w:rFonts w:ascii="Times New Roman" w:hAnsi="Times New Roman"/>
                      <w:color w:val="auto"/>
                      <w:szCs w:val="21"/>
                    </w:rPr>
                  </w:pPr>
                  <w:r>
                    <w:rPr>
                      <w:rFonts w:hint="eastAsia" w:ascii="Times New Roman" w:hAnsi="Times New Roman"/>
                      <w:color w:val="auto"/>
                      <w:szCs w:val="21"/>
                      <w:lang w:val="en-US" w:eastAsia="zh-CN"/>
                    </w:rPr>
                    <w:t>N2</w:t>
                  </w:r>
                  <w:r>
                    <w:rPr>
                      <w:rFonts w:ascii="Times New Roman"/>
                      <w:color w:val="auto"/>
                      <w:szCs w:val="21"/>
                    </w:rPr>
                    <w:t>（</w:t>
                  </w:r>
                  <w:r>
                    <w:rPr>
                      <w:rFonts w:hint="eastAsia" w:ascii="Times New Roman"/>
                      <w:color w:val="auto"/>
                      <w:szCs w:val="21"/>
                      <w:lang w:val="en-US" w:eastAsia="zh-CN"/>
                    </w:rPr>
                    <w:t>史圩孜</w:t>
                  </w:r>
                  <w:r>
                    <w:rPr>
                      <w:rFonts w:ascii="Times New Roman"/>
                      <w:color w:val="auto"/>
                      <w:szCs w:val="21"/>
                    </w:rPr>
                    <w:t>）</w:t>
                  </w:r>
                </w:p>
              </w:tc>
              <w:tc>
                <w:tcPr>
                  <w:tcW w:w="833" w:type="pct"/>
                  <w:noWrap w:val="0"/>
                  <w:vAlign w:val="center"/>
                </w:tcPr>
                <w:p w14:paraId="0EAA2B84">
                  <w:pPr>
                    <w:jc w:val="center"/>
                    <w:rPr>
                      <w:rFonts w:hint="eastAsia" w:ascii="Times New Roman" w:hAnsi="Times New Roman" w:eastAsia="宋体"/>
                      <w:color w:val="auto"/>
                      <w:szCs w:val="21"/>
                      <w:lang w:eastAsia="zh-CN"/>
                    </w:rPr>
                  </w:pPr>
                  <w:r>
                    <w:rPr>
                      <w:rFonts w:hint="eastAsia" w:ascii="Times New Roman" w:hAnsi="Times New Roman"/>
                      <w:color w:val="auto"/>
                      <w:szCs w:val="21"/>
                      <w:lang w:val="en-US" w:eastAsia="zh-CN"/>
                    </w:rPr>
                    <w:t>E</w:t>
                  </w:r>
                </w:p>
              </w:tc>
              <w:tc>
                <w:tcPr>
                  <w:tcW w:w="1498" w:type="pct"/>
                  <w:noWrap w:val="0"/>
                  <w:vAlign w:val="center"/>
                </w:tcPr>
                <w:p w14:paraId="741D2179">
                  <w:pPr>
                    <w:jc w:val="center"/>
                    <w:rPr>
                      <w:rFonts w:ascii="Times New Roman" w:hAnsi="Times New Roman"/>
                      <w:color w:val="auto"/>
                      <w:szCs w:val="21"/>
                    </w:rPr>
                  </w:pPr>
                  <w:r>
                    <w:rPr>
                      <w:rFonts w:ascii="Times New Roman"/>
                      <w:color w:val="auto"/>
                      <w:szCs w:val="21"/>
                    </w:rPr>
                    <w:t>敏感点噪声</w:t>
                  </w:r>
                </w:p>
              </w:tc>
              <w:tc>
                <w:tcPr>
                  <w:tcW w:w="1496" w:type="pct"/>
                  <w:noWrap w:val="0"/>
                  <w:vAlign w:val="center"/>
                </w:tcPr>
                <w:p w14:paraId="6451F839">
                  <w:pPr>
                    <w:jc w:val="center"/>
                    <w:rPr>
                      <w:rFonts w:hint="default" w:ascii="Times New Roman" w:eastAsia="宋体"/>
                      <w:color w:val="auto"/>
                      <w:szCs w:val="21"/>
                      <w:lang w:val="en-US" w:eastAsia="zh-CN"/>
                    </w:rPr>
                  </w:pPr>
                  <w:r>
                    <w:rPr>
                      <w:rFonts w:hint="eastAsia" w:ascii="Times New Roman"/>
                      <w:color w:val="auto"/>
                      <w:szCs w:val="21"/>
                      <w:lang w:val="en-US" w:eastAsia="zh-CN"/>
                    </w:rPr>
                    <w:t>29m</w:t>
                  </w:r>
                </w:p>
              </w:tc>
            </w:tr>
            <w:tr w14:paraId="3A2C7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000" w:type="pct"/>
                  <w:gridSpan w:val="4"/>
                  <w:noWrap w:val="0"/>
                  <w:vAlign w:val="center"/>
                </w:tcPr>
                <w:p w14:paraId="693F5100">
                  <w:pPr>
                    <w:jc w:val="center"/>
                    <w:rPr>
                      <w:rFonts w:hint="eastAsia" w:ascii="Times New Roman" w:hAnsi="Times New Roman"/>
                      <w:color w:val="auto"/>
                      <w:szCs w:val="21"/>
                      <w:lang w:val="en-US" w:eastAsia="zh-CN"/>
                    </w:rPr>
                  </w:pPr>
                  <w:r>
                    <w:rPr>
                      <w:rFonts w:hint="eastAsia" w:ascii="Times New Roman" w:hAnsi="Times New Roman"/>
                      <w:color w:val="auto"/>
                      <w:szCs w:val="21"/>
                      <w:lang w:val="en-US" w:eastAsia="zh-CN"/>
                    </w:rPr>
                    <w:t>4</w:t>
                  </w:r>
                  <w:r>
                    <w:rPr>
                      <w:rFonts w:ascii="Times New Roman"/>
                      <w:color w:val="auto"/>
                      <w:szCs w:val="21"/>
                    </w:rPr>
                    <w:t>号井场</w:t>
                  </w:r>
                </w:p>
              </w:tc>
            </w:tr>
            <w:tr w14:paraId="2D206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171" w:type="pct"/>
                  <w:noWrap w:val="0"/>
                  <w:vAlign w:val="center"/>
                </w:tcPr>
                <w:p w14:paraId="0A019366">
                  <w:pPr>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N1</w:t>
                  </w:r>
                  <w:r>
                    <w:rPr>
                      <w:rFonts w:ascii="Times New Roman"/>
                      <w:color w:val="auto"/>
                      <w:szCs w:val="21"/>
                    </w:rPr>
                    <w:t>（</w:t>
                  </w:r>
                  <w:r>
                    <w:rPr>
                      <w:rFonts w:hint="eastAsia" w:ascii="Times New Roman"/>
                      <w:color w:val="auto"/>
                      <w:szCs w:val="21"/>
                      <w:lang w:val="en-US" w:eastAsia="zh-CN"/>
                    </w:rPr>
                    <w:t>史圩孜</w:t>
                  </w:r>
                  <w:r>
                    <w:rPr>
                      <w:rFonts w:ascii="Times New Roman"/>
                      <w:color w:val="auto"/>
                      <w:szCs w:val="21"/>
                    </w:rPr>
                    <w:t>）</w:t>
                  </w:r>
                </w:p>
              </w:tc>
              <w:tc>
                <w:tcPr>
                  <w:tcW w:w="833" w:type="pct"/>
                  <w:noWrap w:val="0"/>
                  <w:vAlign w:val="center"/>
                </w:tcPr>
                <w:p w14:paraId="5FFFE9F6">
                  <w:pPr>
                    <w:jc w:val="center"/>
                    <w:rPr>
                      <w:rFonts w:hint="eastAsia" w:ascii="Times New Roman" w:hAnsi="Times New Roman" w:eastAsia="宋体"/>
                      <w:color w:val="auto"/>
                      <w:szCs w:val="21"/>
                      <w:lang w:eastAsia="zh-CN"/>
                    </w:rPr>
                  </w:pPr>
                  <w:r>
                    <w:rPr>
                      <w:rFonts w:hint="eastAsia" w:ascii="Times New Roman" w:hAnsi="Times New Roman"/>
                      <w:color w:val="auto"/>
                      <w:szCs w:val="21"/>
                      <w:lang w:val="en-US" w:eastAsia="zh-CN"/>
                    </w:rPr>
                    <w:t>S</w:t>
                  </w:r>
                </w:p>
              </w:tc>
              <w:tc>
                <w:tcPr>
                  <w:tcW w:w="1498" w:type="pct"/>
                  <w:noWrap w:val="0"/>
                  <w:vAlign w:val="center"/>
                </w:tcPr>
                <w:p w14:paraId="30639D9A">
                  <w:pPr>
                    <w:jc w:val="center"/>
                    <w:rPr>
                      <w:rFonts w:ascii="Times New Roman" w:hAnsi="Times New Roman"/>
                      <w:color w:val="auto"/>
                      <w:szCs w:val="21"/>
                    </w:rPr>
                  </w:pPr>
                  <w:r>
                    <w:rPr>
                      <w:rFonts w:ascii="Times New Roman"/>
                      <w:color w:val="auto"/>
                      <w:szCs w:val="21"/>
                    </w:rPr>
                    <w:t>敏感点噪声</w:t>
                  </w:r>
                </w:p>
              </w:tc>
              <w:tc>
                <w:tcPr>
                  <w:tcW w:w="1496" w:type="pct"/>
                  <w:noWrap w:val="0"/>
                  <w:vAlign w:val="center"/>
                </w:tcPr>
                <w:p w14:paraId="48B6A330">
                  <w:pPr>
                    <w:jc w:val="center"/>
                    <w:rPr>
                      <w:rFonts w:hint="default" w:ascii="Times New Roman" w:eastAsia="宋体"/>
                      <w:color w:val="auto"/>
                      <w:szCs w:val="21"/>
                      <w:lang w:val="en-US" w:eastAsia="zh-CN"/>
                    </w:rPr>
                  </w:pPr>
                  <w:r>
                    <w:rPr>
                      <w:rFonts w:hint="eastAsia" w:ascii="Times New Roman"/>
                      <w:color w:val="auto"/>
                      <w:szCs w:val="21"/>
                      <w:lang w:val="en-US" w:eastAsia="zh-CN"/>
                    </w:rPr>
                    <w:t>10m</w:t>
                  </w:r>
                </w:p>
              </w:tc>
            </w:tr>
          </w:tbl>
          <w:p w14:paraId="59A27B5C">
            <w:pPr>
              <w:pStyle w:val="23"/>
              <w:jc w:val="center"/>
              <w:rPr>
                <w:rFonts w:hint="eastAsia"/>
                <w:color w:val="auto"/>
              </w:rPr>
            </w:pPr>
            <w:r>
              <w:rPr>
                <w:color w:val="auto"/>
                <w:sz w:val="24"/>
              </w:rPr>
              <mc:AlternateContent>
                <mc:Choice Requires="wps">
                  <w:drawing>
                    <wp:anchor distT="0" distB="0" distL="114300" distR="114300" simplePos="0" relativeHeight="251659264" behindDoc="0" locked="0" layoutInCell="1" allowOverlap="1">
                      <wp:simplePos x="0" y="0"/>
                      <wp:positionH relativeFrom="column">
                        <wp:posOffset>2887980</wp:posOffset>
                      </wp:positionH>
                      <wp:positionV relativeFrom="paragraph">
                        <wp:posOffset>957580</wp:posOffset>
                      </wp:positionV>
                      <wp:extent cx="685165" cy="285750"/>
                      <wp:effectExtent l="0" t="0" r="0" b="0"/>
                      <wp:wrapNone/>
                      <wp:docPr id="7" name="文本框 7"/>
                      <wp:cNvGraphicFramePr/>
                      <a:graphic xmlns:a="http://schemas.openxmlformats.org/drawingml/2006/main">
                        <a:graphicData uri="http://schemas.microsoft.com/office/word/2010/wordprocessingShape">
                          <wps:wsp>
                            <wps:cNvSpPr txBox="1"/>
                            <wps:spPr>
                              <a:xfrm>
                                <a:off x="4243070" y="2618105"/>
                                <a:ext cx="685165"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A5EFFA">
                                  <w:pPr>
                                    <w:rPr>
                                      <w:rFonts w:hint="default" w:eastAsia="宋体"/>
                                      <w:b/>
                                      <w:bCs/>
                                      <w:color w:val="F5B482" w:themeColor="accent2" w:themeTint="99"/>
                                      <w:lang w:val="en-US" w:eastAsia="zh-CN"/>
                                      <w14:textFill>
                                        <w14:solidFill>
                                          <w14:schemeClr w14:val="accent2">
                                            <w14:lumMod w14:val="60000"/>
                                            <w14:lumOff w14:val="40000"/>
                                          </w14:schemeClr>
                                        </w14:solidFill>
                                      </w14:textFill>
                                    </w:rPr>
                                  </w:pPr>
                                  <w:r>
                                    <w:rPr>
                                      <w:rFonts w:hint="eastAsia"/>
                                      <w:b/>
                                      <w:bCs/>
                                      <w:color w:val="F5B482" w:themeColor="accent2" w:themeTint="99"/>
                                      <w:lang w:val="en-US" w:eastAsia="zh-CN"/>
                                      <w14:textFill>
                                        <w14:solidFill>
                                          <w14:schemeClr w14:val="accent2">
                                            <w14:lumMod w14:val="60000"/>
                                            <w14:lumOff w14:val="40000"/>
                                          </w14:schemeClr>
                                        </w14:solidFill>
                                      </w14:textFill>
                                    </w:rPr>
                                    <w:t>史圩孜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7.4pt;margin-top:75.4pt;height:22.5pt;width:53.95pt;z-index:251659264;mso-width-relative:page;mso-height-relative:page;" filled="f" stroked="f" coordsize="21600,21600" o:gfxdata="UEsDBAoAAAAAAIdO4kAAAAAAAAAAAAAAAAAEAAAAZHJzL1BLAwQUAAAACACHTuJAARnRKdsAAAAL&#10;AQAADwAAAGRycy9kb3ducmV2LnhtbE2PS0/DMBCE70j8B2uRuFG7UV1CiFOhSBUSgkNLL9yceJtE&#10;+BFi9wG/nuVUbrs7o9lvytXZWXbEKQ7BK5jPBDD0bTCD7xTs3td3ObCYtDfaBo8KvjHCqrq+KnVh&#10;wslv8LhNHaMQHwutoE9pLDiPbY9Ox1kY0ZO2D5PTidap42bSJwp3lmdCLLnTg6cPvR6x7rH93B6c&#10;gpd6/aY3TebyH1s/v+6fxq/dh1Tq9mYuHoElPKeLGf7wCR0qYmrCwZvIrIKFXBB6IkEKGsghl9k9&#10;sIYuDzIHXpX8f4fqF1BLAwQUAAAACACHTuJAR6PZOUYCAABxBAAADgAAAGRycy9lMm9Eb2MueG1s&#10;rVTNjtMwEL4j8Q6W7zRNt39UTVdlqyKkFbtSQZxdx2ki2R5ju03KA8AbcOLCnefqczB20t2ycNgD&#10;F3fsmXwz3zcznV83SpKDsK4CndG016dEaA55pXcZ/fhh/WpKifNM50yCFhk9CkevFy9fzGszEwMo&#10;QebCEgTRblabjJbem1mSOF4KxVwPjNDoLMAq5vFqd0luWY3oSiaDfn+c1GBzY4EL5/B11Tpph2if&#10;AwhFUXGxAr5XQvsW1QrJPFJyZWUcXcRqi0Jwf1cUTngiM4pMfTwxCdrbcCaLOZvtLDNlxbsS2HNK&#10;eMJJsUpj0geoFfOM7G31F5SquAUHhe9xUElLJCqCLNL+E202JTMickGpnXkQ3f0/WP7+cG9JlWd0&#10;QolmCht++v7t9OPX6edXMgny1MbNMGpjMM43b6DBoTm/O3wMrJvCqvCLfAj6h4PhVX+CEh8zOhin&#10;07Q/aoUWjSccA8bTUToeUcJDwHQ0GcVGJI9Axjr/VoAiwcioxT5Gednh1nksCkPPISGvhnUlZeyl&#10;1KTGBFcI+YcHv5AaPwx02rKD5Ztt03HcQn5EihbaGXGGrytMfsucv2cWhwL54Nr4OzwKCZgEOouS&#10;EuyXf72HeOwVeimpccgy6j7vmRWUyHcau/g6HQ7DVMbLcDQZ4MVeeraXHr1XN4BznOKCGh7NEO/l&#10;2SwsqE+4XcuQFV1Mc8ydUX82b3w7+ridXCyXMQjn0DB/qzeGB+hWtOXeQ1FFpYNMrTadejiJsQHd&#10;1oRRv7zHqMd/is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ARnRKdsAAAALAQAADwAAAAAAAAAB&#10;ACAAAAAiAAAAZHJzL2Rvd25yZXYueG1sUEsBAhQAFAAAAAgAh07iQEej2TlGAgAAcQQAAA4AAAAA&#10;AAAAAQAgAAAAKgEAAGRycy9lMm9Eb2MueG1sUEsFBgAAAAAGAAYAWQEAAOIFAAAAAA==&#10;">
                      <v:fill on="f" focussize="0,0"/>
                      <v:stroke on="f" weight="0.5pt"/>
                      <v:imagedata o:title=""/>
                      <o:lock v:ext="edit" aspectratio="f"/>
                      <v:textbox>
                        <w:txbxContent>
                          <w:p w14:paraId="48A5EFFA">
                            <w:pPr>
                              <w:rPr>
                                <w:rFonts w:hint="default" w:eastAsia="宋体"/>
                                <w:b/>
                                <w:bCs/>
                                <w:color w:val="F5B482" w:themeColor="accent2" w:themeTint="99"/>
                                <w:lang w:val="en-US" w:eastAsia="zh-CN"/>
                                <w14:textFill>
                                  <w14:solidFill>
                                    <w14:schemeClr w14:val="accent2">
                                      <w14:lumMod w14:val="60000"/>
                                      <w14:lumOff w14:val="40000"/>
                                    </w14:schemeClr>
                                  </w14:solidFill>
                                </w14:textFill>
                              </w:rPr>
                            </w:pPr>
                            <w:r>
                              <w:rPr>
                                <w:rFonts w:hint="eastAsia"/>
                                <w:b/>
                                <w:bCs/>
                                <w:color w:val="F5B482" w:themeColor="accent2" w:themeTint="99"/>
                                <w:lang w:val="en-US" w:eastAsia="zh-CN"/>
                                <w14:textFill>
                                  <w14:solidFill>
                                    <w14:schemeClr w14:val="accent2">
                                      <w14:lumMod w14:val="60000"/>
                                      <w14:lumOff w14:val="40000"/>
                                    </w14:schemeClr>
                                  </w14:solidFill>
                                </w14:textFill>
                              </w:rPr>
                              <w:t>史圩孜</w:t>
                            </w:r>
                          </w:p>
                        </w:txbxContent>
                      </v:textbox>
                    </v:shape>
                  </w:pict>
                </mc:Fallback>
              </mc:AlternateContent>
            </w:r>
            <w:r>
              <w:rPr>
                <w:color w:val="auto"/>
              </w:rPr>
              <w:drawing>
                <wp:anchor distT="0" distB="0" distL="114300" distR="114300" simplePos="0" relativeHeight="251662336" behindDoc="0" locked="0" layoutInCell="1" allowOverlap="1">
                  <wp:simplePos x="0" y="0"/>
                  <wp:positionH relativeFrom="column">
                    <wp:posOffset>4511675</wp:posOffset>
                  </wp:positionH>
                  <wp:positionV relativeFrom="paragraph">
                    <wp:posOffset>24130</wp:posOffset>
                  </wp:positionV>
                  <wp:extent cx="468630" cy="488950"/>
                  <wp:effectExtent l="0" t="0" r="7620" b="6350"/>
                  <wp:wrapNone/>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5"/>
                          <a:stretch>
                            <a:fillRect/>
                          </a:stretch>
                        </pic:blipFill>
                        <pic:spPr>
                          <a:xfrm>
                            <a:off x="0" y="0"/>
                            <a:ext cx="468630" cy="488950"/>
                          </a:xfrm>
                          <a:prstGeom prst="rect">
                            <a:avLst/>
                          </a:prstGeom>
                          <a:noFill/>
                          <a:ln>
                            <a:noFill/>
                          </a:ln>
                        </pic:spPr>
                      </pic:pic>
                    </a:graphicData>
                  </a:graphic>
                </wp:anchor>
              </w:drawing>
            </w:r>
            <w:r>
              <w:rPr>
                <w:color w:val="auto"/>
              </w:rPr>
              <w:drawing>
                <wp:inline distT="0" distB="0" distL="114300" distR="114300">
                  <wp:extent cx="4984750" cy="3947795"/>
                  <wp:effectExtent l="0" t="0" r="6350" b="1460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6"/>
                          <a:stretch>
                            <a:fillRect/>
                          </a:stretch>
                        </pic:blipFill>
                        <pic:spPr>
                          <a:xfrm>
                            <a:off x="0" y="0"/>
                            <a:ext cx="4984750" cy="3947795"/>
                          </a:xfrm>
                          <a:prstGeom prst="rect">
                            <a:avLst/>
                          </a:prstGeom>
                          <a:noFill/>
                          <a:ln>
                            <a:noFill/>
                          </a:ln>
                        </pic:spPr>
                      </pic:pic>
                    </a:graphicData>
                  </a:graphic>
                </wp:inline>
              </w:drawing>
            </w:r>
          </w:p>
          <w:p w14:paraId="536AAACA">
            <w:pPr>
              <w:spacing w:line="360" w:lineRule="auto"/>
              <w:jc w:val="center"/>
              <w:rPr>
                <w:rFonts w:hint="eastAsia" w:hAnsi="宋体"/>
                <w:b/>
                <w:bCs/>
                <w:snapToGrid w:val="0"/>
                <w:color w:val="auto"/>
                <w:szCs w:val="21"/>
              </w:rPr>
            </w:pPr>
            <w:r>
              <w:rPr>
                <w:rFonts w:hAnsi="宋体"/>
                <w:b/>
                <w:bCs/>
                <w:snapToGrid w:val="0"/>
                <w:color w:val="auto"/>
                <w:szCs w:val="21"/>
              </w:rPr>
              <w:t>图</w:t>
            </w:r>
            <w:r>
              <w:rPr>
                <w:b/>
                <w:bCs/>
                <w:snapToGrid w:val="0"/>
                <w:color w:val="auto"/>
                <w:szCs w:val="21"/>
              </w:rPr>
              <w:t>3-</w:t>
            </w:r>
            <w:r>
              <w:rPr>
                <w:rFonts w:hint="eastAsia"/>
                <w:b/>
                <w:bCs/>
                <w:snapToGrid w:val="0"/>
                <w:color w:val="auto"/>
                <w:szCs w:val="21"/>
              </w:rPr>
              <w:t>1</w:t>
            </w:r>
            <w:r>
              <w:rPr>
                <w:b/>
                <w:bCs/>
                <w:snapToGrid w:val="0"/>
                <w:color w:val="auto"/>
                <w:szCs w:val="21"/>
              </w:rPr>
              <w:t xml:space="preserve"> </w:t>
            </w:r>
            <w:r>
              <w:rPr>
                <w:rFonts w:hint="eastAsia" w:hAnsi="宋体"/>
                <w:b/>
                <w:bCs/>
                <w:snapToGrid w:val="0"/>
                <w:color w:val="auto"/>
                <w:szCs w:val="21"/>
              </w:rPr>
              <w:t>噪声</w:t>
            </w:r>
            <w:r>
              <w:rPr>
                <w:rFonts w:hAnsi="宋体"/>
                <w:b/>
                <w:bCs/>
                <w:snapToGrid w:val="0"/>
                <w:color w:val="auto"/>
                <w:szCs w:val="21"/>
              </w:rPr>
              <w:t>监测点位图（</w:t>
            </w:r>
            <w:r>
              <w:rPr>
                <w:rFonts w:hint="eastAsia" w:hAnsi="宋体"/>
                <w:b/>
                <w:bCs/>
                <w:snapToGrid w:val="0"/>
                <w:color w:val="auto"/>
                <w:szCs w:val="21"/>
                <w:lang w:val="en-US" w:eastAsia="zh-CN"/>
              </w:rPr>
              <w:t>2</w:t>
            </w:r>
            <w:r>
              <w:rPr>
                <w:rFonts w:hint="eastAsia" w:hAnsi="宋体"/>
                <w:b/>
                <w:bCs/>
                <w:snapToGrid w:val="0"/>
                <w:color w:val="auto"/>
                <w:szCs w:val="21"/>
              </w:rPr>
              <w:t>号井场</w:t>
            </w:r>
            <w:r>
              <w:rPr>
                <w:rFonts w:hAnsi="宋体"/>
                <w:b/>
                <w:bCs/>
                <w:snapToGrid w:val="0"/>
                <w:color w:val="auto"/>
                <w:szCs w:val="21"/>
              </w:rPr>
              <w:t>）</w:t>
            </w:r>
          </w:p>
          <w:p w14:paraId="1A56EB31">
            <w:pPr>
              <w:spacing w:line="360" w:lineRule="auto"/>
              <w:jc w:val="center"/>
              <w:rPr>
                <w:rFonts w:hint="eastAsia" w:hAnsi="宋体"/>
                <w:b/>
                <w:bCs/>
                <w:snapToGrid w:val="0"/>
                <w:color w:val="auto"/>
                <w:szCs w:val="21"/>
              </w:rPr>
            </w:pPr>
            <w:r>
              <w:rPr>
                <w:color w:val="auto"/>
                <w:sz w:val="24"/>
              </w:rPr>
              <mc:AlternateContent>
                <mc:Choice Requires="wps">
                  <w:drawing>
                    <wp:anchor distT="0" distB="0" distL="114300" distR="114300" simplePos="0" relativeHeight="251660288" behindDoc="0" locked="0" layoutInCell="1" allowOverlap="1">
                      <wp:simplePos x="0" y="0"/>
                      <wp:positionH relativeFrom="column">
                        <wp:posOffset>3459480</wp:posOffset>
                      </wp:positionH>
                      <wp:positionV relativeFrom="paragraph">
                        <wp:posOffset>2470150</wp:posOffset>
                      </wp:positionV>
                      <wp:extent cx="685165" cy="285750"/>
                      <wp:effectExtent l="0" t="0" r="0" b="0"/>
                      <wp:wrapNone/>
                      <wp:docPr id="8" name="文本框 8"/>
                      <wp:cNvGraphicFramePr/>
                      <a:graphic xmlns:a="http://schemas.openxmlformats.org/drawingml/2006/main">
                        <a:graphicData uri="http://schemas.microsoft.com/office/word/2010/wordprocessingShape">
                          <wps:wsp>
                            <wps:cNvSpPr txBox="1"/>
                            <wps:spPr>
                              <a:xfrm>
                                <a:off x="0" y="0"/>
                                <a:ext cx="685165"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EA3FCA">
                                  <w:pPr>
                                    <w:rPr>
                                      <w:rFonts w:hint="default" w:eastAsia="宋体"/>
                                      <w:b/>
                                      <w:bCs/>
                                      <w:color w:val="F5B482" w:themeColor="accent2" w:themeTint="99"/>
                                      <w:lang w:val="en-US" w:eastAsia="zh-CN"/>
                                      <w14:textFill>
                                        <w14:solidFill>
                                          <w14:schemeClr w14:val="accent2">
                                            <w14:lumMod w14:val="60000"/>
                                            <w14:lumOff w14:val="40000"/>
                                          </w14:schemeClr>
                                        </w14:solidFill>
                                      </w14:textFill>
                                    </w:rPr>
                                  </w:pPr>
                                  <w:r>
                                    <w:rPr>
                                      <w:rFonts w:hint="eastAsia"/>
                                      <w:b/>
                                      <w:bCs/>
                                      <w:color w:val="F5B482" w:themeColor="accent2" w:themeTint="99"/>
                                      <w:lang w:val="en-US" w:eastAsia="zh-CN"/>
                                      <w14:textFill>
                                        <w14:solidFill>
                                          <w14:schemeClr w14:val="accent2">
                                            <w14:lumMod w14:val="60000"/>
                                            <w14:lumOff w14:val="40000"/>
                                          </w14:schemeClr>
                                        </w14:solidFill>
                                      </w14:textFill>
                                    </w:rPr>
                                    <w:t>史圩孜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2.4pt;margin-top:194.5pt;height:22.5pt;width:53.95pt;z-index:251660288;mso-width-relative:page;mso-height-relative:page;" filled="f" stroked="f" coordsize="21600,21600" o:gfxdata="UEsDBAoAAAAAAIdO4kAAAAAAAAAAAAAAAAAEAAAAZHJzL1BLAwQUAAAACACHTuJAr+N4/9wAAAAL&#10;AQAADwAAAGRycy9kb3ducmV2LnhtbE2PzU7DMBCE70i8g7VI3KjdNCkhxKlQpAoJ0UNLL9yceJtE&#10;2OsQuz/w9JgTHEczmvmmXF2sYSec/OBIwnwmgCG1Tg/USdi/re9yYD4o0so4Qglf6GFVXV+VqtDu&#10;TFs87ULHYgn5QknoQxgLzn3bo1V+5kak6B3cZFWIcuq4ntQ5llvDEyGW3KqB4kKvRqx7bD92Ryvh&#10;pV5v1LZJbP5t6ufXw9P4uX/PpLy9mYtHYAEv4S8Mv/gRHarI1Lgjac+MhCxNI3qQsMgf4qmYWGbJ&#10;PbBGQrpIBfCq5P8/VD9QSwMEFAAAAAgAh07iQEs5hxw6AgAAZQQAAA4AAABkcnMvZTJvRG9jLnht&#10;bK1UwW4TMRC9I/EPlu90k9C0IeqmCq2KkCpaqSDOjtfbXcn2GNvpbvkA+IOeuHDnu/IdPHuTthQO&#10;PXDxjmfGM/PezOzRcW80u1E+tGRLPt4bcaaspKq11yX/9PHs1YyzEIWthCarSn6rAj9evHxx1Lm5&#10;mlBDulKeIYgN886VvInRzYsiyEYZEfbIKQtjTd6IiKu/LiovOkQ3upiMRgdFR75ynqQKAdrTwci3&#10;Ef1zAlJdt1KdklwbZeMQ1SstIiCFpnWBL3K1da1kvKjroCLTJQfSmE8kgbxKZ7E4EvNrL1zTym0J&#10;4jklPMFkRGuR9D7UqYiCrX37VyjTSk+B6rgnyRQDkMwIUIxHT7i5aoRTGQuoDu6e9PD/wsoPN5ee&#10;tVXJ0XYrDBq+ufu++fFr8/MbmyV6Ohfm8Lpy8Iv9W+oxNDt9gDKh7mtv0hd4GOwg9/aeXNVHJqE8&#10;mE3HB1POJEyT2fRwmskvHh47H+I7RYYloeQevcuUipvzEFEIXHcuKZels1br3D9tWYcErxHyDwte&#10;aIuHCcJQapJiv+q3uFZU3QKWp2EugpNnLZKfixAvhccgAAlWJV7gqDUhCW0lzhryX/+lT/7oD6yc&#10;dRiskocva+EVZ/q9RefejPf30yTmy/70cIKLf2xZPbbYtTkhzO4YS+lkFpN/1Dux9mQ+Y6OWKStM&#10;wkrkLnnciSdxGHdspFTLZXbC7DkRz+2Vkyn0QNpyHaluM9OJpoGbLXuYvtyA7aak8X58z14Pf4fF&#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jeP/cAAAACwEAAA8AAAAAAAAAAQAgAAAAIgAAAGRy&#10;cy9kb3ducmV2LnhtbFBLAQIUABQAAAAIAIdO4kBLOYccOgIAAGUEAAAOAAAAAAAAAAEAIAAAACsB&#10;AABkcnMvZTJvRG9jLnhtbFBLBQYAAAAABgAGAFkBAADXBQAAAAA=&#10;">
                      <v:fill on="f" focussize="0,0"/>
                      <v:stroke on="f" weight="0.5pt"/>
                      <v:imagedata o:title=""/>
                      <o:lock v:ext="edit" aspectratio="f"/>
                      <v:textbox>
                        <w:txbxContent>
                          <w:p w14:paraId="54EA3FCA">
                            <w:pPr>
                              <w:rPr>
                                <w:rFonts w:hint="default" w:eastAsia="宋体"/>
                                <w:b/>
                                <w:bCs/>
                                <w:color w:val="F5B482" w:themeColor="accent2" w:themeTint="99"/>
                                <w:lang w:val="en-US" w:eastAsia="zh-CN"/>
                                <w14:textFill>
                                  <w14:solidFill>
                                    <w14:schemeClr w14:val="accent2">
                                      <w14:lumMod w14:val="60000"/>
                                      <w14:lumOff w14:val="40000"/>
                                    </w14:schemeClr>
                                  </w14:solidFill>
                                </w14:textFill>
                              </w:rPr>
                            </w:pPr>
                            <w:r>
                              <w:rPr>
                                <w:rFonts w:hint="eastAsia"/>
                                <w:b/>
                                <w:bCs/>
                                <w:color w:val="F5B482" w:themeColor="accent2" w:themeTint="99"/>
                                <w:lang w:val="en-US" w:eastAsia="zh-CN"/>
                                <w14:textFill>
                                  <w14:solidFill>
                                    <w14:schemeClr w14:val="accent2">
                                      <w14:lumMod w14:val="60000"/>
                                      <w14:lumOff w14:val="40000"/>
                                    </w14:schemeClr>
                                  </w14:solidFill>
                                </w14:textFill>
                              </w:rPr>
                              <w:t>史圩孜</w:t>
                            </w:r>
                          </w:p>
                        </w:txbxContent>
                      </v:textbox>
                    </v:shape>
                  </w:pict>
                </mc:Fallback>
              </mc:AlternateContent>
            </w:r>
            <w:r>
              <w:rPr>
                <w:color w:val="auto"/>
              </w:rPr>
              <w:drawing>
                <wp:anchor distT="0" distB="0" distL="114300" distR="114300" simplePos="0" relativeHeight="251663360" behindDoc="0" locked="0" layoutInCell="1" allowOverlap="1">
                  <wp:simplePos x="0" y="0"/>
                  <wp:positionH relativeFrom="column">
                    <wp:posOffset>4511675</wp:posOffset>
                  </wp:positionH>
                  <wp:positionV relativeFrom="paragraph">
                    <wp:posOffset>35560</wp:posOffset>
                  </wp:positionV>
                  <wp:extent cx="468630" cy="488950"/>
                  <wp:effectExtent l="0" t="0" r="7620" b="6350"/>
                  <wp:wrapNone/>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5"/>
                          <a:stretch>
                            <a:fillRect/>
                          </a:stretch>
                        </pic:blipFill>
                        <pic:spPr>
                          <a:xfrm>
                            <a:off x="0" y="0"/>
                            <a:ext cx="468630" cy="488950"/>
                          </a:xfrm>
                          <a:prstGeom prst="rect">
                            <a:avLst/>
                          </a:prstGeom>
                          <a:noFill/>
                          <a:ln>
                            <a:noFill/>
                          </a:ln>
                        </pic:spPr>
                      </pic:pic>
                    </a:graphicData>
                  </a:graphic>
                </wp:anchor>
              </w:drawing>
            </w:r>
            <w:r>
              <w:rPr>
                <w:color w:val="auto"/>
              </w:rPr>
              <w:drawing>
                <wp:inline distT="0" distB="0" distL="114300" distR="114300">
                  <wp:extent cx="4978400" cy="3573780"/>
                  <wp:effectExtent l="0" t="0" r="12700" b="762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7"/>
                          <a:stretch>
                            <a:fillRect/>
                          </a:stretch>
                        </pic:blipFill>
                        <pic:spPr>
                          <a:xfrm>
                            <a:off x="0" y="0"/>
                            <a:ext cx="4978400" cy="3573780"/>
                          </a:xfrm>
                          <a:prstGeom prst="rect">
                            <a:avLst/>
                          </a:prstGeom>
                          <a:noFill/>
                          <a:ln>
                            <a:noFill/>
                          </a:ln>
                        </pic:spPr>
                      </pic:pic>
                    </a:graphicData>
                  </a:graphic>
                </wp:inline>
              </w:drawing>
            </w:r>
          </w:p>
          <w:p w14:paraId="46FEB9DE">
            <w:pPr>
              <w:spacing w:line="360" w:lineRule="auto"/>
              <w:jc w:val="center"/>
              <w:rPr>
                <w:rFonts w:ascii="Times New Roman" w:hAnsi="Times New Roman"/>
                <w:b/>
                <w:bCs/>
                <w:snapToGrid w:val="0"/>
                <w:color w:val="auto"/>
                <w:szCs w:val="21"/>
              </w:rPr>
            </w:pPr>
            <w:r>
              <w:rPr>
                <w:rFonts w:ascii="Times New Roman" w:hAnsi="Times New Roman"/>
                <w:b/>
                <w:bCs/>
                <w:snapToGrid w:val="0"/>
                <w:color w:val="auto"/>
                <w:szCs w:val="21"/>
              </w:rPr>
              <w:t>图3-2 噪声监测点位图（</w:t>
            </w:r>
            <w:r>
              <w:rPr>
                <w:rFonts w:hint="eastAsia" w:ascii="Times New Roman" w:hAnsi="Times New Roman"/>
                <w:b/>
                <w:bCs/>
                <w:snapToGrid w:val="0"/>
                <w:color w:val="auto"/>
                <w:szCs w:val="21"/>
                <w:lang w:val="en-US" w:eastAsia="zh-CN"/>
              </w:rPr>
              <w:t>3</w:t>
            </w:r>
            <w:r>
              <w:rPr>
                <w:rFonts w:ascii="Times New Roman" w:hAnsi="Times New Roman"/>
                <w:b/>
                <w:bCs/>
                <w:snapToGrid w:val="0"/>
                <w:color w:val="auto"/>
                <w:szCs w:val="21"/>
              </w:rPr>
              <w:t>号井场）</w:t>
            </w:r>
          </w:p>
          <w:p w14:paraId="31A623FA">
            <w:pPr>
              <w:pStyle w:val="23"/>
              <w:rPr>
                <w:rFonts w:ascii="Times New Roman" w:hAnsi="Times New Roman"/>
                <w:color w:val="auto"/>
              </w:rPr>
            </w:pPr>
            <w:r>
              <w:rPr>
                <w:color w:val="auto"/>
                <w:sz w:val="24"/>
              </w:rPr>
              <mc:AlternateContent>
                <mc:Choice Requires="wps">
                  <w:drawing>
                    <wp:anchor distT="0" distB="0" distL="114300" distR="114300" simplePos="0" relativeHeight="251661312" behindDoc="0" locked="0" layoutInCell="1" allowOverlap="1">
                      <wp:simplePos x="0" y="0"/>
                      <wp:positionH relativeFrom="column">
                        <wp:posOffset>1735455</wp:posOffset>
                      </wp:positionH>
                      <wp:positionV relativeFrom="paragraph">
                        <wp:posOffset>2091055</wp:posOffset>
                      </wp:positionV>
                      <wp:extent cx="694055" cy="295275"/>
                      <wp:effectExtent l="0" t="0" r="0" b="0"/>
                      <wp:wrapNone/>
                      <wp:docPr id="9" name="文本框 9"/>
                      <wp:cNvGraphicFramePr/>
                      <a:graphic xmlns:a="http://schemas.openxmlformats.org/drawingml/2006/main">
                        <a:graphicData uri="http://schemas.microsoft.com/office/word/2010/wordprocessingShape">
                          <wps:wsp>
                            <wps:cNvSpPr txBox="1"/>
                            <wps:spPr>
                              <a:xfrm>
                                <a:off x="0" y="0"/>
                                <a:ext cx="694055"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B95123">
                                  <w:pPr>
                                    <w:rPr>
                                      <w:rFonts w:hint="default" w:eastAsia="宋体"/>
                                      <w:b/>
                                      <w:bCs/>
                                      <w:color w:val="F5B482" w:themeColor="accent2" w:themeTint="99"/>
                                      <w:lang w:val="en-US" w:eastAsia="zh-CN"/>
                                      <w14:textFill>
                                        <w14:solidFill>
                                          <w14:schemeClr w14:val="accent2">
                                            <w14:lumMod w14:val="60000"/>
                                            <w14:lumOff w14:val="40000"/>
                                          </w14:schemeClr>
                                        </w14:solidFill>
                                      </w14:textFill>
                                    </w:rPr>
                                  </w:pPr>
                                  <w:r>
                                    <w:rPr>
                                      <w:rFonts w:hint="eastAsia"/>
                                      <w:b/>
                                      <w:bCs/>
                                      <w:color w:val="F5B482" w:themeColor="accent2" w:themeTint="99"/>
                                      <w:lang w:val="en-US" w:eastAsia="zh-CN"/>
                                      <w14:textFill>
                                        <w14:solidFill>
                                          <w14:schemeClr w14:val="accent2">
                                            <w14:lumMod w14:val="60000"/>
                                            <w14:lumOff w14:val="40000"/>
                                          </w14:schemeClr>
                                        </w14:solidFill>
                                      </w14:textFill>
                                    </w:rPr>
                                    <w:t>史圩孜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65pt;margin-top:164.65pt;height:23.25pt;width:54.65pt;z-index:251661312;mso-width-relative:page;mso-height-relative:page;" filled="f" stroked="f" coordsize="21600,21600" o:gfxdata="UEsDBAoAAAAAAIdO4kAAAAAAAAAAAAAAAAAEAAAAZHJzL1BLAwQUAAAACACHTuJAxfk8qtsAAAAL&#10;AQAADwAAAGRycy9kb3ducmV2LnhtbE2PTUvDQBCG74L/YRnBm900oW2M2RQJFEH00NqLt0l2mgT3&#10;I2a3H/rrHU96e4d5eOeZcn2xRpxoCoN3CuazBAS51uvBdQr2b5u7HESI6DQa70jBFwVYV9dXJRba&#10;n92WTrvYCS5xoUAFfYxjIWVoe7IYZn4kx7uDnyxGHqdO6gnPXG6NTJNkKS0Oji/0OFLdU/uxO1oF&#10;z/XmFbdNavNvUz+9HB7Hz/37Qqnbm3nyACLSJf7B8KvP6lCxU+OPTgdhFKSrLGNUQZbec2Aiy9Ml&#10;iIbDapGDrEr5/4fqB1BLAwQUAAAACACHTuJAQ0l/OTsCAABlBAAADgAAAGRycy9lMm9Eb2MueG1s&#10;rVTBjtMwEL0j8Q+W7zRpaXZp1XRVtipCWrErFcTZdZwmku0xttukfAD8AScu3PmufgdjJ+1WC4c9&#10;cHHHM5M3fm9mOrtplSR7YV0NOqfDQUqJ0ByKWm9z+unj6tUbSpxnumAStMjpQTh6M3/5YtaYqRhB&#10;BbIQliCIdtPG5LTy3kyTxPFKKOYGYITGYAlWMY9Xu00KyxpEVzIZpelV0oAtjAUunEPvsgvSHtE+&#10;BxDKsuZiCXynhPYdqhWSeaTkqto4Oo+vLUvB/X1ZOuGJzCky9fHEImhvwpnMZ2y6tcxUNe+fwJ7z&#10;hCecFKs1Fj1DLZlnZGfrv6BUzS04KP2Ag0o6IlERZDFMn2izrpgRkQtK7cxZdPf/YPmH/YMldZHT&#10;CSWaKWz48cf348/fx1/fyCTI0xg3xay1wTzfvoUWh+bkd+gMrNvSqvCLfAjGUdzDWVzResLReTUZ&#10;p1lGCcfQaJKNrrOAkjx+bKzz7wQoEoycWuxdlJTt75zvUk8poZaGVS1l7J/UpMECr7M0fnCOILjU&#10;WCNQ6J4aLN9u2p7XBooD0rLQzYUzfFVj8Tvm/AOzOAjIBFfF3+NRSsAi0FuUVGC//ssf8rE/GKWk&#10;wcHKqfuyY1ZQIt9r7NxkOB6HSYyXcXY9wou9jGwuI3qnbgFnd4hLaXg0Q76XJ7O0oD7jRi1CVQwx&#10;zbF2Tv3JvPXduONGcrFYxCScPcP8nV4bHqA7ORc7D2UdlQ4yddr06uH0xV71mxLG+/Iesx7/He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X5PKrbAAAACwEAAA8AAAAAAAAAAQAgAAAAIgAAAGRy&#10;cy9kb3ducmV2LnhtbFBLAQIUABQAAAAIAIdO4kBDSX85OwIAAGUEAAAOAAAAAAAAAAEAIAAAACoB&#10;AABkcnMvZTJvRG9jLnhtbFBLBQYAAAAABgAGAFkBAADXBQAAAAA=&#10;">
                      <v:fill on="f" focussize="0,0"/>
                      <v:stroke on="f" weight="0.5pt"/>
                      <v:imagedata o:title=""/>
                      <o:lock v:ext="edit" aspectratio="f"/>
                      <v:textbox>
                        <w:txbxContent>
                          <w:p w14:paraId="64B95123">
                            <w:pPr>
                              <w:rPr>
                                <w:rFonts w:hint="default" w:eastAsia="宋体"/>
                                <w:b/>
                                <w:bCs/>
                                <w:color w:val="F5B482" w:themeColor="accent2" w:themeTint="99"/>
                                <w:lang w:val="en-US" w:eastAsia="zh-CN"/>
                                <w14:textFill>
                                  <w14:solidFill>
                                    <w14:schemeClr w14:val="accent2">
                                      <w14:lumMod w14:val="60000"/>
                                      <w14:lumOff w14:val="40000"/>
                                    </w14:schemeClr>
                                  </w14:solidFill>
                                </w14:textFill>
                              </w:rPr>
                            </w:pPr>
                            <w:r>
                              <w:rPr>
                                <w:rFonts w:hint="eastAsia"/>
                                <w:b/>
                                <w:bCs/>
                                <w:color w:val="F5B482" w:themeColor="accent2" w:themeTint="99"/>
                                <w:lang w:val="en-US" w:eastAsia="zh-CN"/>
                                <w14:textFill>
                                  <w14:solidFill>
                                    <w14:schemeClr w14:val="accent2">
                                      <w14:lumMod w14:val="60000"/>
                                      <w14:lumOff w14:val="40000"/>
                                    </w14:schemeClr>
                                  </w14:solidFill>
                                </w14:textFill>
                              </w:rPr>
                              <w:t>史圩孜</w:t>
                            </w:r>
                          </w:p>
                        </w:txbxContent>
                      </v:textbox>
                    </v:shape>
                  </w:pict>
                </mc:Fallback>
              </mc:AlternateContent>
            </w:r>
            <w:r>
              <w:rPr>
                <w:color w:val="auto"/>
              </w:rPr>
              <w:drawing>
                <wp:anchor distT="0" distB="0" distL="114300" distR="114300" simplePos="0" relativeHeight="251664384" behindDoc="0" locked="0" layoutInCell="1" allowOverlap="1">
                  <wp:simplePos x="0" y="0"/>
                  <wp:positionH relativeFrom="column">
                    <wp:posOffset>4530725</wp:posOffset>
                  </wp:positionH>
                  <wp:positionV relativeFrom="paragraph">
                    <wp:posOffset>-4445</wp:posOffset>
                  </wp:positionV>
                  <wp:extent cx="468630" cy="488950"/>
                  <wp:effectExtent l="0" t="0" r="7620" b="6350"/>
                  <wp:wrapNone/>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5"/>
                          <a:stretch>
                            <a:fillRect/>
                          </a:stretch>
                        </pic:blipFill>
                        <pic:spPr>
                          <a:xfrm>
                            <a:off x="0" y="0"/>
                            <a:ext cx="468630" cy="488950"/>
                          </a:xfrm>
                          <a:prstGeom prst="rect">
                            <a:avLst/>
                          </a:prstGeom>
                          <a:noFill/>
                          <a:ln>
                            <a:noFill/>
                          </a:ln>
                        </pic:spPr>
                      </pic:pic>
                    </a:graphicData>
                  </a:graphic>
                </wp:anchor>
              </w:drawing>
            </w:r>
            <w:r>
              <w:rPr>
                <w:color w:val="auto"/>
              </w:rPr>
              <w:drawing>
                <wp:inline distT="0" distB="0" distL="114300" distR="114300">
                  <wp:extent cx="4976495" cy="3529330"/>
                  <wp:effectExtent l="0" t="0" r="14605" b="1397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8"/>
                          <a:stretch>
                            <a:fillRect/>
                          </a:stretch>
                        </pic:blipFill>
                        <pic:spPr>
                          <a:xfrm>
                            <a:off x="0" y="0"/>
                            <a:ext cx="4976495" cy="3529330"/>
                          </a:xfrm>
                          <a:prstGeom prst="rect">
                            <a:avLst/>
                          </a:prstGeom>
                          <a:noFill/>
                          <a:ln>
                            <a:noFill/>
                          </a:ln>
                        </pic:spPr>
                      </pic:pic>
                    </a:graphicData>
                  </a:graphic>
                </wp:inline>
              </w:drawing>
            </w:r>
          </w:p>
          <w:p w14:paraId="5FDFB60C">
            <w:pPr>
              <w:spacing w:line="360" w:lineRule="auto"/>
              <w:jc w:val="center"/>
              <w:rPr>
                <w:rFonts w:ascii="Times New Roman" w:hAnsi="Times New Roman"/>
                <w:b/>
                <w:bCs/>
                <w:snapToGrid w:val="0"/>
                <w:color w:val="auto"/>
                <w:szCs w:val="21"/>
              </w:rPr>
            </w:pPr>
            <w:r>
              <w:rPr>
                <w:rFonts w:ascii="Times New Roman" w:hAnsi="Times New Roman"/>
                <w:b/>
                <w:bCs/>
                <w:snapToGrid w:val="0"/>
                <w:color w:val="auto"/>
                <w:szCs w:val="21"/>
              </w:rPr>
              <w:t>图3-3 噪声监测点位图（</w:t>
            </w:r>
            <w:r>
              <w:rPr>
                <w:rFonts w:hint="eastAsia" w:ascii="Times New Roman" w:hAnsi="Times New Roman"/>
                <w:b/>
                <w:bCs/>
                <w:snapToGrid w:val="0"/>
                <w:color w:val="auto"/>
                <w:szCs w:val="21"/>
                <w:lang w:val="en-US" w:eastAsia="zh-CN"/>
              </w:rPr>
              <w:t>4</w:t>
            </w:r>
            <w:r>
              <w:rPr>
                <w:rFonts w:ascii="Times New Roman" w:hAnsi="Times New Roman"/>
                <w:b/>
                <w:bCs/>
                <w:snapToGrid w:val="0"/>
                <w:color w:val="auto"/>
                <w:szCs w:val="21"/>
              </w:rPr>
              <w:t>号井场）</w:t>
            </w:r>
          </w:p>
          <w:p w14:paraId="2734BFF6">
            <w:pPr>
              <w:spacing w:line="360" w:lineRule="auto"/>
              <w:jc w:val="center"/>
              <w:rPr>
                <w:rFonts w:hint="eastAsia"/>
                <w:b/>
                <w:color w:val="auto"/>
                <w:szCs w:val="21"/>
              </w:rPr>
            </w:pPr>
            <w:r>
              <w:rPr>
                <w:rFonts w:hint="eastAsia"/>
                <w:b/>
                <w:color w:val="auto"/>
                <w:szCs w:val="21"/>
              </w:rPr>
              <w:t xml:space="preserve">表3-3         环境噪声监测结果        </w:t>
            </w:r>
            <w:r>
              <w:rPr>
                <w:rFonts w:eastAsia="黑体"/>
                <w:b/>
                <w:color w:val="auto"/>
                <w:szCs w:val="21"/>
              </w:rPr>
              <w:t xml:space="preserve"> </w:t>
            </w:r>
            <w:r>
              <w:rPr>
                <w:rFonts w:hAnsi="宋体"/>
                <w:b/>
                <w:color w:val="auto"/>
                <w:szCs w:val="21"/>
              </w:rPr>
              <w:t>单位：</w:t>
            </w:r>
            <w:r>
              <w:rPr>
                <w:b/>
                <w:color w:val="auto"/>
                <w:szCs w:val="21"/>
              </w:rPr>
              <w:t>LeqdB</w:t>
            </w:r>
            <w:r>
              <w:rPr>
                <w:rFonts w:hAnsi="宋体"/>
                <w:b/>
                <w:color w:val="auto"/>
                <w:szCs w:val="21"/>
              </w:rPr>
              <w:t>（</w:t>
            </w:r>
            <w:r>
              <w:rPr>
                <w:b/>
                <w:color w:val="auto"/>
                <w:szCs w:val="21"/>
              </w:rPr>
              <w:t>A</w:t>
            </w:r>
            <w:r>
              <w:rPr>
                <w:rFonts w:hAnsi="宋体"/>
                <w:b/>
                <w:color w:val="auto"/>
                <w:szCs w:val="21"/>
              </w:rPr>
              <w:t>）</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3"/>
              <w:gridCol w:w="2696"/>
              <w:gridCol w:w="2693"/>
            </w:tblGrid>
            <w:tr w14:paraId="192E7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64" w:type="pct"/>
                  <w:vMerge w:val="restart"/>
                  <w:noWrap w:val="0"/>
                  <w:vAlign w:val="center"/>
                </w:tcPr>
                <w:p w14:paraId="111320BD">
                  <w:pPr>
                    <w:jc w:val="center"/>
                    <w:rPr>
                      <w:rFonts w:hint="default" w:ascii="Times New Roman" w:hAnsi="Times New Roman" w:cs="Times New Roman"/>
                      <w:color w:val="auto"/>
                      <w:szCs w:val="21"/>
                    </w:rPr>
                  </w:pPr>
                  <w:r>
                    <w:rPr>
                      <w:rFonts w:hint="default" w:ascii="Times New Roman" w:hAnsi="Times New Roman" w:cs="Times New Roman"/>
                      <w:color w:val="auto"/>
                      <w:szCs w:val="21"/>
                    </w:rPr>
                    <w:t>监测点位</w:t>
                  </w:r>
                </w:p>
              </w:tc>
              <w:tc>
                <w:tcPr>
                  <w:tcW w:w="3435" w:type="pct"/>
                  <w:gridSpan w:val="2"/>
                  <w:noWrap w:val="0"/>
                  <w:vAlign w:val="center"/>
                </w:tcPr>
                <w:p w14:paraId="7F63B43F">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检测值</w:t>
                  </w:r>
                </w:p>
              </w:tc>
            </w:tr>
            <w:tr w14:paraId="67ABB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64" w:type="pct"/>
                  <w:vMerge w:val="continue"/>
                  <w:noWrap w:val="0"/>
                  <w:vAlign w:val="center"/>
                </w:tcPr>
                <w:p w14:paraId="2C2AFB37">
                  <w:pPr>
                    <w:jc w:val="center"/>
                    <w:rPr>
                      <w:rFonts w:hint="default" w:ascii="Times New Roman" w:hAnsi="Times New Roman" w:cs="Times New Roman"/>
                      <w:color w:val="auto"/>
                      <w:szCs w:val="21"/>
                    </w:rPr>
                  </w:pPr>
                </w:p>
              </w:tc>
              <w:tc>
                <w:tcPr>
                  <w:tcW w:w="3435" w:type="pct"/>
                  <w:gridSpan w:val="2"/>
                  <w:noWrap w:val="0"/>
                  <w:vAlign w:val="center"/>
                </w:tcPr>
                <w:p w14:paraId="324C0FB3">
                  <w:pPr>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2025.7.28</w:t>
                  </w:r>
                </w:p>
              </w:tc>
            </w:tr>
            <w:tr w14:paraId="2BC4C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64" w:type="pct"/>
                  <w:vMerge w:val="continue"/>
                  <w:noWrap w:val="0"/>
                  <w:vAlign w:val="center"/>
                </w:tcPr>
                <w:p w14:paraId="20876EB7">
                  <w:pPr>
                    <w:jc w:val="center"/>
                    <w:rPr>
                      <w:rFonts w:hint="default" w:ascii="Times New Roman" w:hAnsi="Times New Roman" w:cs="Times New Roman"/>
                      <w:color w:val="auto"/>
                      <w:szCs w:val="21"/>
                    </w:rPr>
                  </w:pPr>
                </w:p>
              </w:tc>
              <w:tc>
                <w:tcPr>
                  <w:tcW w:w="1718" w:type="pct"/>
                  <w:noWrap w:val="0"/>
                  <w:vAlign w:val="center"/>
                </w:tcPr>
                <w:p w14:paraId="54066E0E">
                  <w:pPr>
                    <w:widowControl/>
                    <w:jc w:val="center"/>
                    <w:rPr>
                      <w:rFonts w:hint="default" w:ascii="Times New Roman" w:hAnsi="Times New Roman" w:cs="Times New Roman"/>
                      <w:color w:val="auto"/>
                      <w:szCs w:val="21"/>
                    </w:rPr>
                  </w:pPr>
                  <w:r>
                    <w:rPr>
                      <w:rFonts w:hint="default" w:ascii="Times New Roman" w:hAnsi="Times New Roman" w:cs="Times New Roman"/>
                      <w:bCs/>
                      <w:color w:val="auto"/>
                      <w:szCs w:val="21"/>
                    </w:rPr>
                    <w:t>昼间Leq</w:t>
                  </w:r>
                </w:p>
              </w:tc>
              <w:tc>
                <w:tcPr>
                  <w:tcW w:w="1717" w:type="pct"/>
                  <w:noWrap w:val="0"/>
                  <w:vAlign w:val="center"/>
                </w:tcPr>
                <w:p w14:paraId="0CF7B459">
                  <w:pPr>
                    <w:widowControl/>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夜间Leq</w:t>
                  </w:r>
                </w:p>
              </w:tc>
            </w:tr>
            <w:tr w14:paraId="6C581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000" w:type="pct"/>
                  <w:gridSpan w:val="3"/>
                  <w:noWrap w:val="0"/>
                  <w:vAlign w:val="center"/>
                </w:tcPr>
                <w:p w14:paraId="03358BFF">
                  <w:pPr>
                    <w:widowControl/>
                    <w:jc w:val="center"/>
                    <w:rPr>
                      <w:rFonts w:hint="default" w:ascii="Times New Roman" w:hAnsi="Times New Roman" w:cs="Times New Roman"/>
                      <w:bCs/>
                      <w:color w:val="auto"/>
                      <w:szCs w:val="21"/>
                    </w:rPr>
                  </w:pP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号井场</w:t>
                  </w:r>
                </w:p>
              </w:tc>
            </w:tr>
            <w:tr w14:paraId="07129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64" w:type="pct"/>
                  <w:noWrap w:val="0"/>
                  <w:vAlign w:val="center"/>
                </w:tcPr>
                <w:p w14:paraId="2E775AF1">
                  <w:pPr>
                    <w:jc w:val="center"/>
                    <w:rPr>
                      <w:rFonts w:hint="default" w:ascii="Times New Roman" w:hAnsi="Times New Roman" w:cs="Times New Roman"/>
                      <w:color w:val="auto"/>
                      <w:szCs w:val="21"/>
                    </w:rPr>
                  </w:pPr>
                  <w:r>
                    <w:rPr>
                      <w:rFonts w:hint="default" w:ascii="Times New Roman" w:hAnsi="Times New Roman" w:eastAsia="宋体" w:cs="Times New Roman"/>
                      <w:b w:val="0"/>
                      <w:bCs w:val="0"/>
                      <w:color w:val="auto"/>
                      <w:sz w:val="21"/>
                      <w:szCs w:val="21"/>
                      <w:vertAlign w:val="baseline"/>
                      <w:lang w:val="en-US" w:eastAsia="zh-CN"/>
                    </w:rPr>
                    <w:t>N</w:t>
                  </w:r>
                  <w:r>
                    <w:rPr>
                      <w:rFonts w:hint="default" w:ascii="Times New Roman" w:hAnsi="Times New Roman" w:cs="Times New Roman"/>
                      <w:b w:val="0"/>
                      <w:bCs w:val="0"/>
                      <w:color w:val="auto"/>
                      <w:sz w:val="21"/>
                      <w:szCs w:val="21"/>
                      <w:vertAlign w:val="baseline"/>
                      <w:lang w:val="en-US" w:eastAsia="zh-CN"/>
                    </w:rPr>
                    <w:t>3</w:t>
                  </w:r>
                  <w:r>
                    <w:rPr>
                      <w:rFonts w:hint="default"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u w:val="none"/>
                      <w:vertAlign w:val="baseline"/>
                      <w:lang w:val="en-US" w:eastAsia="zh-CN"/>
                    </w:rPr>
                    <w:t>史圩孜</w:t>
                  </w:r>
                </w:p>
              </w:tc>
              <w:tc>
                <w:tcPr>
                  <w:tcW w:w="1718" w:type="pct"/>
                  <w:noWrap w:val="0"/>
                  <w:vAlign w:val="center"/>
                </w:tcPr>
                <w:p w14:paraId="6C37C539">
                  <w:pPr>
                    <w:widowControl/>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52</w:t>
                  </w:r>
                </w:p>
              </w:tc>
              <w:tc>
                <w:tcPr>
                  <w:tcW w:w="1717" w:type="pct"/>
                  <w:noWrap w:val="0"/>
                  <w:vAlign w:val="center"/>
                </w:tcPr>
                <w:p w14:paraId="1517C2F5">
                  <w:pPr>
                    <w:widowControl/>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43</w:t>
                  </w:r>
                </w:p>
              </w:tc>
            </w:tr>
            <w:tr w14:paraId="4C5B4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000" w:type="pct"/>
                  <w:gridSpan w:val="3"/>
                  <w:noWrap w:val="0"/>
                  <w:vAlign w:val="center"/>
                </w:tcPr>
                <w:p w14:paraId="25F8A512">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3</w:t>
                  </w:r>
                  <w:r>
                    <w:rPr>
                      <w:rFonts w:hint="default" w:ascii="Times New Roman" w:hAnsi="Times New Roman" w:cs="Times New Roman"/>
                      <w:color w:val="auto"/>
                      <w:szCs w:val="21"/>
                    </w:rPr>
                    <w:t>号井场</w:t>
                  </w:r>
                </w:p>
              </w:tc>
            </w:tr>
            <w:tr w14:paraId="6A61F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64" w:type="pct"/>
                  <w:noWrap w:val="0"/>
                  <w:vAlign w:val="center"/>
                </w:tcPr>
                <w:p w14:paraId="74996A5F">
                  <w:pPr>
                    <w:jc w:val="center"/>
                    <w:rPr>
                      <w:rFonts w:hint="default" w:ascii="Times New Roman" w:hAnsi="Times New Roman" w:cs="Times New Roman"/>
                      <w:color w:val="auto"/>
                      <w:szCs w:val="21"/>
                    </w:rPr>
                  </w:pPr>
                  <w:r>
                    <w:rPr>
                      <w:rFonts w:hint="default" w:ascii="Times New Roman" w:hAnsi="Times New Roman" w:eastAsia="宋体" w:cs="Times New Roman"/>
                      <w:b w:val="0"/>
                      <w:bCs w:val="0"/>
                      <w:color w:val="auto"/>
                      <w:sz w:val="21"/>
                      <w:szCs w:val="21"/>
                      <w:vertAlign w:val="baseline"/>
                      <w:lang w:val="en-US" w:eastAsia="zh-CN"/>
                    </w:rPr>
                    <w:t>N</w:t>
                  </w:r>
                  <w:r>
                    <w:rPr>
                      <w:rFonts w:hint="default" w:ascii="Times New Roman" w:hAnsi="Times New Roman" w:cs="Times New Roman"/>
                      <w:b w:val="0"/>
                      <w:bCs w:val="0"/>
                      <w:color w:val="auto"/>
                      <w:sz w:val="21"/>
                      <w:szCs w:val="21"/>
                      <w:vertAlign w:val="baseline"/>
                      <w:lang w:val="en-US" w:eastAsia="zh-CN"/>
                    </w:rPr>
                    <w:t>2</w:t>
                  </w:r>
                  <w:r>
                    <w:rPr>
                      <w:rFonts w:hint="default"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u w:val="none"/>
                      <w:vertAlign w:val="baseline"/>
                      <w:lang w:val="en-US" w:eastAsia="zh-CN"/>
                    </w:rPr>
                    <w:t>史圩孜</w:t>
                  </w:r>
                </w:p>
              </w:tc>
              <w:tc>
                <w:tcPr>
                  <w:tcW w:w="1718" w:type="pct"/>
                  <w:noWrap w:val="0"/>
                  <w:vAlign w:val="center"/>
                </w:tcPr>
                <w:p w14:paraId="1D38A454">
                  <w:pPr>
                    <w:widowControl/>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47</w:t>
                  </w:r>
                </w:p>
              </w:tc>
              <w:tc>
                <w:tcPr>
                  <w:tcW w:w="1717" w:type="pct"/>
                  <w:noWrap w:val="0"/>
                  <w:vAlign w:val="center"/>
                </w:tcPr>
                <w:p w14:paraId="2573D812">
                  <w:pPr>
                    <w:widowControl/>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49</w:t>
                  </w:r>
                </w:p>
              </w:tc>
            </w:tr>
            <w:tr w14:paraId="11030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000" w:type="pct"/>
                  <w:gridSpan w:val="3"/>
                  <w:noWrap w:val="0"/>
                  <w:vAlign w:val="center"/>
                </w:tcPr>
                <w:p w14:paraId="1BBCB97C">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4</w:t>
                  </w:r>
                  <w:r>
                    <w:rPr>
                      <w:rFonts w:hint="default" w:ascii="Times New Roman" w:hAnsi="Times New Roman" w:cs="Times New Roman"/>
                      <w:color w:val="auto"/>
                      <w:szCs w:val="21"/>
                    </w:rPr>
                    <w:t>号井场</w:t>
                  </w:r>
                </w:p>
              </w:tc>
            </w:tr>
            <w:tr w14:paraId="04B2C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64" w:type="pct"/>
                  <w:noWrap w:val="0"/>
                  <w:vAlign w:val="center"/>
                </w:tcPr>
                <w:p w14:paraId="607A9562">
                  <w:pPr>
                    <w:jc w:val="center"/>
                    <w:rPr>
                      <w:rFonts w:hint="default" w:ascii="Times New Roman" w:hAnsi="Times New Roman" w:cs="Times New Roman"/>
                      <w:b/>
                      <w:bCs/>
                      <w:color w:val="auto"/>
                      <w:szCs w:val="21"/>
                    </w:rPr>
                  </w:pPr>
                  <w:r>
                    <w:rPr>
                      <w:rFonts w:hint="default" w:ascii="Times New Roman" w:hAnsi="Times New Roman" w:eastAsia="宋体" w:cs="Times New Roman"/>
                      <w:b w:val="0"/>
                      <w:bCs w:val="0"/>
                      <w:color w:val="auto"/>
                      <w:sz w:val="21"/>
                      <w:szCs w:val="21"/>
                      <w:vertAlign w:val="baseline"/>
                      <w:lang w:val="en-US" w:eastAsia="zh-CN"/>
                    </w:rPr>
                    <w:t>N</w:t>
                  </w:r>
                  <w:r>
                    <w:rPr>
                      <w:rFonts w:hint="eastAsia" w:ascii="Times New Roman" w:hAnsi="Times New Roman" w:cs="Times New Roman"/>
                      <w:b w:val="0"/>
                      <w:bCs w:val="0"/>
                      <w:color w:val="auto"/>
                      <w:sz w:val="21"/>
                      <w:szCs w:val="21"/>
                      <w:vertAlign w:val="baseline"/>
                      <w:lang w:val="en-US" w:eastAsia="zh-CN"/>
                    </w:rPr>
                    <w:t>1</w:t>
                  </w:r>
                  <w:r>
                    <w:rPr>
                      <w:rFonts w:hint="default"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u w:val="none"/>
                      <w:vertAlign w:val="baseline"/>
                      <w:lang w:val="en-US" w:eastAsia="zh-CN"/>
                    </w:rPr>
                    <w:t>史圩孜</w:t>
                  </w:r>
                </w:p>
              </w:tc>
              <w:tc>
                <w:tcPr>
                  <w:tcW w:w="1718" w:type="pct"/>
                  <w:noWrap w:val="0"/>
                  <w:vAlign w:val="center"/>
                </w:tcPr>
                <w:p w14:paraId="14C7C7CD">
                  <w:pPr>
                    <w:widowControl/>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46</w:t>
                  </w:r>
                </w:p>
              </w:tc>
              <w:tc>
                <w:tcPr>
                  <w:tcW w:w="1717" w:type="pct"/>
                  <w:noWrap w:val="0"/>
                  <w:vAlign w:val="center"/>
                </w:tcPr>
                <w:p w14:paraId="7C942D19">
                  <w:pPr>
                    <w:widowControl/>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38</w:t>
                  </w:r>
                </w:p>
              </w:tc>
            </w:tr>
          </w:tbl>
          <w:p w14:paraId="61132DC5">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w:t>
            </w:r>
            <w:r>
              <w:rPr>
                <w:rFonts w:hint="default" w:ascii="Times New Roman" w:hAnsi="Times New Roman" w:cs="Times New Roman"/>
                <w:color w:val="auto"/>
                <w:sz w:val="24"/>
                <w:lang w:val="en-US" w:eastAsia="zh-CN"/>
              </w:rPr>
              <w:t>N1、N3敏感点</w:t>
            </w:r>
            <w:r>
              <w:rPr>
                <w:rFonts w:hint="default" w:ascii="Times New Roman" w:hAnsi="Times New Roman" w:cs="Times New Roman"/>
                <w:color w:val="auto"/>
                <w:sz w:val="24"/>
              </w:rPr>
              <w:t>噪声能够达到《声环境质量标准》（GB3096-2008）1类标准</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lang w:val="en-US" w:eastAsia="zh-CN"/>
              </w:rPr>
              <w:t>N2</w:t>
            </w:r>
            <w:r>
              <w:rPr>
                <w:rFonts w:hint="default" w:ascii="Times New Roman" w:hAnsi="Times New Roman" w:cs="Times New Roman"/>
                <w:color w:val="auto"/>
                <w:sz w:val="24"/>
              </w:rPr>
              <w:t>敏感点噪声能够满足《声环境质量标准》（GB3096-2008）</w:t>
            </w:r>
            <w:r>
              <w:rPr>
                <w:rFonts w:hint="default" w:ascii="Times New Roman" w:hAnsi="Times New Roman" w:cs="Times New Roman"/>
                <w:color w:val="auto"/>
                <w:sz w:val="24"/>
                <w:lang w:val="en-US" w:eastAsia="zh-CN"/>
              </w:rPr>
              <w:t>4a</w:t>
            </w:r>
            <w:r>
              <w:rPr>
                <w:rFonts w:hint="default" w:ascii="Times New Roman" w:hAnsi="Times New Roman" w:cs="Times New Roman"/>
                <w:color w:val="auto"/>
                <w:sz w:val="24"/>
              </w:rPr>
              <w:t>类标准</w:t>
            </w:r>
            <w:r>
              <w:rPr>
                <w:rFonts w:hint="eastAsia"/>
                <w:color w:val="auto"/>
                <w:lang w:eastAsia="zh-CN"/>
              </w:rPr>
              <w:t>（</w:t>
            </w:r>
            <w:r>
              <w:rPr>
                <w:rFonts w:hint="default" w:ascii="Times New Roman" w:hAnsi="Times New Roman" w:cs="Times New Roman"/>
                <w:color w:val="auto"/>
                <w:sz w:val="24"/>
              </w:rPr>
              <w:t>N2敏感点噪声37m处是省道S312，S312为二级公路</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szCs w:val="24"/>
                <w:lang w:val="en-US" w:eastAsia="zh-CN"/>
              </w:rPr>
              <w:t>故</w:t>
            </w:r>
            <w:r>
              <w:rPr>
                <w:rFonts w:hint="default" w:ascii="Times New Roman" w:hAnsi="Times New Roman" w:cs="Times New Roman"/>
                <w:color w:val="auto"/>
                <w:sz w:val="24"/>
                <w:szCs w:val="24"/>
                <w:lang w:val="en-US" w:eastAsia="zh-CN"/>
              </w:rPr>
              <w:t>执行</w:t>
            </w:r>
            <w:r>
              <w:rPr>
                <w:rFonts w:hint="default" w:ascii="Times New Roman" w:hAnsi="Times New Roman" w:cs="Times New Roman"/>
                <w:color w:val="auto"/>
                <w:sz w:val="24"/>
                <w:szCs w:val="24"/>
              </w:rPr>
              <w:t>《声环境质量标准》（GB3096-2008）</w:t>
            </w:r>
            <w:r>
              <w:rPr>
                <w:rFonts w:hint="default" w:ascii="Times New Roman" w:hAnsi="Times New Roman" w:cs="Times New Roman"/>
                <w:color w:val="auto"/>
                <w:sz w:val="24"/>
                <w:szCs w:val="24"/>
                <w:lang w:val="en-US" w:eastAsia="zh-CN"/>
              </w:rPr>
              <w:t>4a</w:t>
            </w:r>
            <w:r>
              <w:rPr>
                <w:rFonts w:hint="default" w:ascii="Times New Roman" w:hAnsi="Times New Roman" w:cs="Times New Roman"/>
                <w:color w:val="auto"/>
                <w:sz w:val="24"/>
                <w:szCs w:val="24"/>
              </w:rPr>
              <w:t>类标准</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rPr>
              <w:t>。总体评价，项目所在区域声环境质量较好。</w:t>
            </w:r>
          </w:p>
          <w:p w14:paraId="59207BE9">
            <w:pPr>
              <w:numPr>
                <w:ilvl w:val="0"/>
                <w:numId w:val="3"/>
              </w:numPr>
              <w:spacing w:line="360" w:lineRule="auto"/>
              <w:ind w:firstLine="482" w:firstLineChars="200"/>
              <w:rPr>
                <w:rFonts w:hint="eastAsia" w:ascii="Times New Roman" w:hAnsi="Times New Roman"/>
                <w:b/>
                <w:bCs/>
                <w:color w:val="auto"/>
                <w:kern w:val="0"/>
                <w:sz w:val="24"/>
                <w:lang w:val="en-US" w:eastAsia="zh-CN"/>
              </w:rPr>
            </w:pPr>
            <w:r>
              <w:rPr>
                <w:rFonts w:hint="eastAsia" w:ascii="Times New Roman" w:hAnsi="Times New Roman"/>
                <w:b/>
                <w:bCs/>
                <w:color w:val="auto"/>
                <w:kern w:val="0"/>
                <w:sz w:val="24"/>
                <w:lang w:val="en-US" w:eastAsia="zh-CN"/>
              </w:rPr>
              <w:t>土壤环境质量现状调查</w:t>
            </w:r>
          </w:p>
          <w:p w14:paraId="7B34371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根据《环境影响评价技术导则 土壤环境（试行）》（HJ964-2018）“第4.2.2根据行业特征、工艺特点或规模大小等将建设项目类别分为Ⅰ类、Ⅱ类、Ⅲ类、Ⅳ类，见附录A，其中Ⅳ类建设项目可不开展土壤环境影响评价；自身为敏感目标的建设项目，可根据需要仅对土壤环境现状进行调查”。对照其附录A，本项目属于其他行业，为Ⅳ类，可不开展土壤环境影响评价。</w:t>
            </w:r>
          </w:p>
          <w:p w14:paraId="50824777">
            <w:pPr>
              <w:spacing w:line="360" w:lineRule="auto"/>
              <w:ind w:firstLine="482" w:firstLineChars="200"/>
              <w:rPr>
                <w:rFonts w:ascii="Times New Roman" w:hAnsi="Times New Roman"/>
                <w:b/>
                <w:bCs/>
                <w:color w:val="auto"/>
                <w:kern w:val="0"/>
                <w:sz w:val="24"/>
              </w:rPr>
            </w:pPr>
            <w:r>
              <w:rPr>
                <w:rFonts w:hint="eastAsia" w:ascii="Times New Roman" w:hAnsi="Times New Roman"/>
                <w:b/>
                <w:bCs/>
                <w:color w:val="auto"/>
                <w:kern w:val="0"/>
                <w:sz w:val="24"/>
                <w:lang w:val="en-US" w:eastAsia="zh-CN"/>
              </w:rPr>
              <w:t>5</w:t>
            </w:r>
            <w:r>
              <w:rPr>
                <w:rFonts w:ascii="Times New Roman" w:hAnsi="Times New Roman"/>
                <w:b/>
                <w:bCs/>
                <w:color w:val="auto"/>
                <w:kern w:val="0"/>
                <w:sz w:val="24"/>
              </w:rPr>
              <w:t>、地下水环境现状调查</w:t>
            </w:r>
          </w:p>
          <w:p w14:paraId="25BE9BFA">
            <w:pPr>
              <w:pStyle w:val="23"/>
              <w:adjustRightInd/>
              <w:spacing w:line="360" w:lineRule="auto"/>
              <w:ind w:firstLine="480" w:firstLineChars="200"/>
              <w:jc w:val="both"/>
              <w:rPr>
                <w:rFonts w:hint="eastAsia" w:ascii="Times New Roman" w:hAnsi="Times New Roman"/>
                <w:color w:val="auto"/>
              </w:rPr>
            </w:pPr>
            <w:r>
              <w:rPr>
                <w:rFonts w:hint="eastAsia" w:ascii="Times New Roman" w:hAnsi="Times New Roman"/>
                <w:color w:val="auto"/>
              </w:rPr>
              <w:t>根据《环境影响评价技术导则 地下水环境》（HJ610-2016）“4.1一般性原则：地下水环境影响评价应对建设项目在建设期、运营期和服务期满后对地下水水质可能造成的直接影响进行分析、预测和评估，提出预防或者减轻不良影响的对策和措施，制定地下水环境影响跟踪监测计划，为建设项目地下水环境保护提供科学依据。”</w:t>
            </w:r>
          </w:p>
          <w:p w14:paraId="013F302F">
            <w:pPr>
              <w:pStyle w:val="23"/>
              <w:adjustRightInd/>
              <w:spacing w:line="360" w:lineRule="auto"/>
              <w:ind w:firstLine="480" w:firstLineChars="200"/>
              <w:jc w:val="both"/>
              <w:rPr>
                <w:rFonts w:ascii="Times New Roman" w:hAnsi="Times New Roman"/>
                <w:color w:val="auto"/>
              </w:rPr>
            </w:pPr>
            <w:r>
              <w:rPr>
                <w:rFonts w:hint="eastAsia" w:ascii="Times New Roman" w:hAnsi="Times New Roman"/>
                <w:color w:val="auto"/>
              </w:rPr>
              <w:t>根据建设项目对地下水环境影响的程度，结合《建设项目环境影响评价分类管理名录》将建设项目分为四类，详见附录A。Ⅰ类、Ⅱ类、Ⅲ类建设项目的地下水环境影响评价应执行本标准，Ⅳ类建设项目不开展地下水环境影响评价。本项目属于Ⅳ类项目，本项目可不开展地下水环境影响评价。</w:t>
            </w:r>
          </w:p>
          <w:p w14:paraId="5783E113">
            <w:pPr>
              <w:spacing w:line="360" w:lineRule="auto"/>
              <w:ind w:firstLine="482" w:firstLineChars="200"/>
              <w:rPr>
                <w:rFonts w:ascii="Times New Roman" w:hAnsi="Times New Roman"/>
                <w:b/>
                <w:bCs/>
                <w:color w:val="auto"/>
                <w:kern w:val="0"/>
                <w:sz w:val="24"/>
              </w:rPr>
            </w:pPr>
            <w:r>
              <w:rPr>
                <w:rFonts w:ascii="Times New Roman" w:hAnsi="Times New Roman"/>
                <w:b/>
                <w:bCs/>
                <w:color w:val="auto"/>
                <w:kern w:val="0"/>
                <w:sz w:val="24"/>
              </w:rPr>
              <w:t>5、电磁辐射</w:t>
            </w:r>
          </w:p>
          <w:p w14:paraId="0143CB84">
            <w:pPr>
              <w:spacing w:line="360" w:lineRule="auto"/>
              <w:ind w:firstLine="480" w:firstLineChars="200"/>
              <w:rPr>
                <w:rFonts w:ascii="Times New Roman" w:hAnsi="Times New Roman"/>
                <w:color w:val="auto"/>
              </w:rPr>
            </w:pPr>
            <w:r>
              <w:rPr>
                <w:rFonts w:ascii="Times New Roman" w:hAnsi="Times New Roman"/>
                <w:bCs/>
                <w:color w:val="auto"/>
                <w:sz w:val="24"/>
              </w:rPr>
              <w:t>本项目不属于新建或改建、扩建广播电台、差转台、电视塔台、卫星地球上行站、雷达等电磁辐射类项目。因此，不进行电磁辐射现状监测和评价。</w:t>
            </w:r>
          </w:p>
        </w:tc>
      </w:tr>
      <w:tr w14:paraId="542154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11" w:hRule="atLeast"/>
          <w:jc w:val="center"/>
        </w:trPr>
        <w:tc>
          <w:tcPr>
            <w:tcW w:w="454" w:type="dxa"/>
            <w:noWrap w:val="0"/>
            <w:vAlign w:val="center"/>
          </w:tcPr>
          <w:p w14:paraId="23260FA2">
            <w:pPr>
              <w:adjustRightInd w:val="0"/>
              <w:snapToGrid w:val="0"/>
              <w:jc w:val="center"/>
              <w:rPr>
                <w:rFonts w:ascii="Times New Roman" w:hAnsi="Times New Roman"/>
                <w:bCs/>
                <w:color w:val="auto"/>
                <w:sz w:val="24"/>
              </w:rPr>
            </w:pPr>
            <w:r>
              <w:rPr>
                <w:rFonts w:ascii="Times New Roman" w:hAnsi="Times New Roman"/>
                <w:bCs/>
                <w:color w:val="auto"/>
                <w:sz w:val="24"/>
              </w:rPr>
              <w:t>与项目有关的原有环境污染和生态破坏问题</w:t>
            </w:r>
          </w:p>
        </w:tc>
        <w:tc>
          <w:tcPr>
            <w:tcW w:w="8068" w:type="dxa"/>
            <w:noWrap w:val="0"/>
            <w:vAlign w:val="center"/>
          </w:tcPr>
          <w:p w14:paraId="1D6DF453">
            <w:pPr>
              <w:autoSpaceDE w:val="0"/>
              <w:autoSpaceDN w:val="0"/>
              <w:spacing w:line="360" w:lineRule="auto"/>
              <w:ind w:firstLine="480" w:firstLineChars="200"/>
              <w:rPr>
                <w:rFonts w:hint="eastAsia" w:ascii="Times New Roman" w:hAnsi="Times New Roman" w:eastAsia="宋体"/>
                <w:color w:val="auto"/>
                <w:lang w:eastAsia="zh-CN"/>
              </w:rPr>
            </w:pPr>
            <w:r>
              <w:rPr>
                <w:rFonts w:ascii="Times New Roman" w:hAnsi="Times New Roman"/>
                <w:color w:val="auto"/>
                <w:sz w:val="24"/>
              </w:rPr>
              <w:t>本项目为新建项目，</w:t>
            </w:r>
            <w:r>
              <w:rPr>
                <w:rFonts w:ascii="Times New Roman" w:hAnsi="Times New Roman"/>
                <w:color w:val="auto"/>
                <w:kern w:val="0"/>
                <w:sz w:val="24"/>
              </w:rPr>
              <w:t>项目区域现状为农田，不存在原有污染问题。</w:t>
            </w:r>
          </w:p>
        </w:tc>
      </w:tr>
      <w:tr w14:paraId="691900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dxa"/>
            <w:noWrap w:val="0"/>
            <w:vAlign w:val="center"/>
          </w:tcPr>
          <w:p w14:paraId="7A2FACF4">
            <w:pPr>
              <w:adjustRightInd w:val="0"/>
              <w:snapToGrid w:val="0"/>
              <w:jc w:val="center"/>
              <w:rPr>
                <w:rFonts w:ascii="Times New Roman" w:hAnsi="Times New Roman"/>
                <w:color w:val="auto"/>
                <w:kern w:val="0"/>
                <w:sz w:val="24"/>
              </w:rPr>
            </w:pPr>
            <w:r>
              <w:rPr>
                <w:rFonts w:ascii="Times New Roman" w:hAnsi="Times New Roman"/>
                <w:color w:val="auto"/>
                <w:kern w:val="0"/>
                <w:sz w:val="24"/>
              </w:rPr>
              <w:t>生态环境保护目标</w:t>
            </w:r>
          </w:p>
        </w:tc>
        <w:tc>
          <w:tcPr>
            <w:tcW w:w="8068" w:type="dxa"/>
            <w:tcBorders>
              <w:right w:val="single" w:color="auto" w:sz="4" w:space="0"/>
            </w:tcBorders>
            <w:noWrap w:val="0"/>
            <w:vAlign w:val="center"/>
          </w:tcPr>
          <w:p w14:paraId="70920816">
            <w:pPr>
              <w:pStyle w:val="13"/>
              <w:tabs>
                <w:tab w:val="left" w:pos="0"/>
              </w:tabs>
              <w:spacing w:line="360" w:lineRule="auto"/>
              <w:ind w:firstLine="480" w:firstLineChars="200"/>
              <w:contextualSpacing/>
              <w:rPr>
                <w:rFonts w:ascii="Times New Roman" w:hAnsi="Times New Roman"/>
                <w:b/>
                <w:color w:val="auto"/>
                <w:sz w:val="24"/>
                <w:lang w:val="en-US" w:eastAsia="zh-CN"/>
              </w:rPr>
            </w:pPr>
            <w:r>
              <w:rPr>
                <w:rFonts w:ascii="Times New Roman" w:hAnsi="Times New Roman"/>
                <w:color w:val="auto"/>
                <w:sz w:val="24"/>
                <w:lang w:val="en-US" w:eastAsia="zh-CN"/>
              </w:rPr>
              <w:t>根据对建设项目所地块周边环境现状的踏勘，建设项目附近无文物保护、风景名胜区、饮用水源地等敏感环境保护目标，本项目主要环境保护目标见下表。</w:t>
            </w:r>
          </w:p>
          <w:p w14:paraId="4B33C4BC">
            <w:pPr>
              <w:spacing w:line="360" w:lineRule="auto"/>
              <w:jc w:val="center"/>
              <w:rPr>
                <w:rFonts w:ascii="Times New Roman" w:hAnsi="Times New Roman"/>
                <w:b/>
                <w:color w:val="auto"/>
                <w:szCs w:val="21"/>
              </w:rPr>
            </w:pPr>
            <w:r>
              <w:rPr>
                <w:rFonts w:ascii="Times New Roman" w:hAnsi="Times New Roman"/>
                <w:b/>
                <w:color w:val="auto"/>
                <w:szCs w:val="21"/>
              </w:rPr>
              <w:t>表3-5   项目大气环境保护目标一览表</w:t>
            </w:r>
          </w:p>
          <w:tbl>
            <w:tblPr>
              <w:tblStyle w:val="17"/>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85"/>
              <w:gridCol w:w="625"/>
              <w:gridCol w:w="1005"/>
              <w:gridCol w:w="676"/>
              <w:gridCol w:w="780"/>
              <w:gridCol w:w="795"/>
              <w:gridCol w:w="780"/>
              <w:gridCol w:w="1155"/>
              <w:gridCol w:w="706"/>
              <w:gridCol w:w="845"/>
            </w:tblGrid>
            <w:tr w14:paraId="74D9C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48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C9646CD">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环境要素</w:t>
                  </w:r>
                </w:p>
              </w:tc>
              <w:tc>
                <w:tcPr>
                  <w:tcW w:w="62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7A7C93A">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区域</w:t>
                  </w:r>
                </w:p>
              </w:tc>
              <w:tc>
                <w:tcPr>
                  <w:tcW w:w="1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97D64B5">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名称</w:t>
                  </w:r>
                </w:p>
              </w:tc>
              <w:tc>
                <w:tcPr>
                  <w:tcW w:w="67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9E365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X</w:t>
                  </w:r>
                </w:p>
              </w:tc>
              <w:tc>
                <w:tcPr>
                  <w:tcW w:w="78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532660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Y</w:t>
                  </w:r>
                </w:p>
              </w:tc>
              <w:tc>
                <w:tcPr>
                  <w:tcW w:w="7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DE49393">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保护对象</w:t>
                  </w:r>
                </w:p>
              </w:tc>
              <w:tc>
                <w:tcPr>
                  <w:tcW w:w="78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28D2E82">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保护内容（人）</w:t>
                  </w:r>
                </w:p>
              </w:tc>
              <w:tc>
                <w:tcPr>
                  <w:tcW w:w="11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AD66456">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环境功能区</w:t>
                  </w:r>
                </w:p>
              </w:tc>
              <w:tc>
                <w:tcPr>
                  <w:tcW w:w="7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0D7E1DB">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相对厂址方位</w:t>
                  </w:r>
                </w:p>
              </w:tc>
              <w:tc>
                <w:tcPr>
                  <w:tcW w:w="8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2DCD3D9">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Style w:val="40"/>
                      <w:rFonts w:ascii="Times New Roman" w:hAnsi="Times New Roman" w:eastAsia="宋体"/>
                      <w:color w:val="auto"/>
                      <w:lang w:val="en-US" w:eastAsia="zh-CN" w:bidi="ar"/>
                    </w:rPr>
                    <w:t>相对</w:t>
                  </w:r>
                  <w:r>
                    <w:rPr>
                      <w:rStyle w:val="40"/>
                      <w:rFonts w:hint="eastAsia" w:ascii="Times New Roman" w:hAnsi="Times New Roman" w:eastAsia="宋体"/>
                      <w:color w:val="auto"/>
                      <w:lang w:val="en-US" w:eastAsia="zh-CN" w:bidi="ar"/>
                    </w:rPr>
                    <w:t>各井场边界</w:t>
                  </w:r>
                  <w:r>
                    <w:rPr>
                      <w:rStyle w:val="40"/>
                      <w:rFonts w:ascii="Times New Roman" w:hAnsi="Times New Roman" w:eastAsia="宋体"/>
                      <w:color w:val="auto"/>
                      <w:lang w:val="en-US" w:eastAsia="zh-CN" w:bidi="ar"/>
                    </w:rPr>
                    <w:t>距离</w:t>
                  </w:r>
                  <w:r>
                    <w:rPr>
                      <w:rStyle w:val="41"/>
                      <w:rFonts w:ascii="Times New Roman" w:hAnsi="Times New Roman" w:eastAsia="宋体"/>
                      <w:color w:val="auto"/>
                      <w:lang w:val="en-US" w:eastAsia="zh-CN" w:bidi="ar"/>
                    </w:rPr>
                    <w:t>/m</w:t>
                  </w:r>
                </w:p>
              </w:tc>
            </w:tr>
            <w:tr w14:paraId="401E7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485" w:type="dxa"/>
                  <w:vMerge w:val="restart"/>
                  <w:tcBorders>
                    <w:top w:val="nil"/>
                    <w:left w:val="single" w:color="000000" w:sz="8" w:space="0"/>
                    <w:bottom w:val="single" w:color="000000" w:sz="8" w:space="0"/>
                    <w:right w:val="single" w:color="000000" w:sz="8" w:space="0"/>
                  </w:tcBorders>
                  <w:shd w:val="clear" w:color="auto" w:fill="auto"/>
                  <w:vAlign w:val="center"/>
                </w:tcPr>
                <w:p w14:paraId="0501C7BE">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大气环境</w:t>
                  </w:r>
                </w:p>
              </w:tc>
              <w:tc>
                <w:tcPr>
                  <w:tcW w:w="625" w:type="dxa"/>
                  <w:vMerge w:val="restart"/>
                  <w:tcBorders>
                    <w:top w:val="nil"/>
                    <w:left w:val="single" w:color="000000" w:sz="8" w:space="0"/>
                    <w:bottom w:val="single" w:color="000000" w:sz="8" w:space="0"/>
                    <w:right w:val="single" w:color="000000" w:sz="8" w:space="0"/>
                  </w:tcBorders>
                  <w:shd w:val="clear" w:color="auto" w:fill="auto"/>
                  <w:vAlign w:val="center"/>
                </w:tcPr>
                <w:p w14:paraId="3DBA8E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41"/>
                      <w:rFonts w:ascii="Times New Roman" w:hAnsi="Times New Roman" w:eastAsia="宋体"/>
                      <w:color w:val="auto"/>
                      <w:lang w:val="en-US" w:eastAsia="zh-CN" w:bidi="ar"/>
                    </w:rPr>
                    <w:t>1</w:t>
                  </w:r>
                  <w:r>
                    <w:rPr>
                      <w:rStyle w:val="40"/>
                      <w:rFonts w:ascii="Times New Roman" w:hAnsi="Times New Roman" w:eastAsia="宋体"/>
                      <w:color w:val="auto"/>
                      <w:lang w:val="en-US" w:eastAsia="zh-CN" w:bidi="ar"/>
                    </w:rPr>
                    <w:t>号井场</w:t>
                  </w: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2531EFD6">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史圩孜</w:t>
                  </w:r>
                </w:p>
              </w:tc>
              <w:tc>
                <w:tcPr>
                  <w:tcW w:w="676" w:type="dxa"/>
                  <w:tcBorders>
                    <w:top w:val="nil"/>
                    <w:left w:val="single" w:color="000000" w:sz="8" w:space="0"/>
                    <w:bottom w:val="single" w:color="000000" w:sz="8" w:space="0"/>
                    <w:right w:val="single" w:color="000000" w:sz="8" w:space="0"/>
                  </w:tcBorders>
                  <w:shd w:val="clear" w:color="auto" w:fill="auto"/>
                  <w:vAlign w:val="center"/>
                </w:tcPr>
                <w:p w14:paraId="2F86E09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173</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5082DA6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65</w:t>
                  </w:r>
                </w:p>
              </w:tc>
              <w:tc>
                <w:tcPr>
                  <w:tcW w:w="795" w:type="dxa"/>
                  <w:tcBorders>
                    <w:top w:val="nil"/>
                    <w:left w:val="single" w:color="000000" w:sz="8" w:space="0"/>
                    <w:bottom w:val="single" w:color="000000" w:sz="8" w:space="0"/>
                    <w:right w:val="single" w:color="000000" w:sz="8" w:space="0"/>
                  </w:tcBorders>
                  <w:shd w:val="clear" w:color="auto" w:fill="auto"/>
                  <w:vAlign w:val="center"/>
                </w:tcPr>
                <w:p w14:paraId="10F1FF73">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366A77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180</w:t>
                  </w:r>
                </w:p>
              </w:tc>
              <w:tc>
                <w:tcPr>
                  <w:tcW w:w="1155" w:type="dxa"/>
                  <w:vMerge w:val="restart"/>
                  <w:tcBorders>
                    <w:top w:val="nil"/>
                    <w:left w:val="single" w:color="000000" w:sz="8" w:space="0"/>
                    <w:bottom w:val="single" w:color="000000" w:sz="8" w:space="0"/>
                    <w:right w:val="single" w:color="000000" w:sz="8" w:space="0"/>
                  </w:tcBorders>
                  <w:shd w:val="clear" w:color="auto" w:fill="auto"/>
                  <w:vAlign w:val="center"/>
                </w:tcPr>
                <w:p w14:paraId="0B78ECF3">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Style w:val="40"/>
                      <w:rFonts w:ascii="Times New Roman" w:hAnsi="Times New Roman" w:eastAsia="宋体"/>
                      <w:color w:val="auto"/>
                      <w:lang w:val="en-US" w:eastAsia="zh-CN" w:bidi="ar"/>
                    </w:rPr>
                    <w:t>环境功能区《环境空气质量标准》（</w:t>
                  </w:r>
                  <w:r>
                    <w:rPr>
                      <w:rStyle w:val="41"/>
                      <w:rFonts w:ascii="Times New Roman" w:hAnsi="Times New Roman" w:eastAsia="宋体"/>
                      <w:color w:val="auto"/>
                      <w:lang w:val="en-US" w:eastAsia="zh-CN" w:bidi="ar"/>
                    </w:rPr>
                    <w:t>GB3095-2012</w:t>
                  </w:r>
                  <w:r>
                    <w:rPr>
                      <w:rStyle w:val="40"/>
                      <w:rFonts w:ascii="Times New Roman" w:hAnsi="Times New Roman" w:eastAsia="宋体"/>
                      <w:color w:val="auto"/>
                      <w:lang w:val="en-US" w:eastAsia="zh-CN" w:bidi="ar"/>
                    </w:rPr>
                    <w:t>）二级标准</w:t>
                  </w:r>
                </w:p>
              </w:tc>
              <w:tc>
                <w:tcPr>
                  <w:tcW w:w="705" w:type="dxa"/>
                  <w:tcBorders>
                    <w:top w:val="nil"/>
                    <w:left w:val="single" w:color="000000" w:sz="8" w:space="0"/>
                    <w:bottom w:val="single" w:color="000000" w:sz="8" w:space="0"/>
                    <w:right w:val="single" w:color="000000" w:sz="8" w:space="0"/>
                  </w:tcBorders>
                  <w:shd w:val="clear" w:color="auto" w:fill="auto"/>
                  <w:vAlign w:val="center"/>
                </w:tcPr>
                <w:p w14:paraId="3B9F2E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NE</w:t>
                  </w:r>
                </w:p>
              </w:tc>
              <w:tc>
                <w:tcPr>
                  <w:tcW w:w="844" w:type="dxa"/>
                  <w:tcBorders>
                    <w:top w:val="nil"/>
                    <w:left w:val="single" w:color="000000" w:sz="8" w:space="0"/>
                    <w:bottom w:val="single" w:color="000000" w:sz="8" w:space="0"/>
                    <w:right w:val="single" w:color="000000" w:sz="8" w:space="0"/>
                  </w:tcBorders>
                  <w:shd w:val="clear" w:color="auto" w:fill="auto"/>
                  <w:vAlign w:val="center"/>
                </w:tcPr>
                <w:p w14:paraId="7DBDB3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170</w:t>
                  </w:r>
                </w:p>
              </w:tc>
            </w:tr>
            <w:tr w14:paraId="19E05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jc w:val="center"/>
              </w:trPr>
              <w:tc>
                <w:tcPr>
                  <w:tcW w:w="485" w:type="dxa"/>
                  <w:vMerge w:val="continue"/>
                  <w:tcBorders>
                    <w:top w:val="nil"/>
                    <w:left w:val="single" w:color="000000" w:sz="8" w:space="0"/>
                    <w:bottom w:val="single" w:color="000000" w:sz="8" w:space="0"/>
                    <w:right w:val="single" w:color="000000" w:sz="8" w:space="0"/>
                  </w:tcBorders>
                  <w:shd w:val="clear" w:color="auto" w:fill="auto"/>
                  <w:vAlign w:val="center"/>
                </w:tcPr>
                <w:p w14:paraId="4BE3A32C">
                  <w:pPr>
                    <w:jc w:val="center"/>
                    <w:rPr>
                      <w:rFonts w:hint="eastAsia" w:ascii="Times New Roman" w:hAnsi="Times New Roman" w:eastAsia="宋体" w:cs="宋体"/>
                      <w:i w:val="0"/>
                      <w:iCs w:val="0"/>
                      <w:color w:val="auto"/>
                      <w:sz w:val="21"/>
                      <w:szCs w:val="21"/>
                      <w:u w:val="none"/>
                    </w:rPr>
                  </w:pPr>
                </w:p>
              </w:tc>
              <w:tc>
                <w:tcPr>
                  <w:tcW w:w="625" w:type="dxa"/>
                  <w:vMerge w:val="continue"/>
                  <w:tcBorders>
                    <w:top w:val="nil"/>
                    <w:left w:val="single" w:color="000000" w:sz="8" w:space="0"/>
                    <w:bottom w:val="single" w:color="000000" w:sz="8" w:space="0"/>
                    <w:right w:val="single" w:color="000000" w:sz="8" w:space="0"/>
                  </w:tcBorders>
                  <w:shd w:val="clear" w:color="auto" w:fill="auto"/>
                  <w:vAlign w:val="center"/>
                </w:tcPr>
                <w:p w14:paraId="1DF33EA5">
                  <w:pPr>
                    <w:jc w:val="center"/>
                    <w:rPr>
                      <w:rFonts w:hint="default" w:ascii="Times New Roman" w:hAnsi="Times New Roman" w:eastAsia="宋体" w:cs="Times New Roman"/>
                      <w:i w:val="0"/>
                      <w:iCs w:val="0"/>
                      <w:color w:val="auto"/>
                      <w:sz w:val="21"/>
                      <w:szCs w:val="21"/>
                      <w:u w:val="none"/>
                    </w:rPr>
                  </w:pP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338C180E">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泥古路旁散户</w:t>
                  </w:r>
                </w:p>
              </w:tc>
              <w:tc>
                <w:tcPr>
                  <w:tcW w:w="676" w:type="dxa"/>
                  <w:tcBorders>
                    <w:top w:val="nil"/>
                    <w:left w:val="single" w:color="000000" w:sz="8" w:space="0"/>
                    <w:bottom w:val="single" w:color="000000" w:sz="8" w:space="0"/>
                    <w:right w:val="single" w:color="000000" w:sz="8" w:space="0"/>
                  </w:tcBorders>
                  <w:shd w:val="clear" w:color="auto" w:fill="auto"/>
                  <w:vAlign w:val="center"/>
                </w:tcPr>
                <w:p w14:paraId="3BD5C73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-386</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2FF301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270</w:t>
                  </w:r>
                </w:p>
              </w:tc>
              <w:tc>
                <w:tcPr>
                  <w:tcW w:w="795" w:type="dxa"/>
                  <w:tcBorders>
                    <w:top w:val="nil"/>
                    <w:left w:val="single" w:color="000000" w:sz="8" w:space="0"/>
                    <w:bottom w:val="single" w:color="000000" w:sz="8" w:space="0"/>
                    <w:right w:val="single" w:color="000000" w:sz="8" w:space="0"/>
                  </w:tcBorders>
                  <w:shd w:val="clear" w:color="auto" w:fill="auto"/>
                  <w:vAlign w:val="center"/>
                </w:tcPr>
                <w:p w14:paraId="37F3A4D3">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2B615D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1155" w:type="dxa"/>
                  <w:vMerge w:val="continue"/>
                  <w:tcBorders>
                    <w:top w:val="nil"/>
                    <w:left w:val="single" w:color="000000" w:sz="8" w:space="0"/>
                    <w:bottom w:val="single" w:color="000000" w:sz="8" w:space="0"/>
                    <w:right w:val="single" w:color="000000" w:sz="8" w:space="0"/>
                  </w:tcBorders>
                  <w:shd w:val="clear" w:color="auto" w:fill="auto"/>
                  <w:vAlign w:val="center"/>
                </w:tcPr>
                <w:p w14:paraId="5286C952">
                  <w:pPr>
                    <w:jc w:val="center"/>
                    <w:rPr>
                      <w:rFonts w:hint="eastAsia" w:ascii="Times New Roman" w:hAnsi="Times New Roman" w:eastAsia="宋体" w:cs="宋体"/>
                      <w:i w:val="0"/>
                      <w:iCs w:val="0"/>
                      <w:color w:val="auto"/>
                      <w:sz w:val="21"/>
                      <w:szCs w:val="21"/>
                      <w:u w:val="none"/>
                    </w:rPr>
                  </w:pPr>
                </w:p>
              </w:tc>
              <w:tc>
                <w:tcPr>
                  <w:tcW w:w="705" w:type="dxa"/>
                  <w:tcBorders>
                    <w:top w:val="nil"/>
                    <w:left w:val="single" w:color="000000" w:sz="8" w:space="0"/>
                    <w:bottom w:val="single" w:color="000000" w:sz="8" w:space="0"/>
                    <w:right w:val="single" w:color="000000" w:sz="8" w:space="0"/>
                  </w:tcBorders>
                  <w:shd w:val="clear" w:color="auto" w:fill="auto"/>
                  <w:vAlign w:val="center"/>
                </w:tcPr>
                <w:p w14:paraId="564DCBE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NW</w:t>
                  </w:r>
                </w:p>
              </w:tc>
              <w:tc>
                <w:tcPr>
                  <w:tcW w:w="844" w:type="dxa"/>
                  <w:tcBorders>
                    <w:top w:val="nil"/>
                    <w:left w:val="single" w:color="000000" w:sz="8" w:space="0"/>
                    <w:bottom w:val="single" w:color="000000" w:sz="8" w:space="0"/>
                    <w:right w:val="single" w:color="000000" w:sz="8" w:space="0"/>
                  </w:tcBorders>
                  <w:shd w:val="clear" w:color="auto" w:fill="auto"/>
                  <w:vAlign w:val="center"/>
                </w:tcPr>
                <w:p w14:paraId="6C3898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445</w:t>
                  </w:r>
                </w:p>
              </w:tc>
            </w:tr>
            <w:tr w14:paraId="63BF9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485" w:type="dxa"/>
                  <w:vMerge w:val="continue"/>
                  <w:tcBorders>
                    <w:top w:val="nil"/>
                    <w:left w:val="single" w:color="000000" w:sz="8" w:space="0"/>
                    <w:bottom w:val="single" w:color="000000" w:sz="8" w:space="0"/>
                    <w:right w:val="single" w:color="000000" w:sz="8" w:space="0"/>
                  </w:tcBorders>
                  <w:shd w:val="clear" w:color="auto" w:fill="auto"/>
                  <w:vAlign w:val="center"/>
                </w:tcPr>
                <w:p w14:paraId="55639CA1">
                  <w:pPr>
                    <w:jc w:val="center"/>
                    <w:rPr>
                      <w:rFonts w:hint="eastAsia" w:ascii="Times New Roman" w:hAnsi="Times New Roman" w:eastAsia="宋体" w:cs="宋体"/>
                      <w:i w:val="0"/>
                      <w:iCs w:val="0"/>
                      <w:color w:val="auto"/>
                      <w:sz w:val="21"/>
                      <w:szCs w:val="21"/>
                      <w:u w:val="none"/>
                    </w:rPr>
                  </w:pPr>
                </w:p>
              </w:tc>
              <w:tc>
                <w:tcPr>
                  <w:tcW w:w="625" w:type="dxa"/>
                  <w:vMerge w:val="restart"/>
                  <w:tcBorders>
                    <w:top w:val="nil"/>
                    <w:left w:val="single" w:color="000000" w:sz="8" w:space="0"/>
                    <w:bottom w:val="single" w:color="000000" w:sz="8" w:space="0"/>
                    <w:right w:val="single" w:color="000000" w:sz="8" w:space="0"/>
                  </w:tcBorders>
                  <w:shd w:val="clear" w:color="auto" w:fill="auto"/>
                  <w:vAlign w:val="center"/>
                </w:tcPr>
                <w:p w14:paraId="1AAA190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41"/>
                      <w:rFonts w:ascii="Times New Roman" w:hAnsi="Times New Roman" w:eastAsia="宋体"/>
                      <w:color w:val="auto"/>
                      <w:lang w:val="en-US" w:eastAsia="zh-CN" w:bidi="ar"/>
                    </w:rPr>
                    <w:t>2</w:t>
                  </w:r>
                  <w:r>
                    <w:rPr>
                      <w:rStyle w:val="40"/>
                      <w:rFonts w:ascii="Times New Roman" w:hAnsi="Times New Roman" w:eastAsia="宋体"/>
                      <w:color w:val="auto"/>
                      <w:lang w:val="en-US" w:eastAsia="zh-CN" w:bidi="ar"/>
                    </w:rPr>
                    <w:t>号井场</w:t>
                  </w: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126975E9">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史圩孜</w:t>
                  </w:r>
                </w:p>
              </w:tc>
              <w:tc>
                <w:tcPr>
                  <w:tcW w:w="676" w:type="dxa"/>
                  <w:tcBorders>
                    <w:top w:val="nil"/>
                    <w:left w:val="single" w:color="000000" w:sz="8" w:space="0"/>
                    <w:bottom w:val="single" w:color="000000" w:sz="8" w:space="0"/>
                    <w:right w:val="single" w:color="000000" w:sz="8" w:space="0"/>
                  </w:tcBorders>
                  <w:shd w:val="clear" w:color="auto" w:fill="auto"/>
                  <w:vAlign w:val="center"/>
                </w:tcPr>
                <w:p w14:paraId="01DB2B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5BEF7C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795" w:type="dxa"/>
                  <w:tcBorders>
                    <w:top w:val="nil"/>
                    <w:left w:val="single" w:color="000000" w:sz="8" w:space="0"/>
                    <w:bottom w:val="single" w:color="000000" w:sz="8" w:space="0"/>
                    <w:right w:val="single" w:color="000000" w:sz="8" w:space="0"/>
                  </w:tcBorders>
                  <w:shd w:val="clear" w:color="auto" w:fill="auto"/>
                  <w:vAlign w:val="center"/>
                </w:tcPr>
                <w:p w14:paraId="1D39028A">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19B9020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180</w:t>
                  </w:r>
                </w:p>
              </w:tc>
              <w:tc>
                <w:tcPr>
                  <w:tcW w:w="1155" w:type="dxa"/>
                  <w:vMerge w:val="continue"/>
                  <w:tcBorders>
                    <w:top w:val="nil"/>
                    <w:left w:val="single" w:color="000000" w:sz="8" w:space="0"/>
                    <w:bottom w:val="single" w:color="000000" w:sz="8" w:space="0"/>
                    <w:right w:val="single" w:color="000000" w:sz="8" w:space="0"/>
                  </w:tcBorders>
                  <w:shd w:val="clear" w:color="auto" w:fill="auto"/>
                  <w:vAlign w:val="center"/>
                </w:tcPr>
                <w:p w14:paraId="4B3EB3EC">
                  <w:pPr>
                    <w:jc w:val="center"/>
                    <w:rPr>
                      <w:rFonts w:hint="eastAsia" w:ascii="Times New Roman" w:hAnsi="Times New Roman" w:eastAsia="宋体" w:cs="宋体"/>
                      <w:i w:val="0"/>
                      <w:iCs w:val="0"/>
                      <w:color w:val="auto"/>
                      <w:sz w:val="21"/>
                      <w:szCs w:val="21"/>
                      <w:u w:val="none"/>
                    </w:rPr>
                  </w:pPr>
                </w:p>
              </w:tc>
              <w:tc>
                <w:tcPr>
                  <w:tcW w:w="705" w:type="dxa"/>
                  <w:tcBorders>
                    <w:top w:val="nil"/>
                    <w:left w:val="single" w:color="000000" w:sz="8" w:space="0"/>
                    <w:bottom w:val="single" w:color="000000" w:sz="8" w:space="0"/>
                    <w:right w:val="single" w:color="000000" w:sz="8" w:space="0"/>
                  </w:tcBorders>
                  <w:shd w:val="clear" w:color="auto" w:fill="auto"/>
                  <w:vAlign w:val="center"/>
                </w:tcPr>
                <w:p w14:paraId="0512DC0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NE</w:t>
                  </w:r>
                </w:p>
              </w:tc>
              <w:tc>
                <w:tcPr>
                  <w:tcW w:w="844" w:type="dxa"/>
                  <w:tcBorders>
                    <w:top w:val="nil"/>
                    <w:left w:val="single" w:color="000000" w:sz="8" w:space="0"/>
                    <w:bottom w:val="single" w:color="000000" w:sz="8" w:space="0"/>
                    <w:right w:val="single" w:color="000000" w:sz="8" w:space="0"/>
                  </w:tcBorders>
                  <w:shd w:val="clear" w:color="auto" w:fill="auto"/>
                  <w:vAlign w:val="center"/>
                </w:tcPr>
                <w:p w14:paraId="77E0198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49</w:t>
                  </w:r>
                </w:p>
              </w:tc>
            </w:tr>
            <w:tr w14:paraId="3F713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485" w:type="dxa"/>
                  <w:vMerge w:val="continue"/>
                  <w:tcBorders>
                    <w:top w:val="nil"/>
                    <w:left w:val="single" w:color="000000" w:sz="8" w:space="0"/>
                    <w:bottom w:val="single" w:color="000000" w:sz="8" w:space="0"/>
                    <w:right w:val="single" w:color="000000" w:sz="8" w:space="0"/>
                  </w:tcBorders>
                  <w:shd w:val="clear" w:color="auto" w:fill="auto"/>
                  <w:vAlign w:val="center"/>
                </w:tcPr>
                <w:p w14:paraId="35CAF90E">
                  <w:pPr>
                    <w:jc w:val="center"/>
                    <w:rPr>
                      <w:rFonts w:hint="eastAsia" w:ascii="Times New Roman" w:hAnsi="Times New Roman" w:eastAsia="宋体" w:cs="宋体"/>
                      <w:i w:val="0"/>
                      <w:iCs w:val="0"/>
                      <w:color w:val="auto"/>
                      <w:sz w:val="21"/>
                      <w:szCs w:val="21"/>
                      <w:u w:val="none"/>
                    </w:rPr>
                  </w:pPr>
                </w:p>
              </w:tc>
              <w:tc>
                <w:tcPr>
                  <w:tcW w:w="625" w:type="dxa"/>
                  <w:vMerge w:val="continue"/>
                  <w:tcBorders>
                    <w:top w:val="nil"/>
                    <w:left w:val="single" w:color="000000" w:sz="8" w:space="0"/>
                    <w:bottom w:val="single" w:color="000000" w:sz="8" w:space="0"/>
                    <w:right w:val="single" w:color="000000" w:sz="8" w:space="0"/>
                  </w:tcBorders>
                  <w:shd w:val="clear" w:color="auto" w:fill="auto"/>
                  <w:vAlign w:val="center"/>
                </w:tcPr>
                <w:p w14:paraId="4A9F64A5">
                  <w:pPr>
                    <w:jc w:val="center"/>
                    <w:rPr>
                      <w:rFonts w:hint="default" w:ascii="Times New Roman" w:hAnsi="Times New Roman" w:eastAsia="宋体" w:cs="Times New Roman"/>
                      <w:i w:val="0"/>
                      <w:iCs w:val="0"/>
                      <w:color w:val="auto"/>
                      <w:sz w:val="21"/>
                      <w:szCs w:val="21"/>
                      <w:u w:val="none"/>
                    </w:rPr>
                  </w:pP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5750DAC4">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泥古路旁散户</w:t>
                  </w:r>
                </w:p>
              </w:tc>
              <w:tc>
                <w:tcPr>
                  <w:tcW w:w="676" w:type="dxa"/>
                  <w:tcBorders>
                    <w:top w:val="nil"/>
                    <w:left w:val="single" w:color="000000" w:sz="8" w:space="0"/>
                    <w:bottom w:val="single" w:color="000000" w:sz="8" w:space="0"/>
                    <w:right w:val="single" w:color="000000" w:sz="8" w:space="0"/>
                  </w:tcBorders>
                  <w:shd w:val="clear" w:color="auto" w:fill="auto"/>
                  <w:vAlign w:val="center"/>
                </w:tcPr>
                <w:p w14:paraId="3F0B6F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-380</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24C6B6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503</w:t>
                  </w:r>
                </w:p>
              </w:tc>
              <w:tc>
                <w:tcPr>
                  <w:tcW w:w="795" w:type="dxa"/>
                  <w:tcBorders>
                    <w:top w:val="nil"/>
                    <w:left w:val="single" w:color="000000" w:sz="8" w:space="0"/>
                    <w:bottom w:val="single" w:color="000000" w:sz="8" w:space="0"/>
                    <w:right w:val="single" w:color="000000" w:sz="8" w:space="0"/>
                  </w:tcBorders>
                  <w:shd w:val="clear" w:color="auto" w:fill="auto"/>
                  <w:vAlign w:val="center"/>
                </w:tcPr>
                <w:p w14:paraId="38C82FA9">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40AFA74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1155" w:type="dxa"/>
                  <w:vMerge w:val="continue"/>
                  <w:tcBorders>
                    <w:top w:val="nil"/>
                    <w:left w:val="single" w:color="000000" w:sz="8" w:space="0"/>
                    <w:bottom w:val="single" w:color="000000" w:sz="8" w:space="0"/>
                    <w:right w:val="single" w:color="000000" w:sz="8" w:space="0"/>
                  </w:tcBorders>
                  <w:shd w:val="clear" w:color="auto" w:fill="auto"/>
                  <w:vAlign w:val="center"/>
                </w:tcPr>
                <w:p w14:paraId="0DC86270">
                  <w:pPr>
                    <w:jc w:val="center"/>
                    <w:rPr>
                      <w:rFonts w:hint="eastAsia" w:ascii="Times New Roman" w:hAnsi="Times New Roman" w:eastAsia="宋体" w:cs="宋体"/>
                      <w:i w:val="0"/>
                      <w:iCs w:val="0"/>
                      <w:color w:val="auto"/>
                      <w:sz w:val="21"/>
                      <w:szCs w:val="21"/>
                      <w:u w:val="none"/>
                    </w:rPr>
                  </w:pPr>
                </w:p>
              </w:tc>
              <w:tc>
                <w:tcPr>
                  <w:tcW w:w="705" w:type="dxa"/>
                  <w:tcBorders>
                    <w:top w:val="nil"/>
                    <w:left w:val="single" w:color="000000" w:sz="8" w:space="0"/>
                    <w:bottom w:val="single" w:color="000000" w:sz="8" w:space="0"/>
                    <w:right w:val="single" w:color="000000" w:sz="8" w:space="0"/>
                  </w:tcBorders>
                  <w:shd w:val="clear" w:color="auto" w:fill="auto"/>
                  <w:vAlign w:val="center"/>
                </w:tcPr>
                <w:p w14:paraId="08A284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NW</w:t>
                  </w:r>
                </w:p>
              </w:tc>
              <w:tc>
                <w:tcPr>
                  <w:tcW w:w="844" w:type="dxa"/>
                  <w:tcBorders>
                    <w:top w:val="nil"/>
                    <w:left w:val="single" w:color="000000" w:sz="8" w:space="0"/>
                    <w:bottom w:val="single" w:color="000000" w:sz="8" w:space="0"/>
                    <w:right w:val="single" w:color="000000" w:sz="8" w:space="0"/>
                  </w:tcBorders>
                  <w:shd w:val="clear" w:color="auto" w:fill="auto"/>
                  <w:vAlign w:val="center"/>
                </w:tcPr>
                <w:p w14:paraId="637AD38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409</w:t>
                  </w:r>
                </w:p>
              </w:tc>
            </w:tr>
            <w:tr w14:paraId="66CD5F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485" w:type="dxa"/>
                  <w:vMerge w:val="continue"/>
                  <w:tcBorders>
                    <w:top w:val="nil"/>
                    <w:left w:val="single" w:color="000000" w:sz="8" w:space="0"/>
                    <w:bottom w:val="single" w:color="000000" w:sz="8" w:space="0"/>
                    <w:right w:val="single" w:color="000000" w:sz="8" w:space="0"/>
                  </w:tcBorders>
                  <w:shd w:val="clear" w:color="auto" w:fill="auto"/>
                  <w:vAlign w:val="center"/>
                </w:tcPr>
                <w:p w14:paraId="7B76E88B">
                  <w:pPr>
                    <w:jc w:val="center"/>
                    <w:rPr>
                      <w:rFonts w:hint="eastAsia" w:ascii="Times New Roman" w:hAnsi="Times New Roman" w:eastAsia="宋体" w:cs="宋体"/>
                      <w:i w:val="0"/>
                      <w:iCs w:val="0"/>
                      <w:color w:val="auto"/>
                      <w:sz w:val="21"/>
                      <w:szCs w:val="21"/>
                      <w:u w:val="none"/>
                    </w:rPr>
                  </w:pPr>
                </w:p>
              </w:tc>
              <w:tc>
                <w:tcPr>
                  <w:tcW w:w="625" w:type="dxa"/>
                  <w:vMerge w:val="restart"/>
                  <w:tcBorders>
                    <w:top w:val="nil"/>
                    <w:left w:val="single" w:color="000000" w:sz="8" w:space="0"/>
                    <w:right w:val="single" w:color="000000" w:sz="8" w:space="0"/>
                  </w:tcBorders>
                  <w:shd w:val="clear" w:color="auto" w:fill="auto"/>
                  <w:vAlign w:val="center"/>
                </w:tcPr>
                <w:p w14:paraId="1AE2A0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41"/>
                      <w:rFonts w:ascii="Times New Roman" w:hAnsi="Times New Roman" w:eastAsia="宋体"/>
                      <w:color w:val="auto"/>
                      <w:lang w:val="en-US" w:eastAsia="zh-CN" w:bidi="ar"/>
                    </w:rPr>
                    <w:t>3</w:t>
                  </w:r>
                  <w:r>
                    <w:rPr>
                      <w:rStyle w:val="40"/>
                      <w:rFonts w:ascii="Times New Roman" w:hAnsi="Times New Roman" w:eastAsia="宋体"/>
                      <w:color w:val="auto"/>
                      <w:lang w:val="en-US" w:eastAsia="zh-CN" w:bidi="ar"/>
                    </w:rPr>
                    <w:t>号井场</w:t>
                  </w: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1BED105A">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史圩孜</w:t>
                  </w:r>
                </w:p>
              </w:tc>
              <w:tc>
                <w:tcPr>
                  <w:tcW w:w="676" w:type="dxa"/>
                  <w:tcBorders>
                    <w:top w:val="nil"/>
                    <w:left w:val="single" w:color="000000" w:sz="8" w:space="0"/>
                    <w:bottom w:val="single" w:color="000000" w:sz="8" w:space="0"/>
                    <w:right w:val="single" w:color="000000" w:sz="8" w:space="0"/>
                  </w:tcBorders>
                  <w:shd w:val="clear" w:color="auto" w:fill="auto"/>
                  <w:vAlign w:val="center"/>
                </w:tcPr>
                <w:p w14:paraId="2DAAEC7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36</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48FF31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795" w:type="dxa"/>
                  <w:tcBorders>
                    <w:top w:val="nil"/>
                    <w:left w:val="single" w:color="000000" w:sz="8" w:space="0"/>
                    <w:bottom w:val="single" w:color="000000" w:sz="8" w:space="0"/>
                    <w:right w:val="single" w:color="000000" w:sz="8" w:space="0"/>
                  </w:tcBorders>
                  <w:shd w:val="clear" w:color="auto" w:fill="auto"/>
                  <w:vAlign w:val="center"/>
                </w:tcPr>
                <w:p w14:paraId="49507D16">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48CEC1B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180</w:t>
                  </w:r>
                </w:p>
              </w:tc>
              <w:tc>
                <w:tcPr>
                  <w:tcW w:w="1155" w:type="dxa"/>
                  <w:vMerge w:val="continue"/>
                  <w:tcBorders>
                    <w:top w:val="nil"/>
                    <w:left w:val="single" w:color="000000" w:sz="8" w:space="0"/>
                    <w:bottom w:val="single" w:color="000000" w:sz="8" w:space="0"/>
                    <w:right w:val="single" w:color="000000" w:sz="8" w:space="0"/>
                  </w:tcBorders>
                  <w:shd w:val="clear" w:color="auto" w:fill="auto"/>
                  <w:vAlign w:val="center"/>
                </w:tcPr>
                <w:p w14:paraId="5C56C9DD">
                  <w:pPr>
                    <w:jc w:val="center"/>
                    <w:rPr>
                      <w:rFonts w:hint="eastAsia" w:ascii="Times New Roman" w:hAnsi="Times New Roman" w:eastAsia="宋体" w:cs="宋体"/>
                      <w:i w:val="0"/>
                      <w:iCs w:val="0"/>
                      <w:color w:val="auto"/>
                      <w:sz w:val="21"/>
                      <w:szCs w:val="21"/>
                      <w:u w:val="none"/>
                    </w:rPr>
                  </w:pPr>
                </w:p>
              </w:tc>
              <w:tc>
                <w:tcPr>
                  <w:tcW w:w="705" w:type="dxa"/>
                  <w:tcBorders>
                    <w:top w:val="nil"/>
                    <w:left w:val="single" w:color="000000" w:sz="8" w:space="0"/>
                    <w:bottom w:val="single" w:color="000000" w:sz="8" w:space="0"/>
                    <w:right w:val="single" w:color="000000" w:sz="8" w:space="0"/>
                  </w:tcBorders>
                  <w:shd w:val="clear" w:color="auto" w:fill="auto"/>
                  <w:vAlign w:val="center"/>
                </w:tcPr>
                <w:p w14:paraId="4B23F1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E</w:t>
                  </w:r>
                </w:p>
              </w:tc>
              <w:tc>
                <w:tcPr>
                  <w:tcW w:w="844" w:type="dxa"/>
                  <w:tcBorders>
                    <w:top w:val="nil"/>
                    <w:left w:val="single" w:color="000000" w:sz="8" w:space="0"/>
                    <w:bottom w:val="single" w:color="000000" w:sz="8" w:space="0"/>
                    <w:right w:val="single" w:color="000000" w:sz="8" w:space="0"/>
                  </w:tcBorders>
                  <w:shd w:val="clear" w:color="auto" w:fill="auto"/>
                  <w:vAlign w:val="center"/>
                </w:tcPr>
                <w:p w14:paraId="47B85E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36</w:t>
                  </w:r>
                </w:p>
              </w:tc>
            </w:tr>
            <w:tr w14:paraId="16A48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485" w:type="dxa"/>
                  <w:vMerge w:val="continue"/>
                  <w:tcBorders>
                    <w:top w:val="nil"/>
                    <w:left w:val="single" w:color="000000" w:sz="8" w:space="0"/>
                    <w:bottom w:val="single" w:color="000000" w:sz="8" w:space="0"/>
                    <w:right w:val="single" w:color="000000" w:sz="8" w:space="0"/>
                  </w:tcBorders>
                  <w:shd w:val="clear" w:color="auto" w:fill="auto"/>
                  <w:vAlign w:val="center"/>
                </w:tcPr>
                <w:p w14:paraId="4DC5187E">
                  <w:pPr>
                    <w:jc w:val="center"/>
                    <w:rPr>
                      <w:rFonts w:hint="eastAsia" w:ascii="Times New Roman" w:hAnsi="Times New Roman" w:eastAsia="宋体" w:cs="宋体"/>
                      <w:i w:val="0"/>
                      <w:iCs w:val="0"/>
                      <w:color w:val="auto"/>
                      <w:sz w:val="21"/>
                      <w:szCs w:val="21"/>
                      <w:u w:val="none"/>
                    </w:rPr>
                  </w:pPr>
                </w:p>
              </w:tc>
              <w:tc>
                <w:tcPr>
                  <w:tcW w:w="625" w:type="dxa"/>
                  <w:vMerge w:val="continue"/>
                  <w:tcBorders>
                    <w:left w:val="single" w:color="000000" w:sz="8" w:space="0"/>
                    <w:right w:val="single" w:color="000000" w:sz="8" w:space="0"/>
                  </w:tcBorders>
                  <w:shd w:val="clear" w:color="auto" w:fill="auto"/>
                  <w:vAlign w:val="center"/>
                </w:tcPr>
                <w:p w14:paraId="16F803EC">
                  <w:pPr>
                    <w:jc w:val="center"/>
                    <w:rPr>
                      <w:rFonts w:hint="default" w:ascii="Times New Roman" w:hAnsi="Times New Roman" w:eastAsia="宋体" w:cs="Times New Roman"/>
                      <w:i w:val="0"/>
                      <w:iCs w:val="0"/>
                      <w:color w:val="auto"/>
                      <w:sz w:val="21"/>
                      <w:szCs w:val="21"/>
                      <w:u w:val="none"/>
                    </w:rPr>
                  </w:pP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44DEC681">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泥古路旁散户</w:t>
                  </w:r>
                </w:p>
              </w:tc>
              <w:tc>
                <w:tcPr>
                  <w:tcW w:w="676" w:type="dxa"/>
                  <w:tcBorders>
                    <w:top w:val="nil"/>
                    <w:left w:val="single" w:color="000000" w:sz="8" w:space="0"/>
                    <w:bottom w:val="single" w:color="000000" w:sz="8" w:space="0"/>
                    <w:right w:val="single" w:color="000000" w:sz="8" w:space="0"/>
                  </w:tcBorders>
                  <w:shd w:val="clear" w:color="auto" w:fill="auto"/>
                  <w:vAlign w:val="center"/>
                </w:tcPr>
                <w:p w14:paraId="71ED101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-390</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03D477B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795" w:type="dxa"/>
                  <w:tcBorders>
                    <w:top w:val="nil"/>
                    <w:left w:val="single" w:color="000000" w:sz="8" w:space="0"/>
                    <w:bottom w:val="single" w:color="000000" w:sz="8" w:space="0"/>
                    <w:right w:val="single" w:color="000000" w:sz="8" w:space="0"/>
                  </w:tcBorders>
                  <w:shd w:val="clear" w:color="auto" w:fill="auto"/>
                  <w:vAlign w:val="center"/>
                </w:tcPr>
                <w:p w14:paraId="0DE4805F">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50C8511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1155" w:type="dxa"/>
                  <w:vMerge w:val="continue"/>
                  <w:tcBorders>
                    <w:top w:val="nil"/>
                    <w:left w:val="single" w:color="000000" w:sz="8" w:space="0"/>
                    <w:bottom w:val="single" w:color="000000" w:sz="8" w:space="0"/>
                    <w:right w:val="single" w:color="000000" w:sz="8" w:space="0"/>
                  </w:tcBorders>
                  <w:shd w:val="clear" w:color="auto" w:fill="auto"/>
                  <w:vAlign w:val="center"/>
                </w:tcPr>
                <w:p w14:paraId="69A4E710">
                  <w:pPr>
                    <w:jc w:val="center"/>
                    <w:rPr>
                      <w:rFonts w:hint="eastAsia" w:ascii="Times New Roman" w:hAnsi="Times New Roman" w:eastAsia="宋体" w:cs="宋体"/>
                      <w:i w:val="0"/>
                      <w:iCs w:val="0"/>
                      <w:color w:val="auto"/>
                      <w:sz w:val="21"/>
                      <w:szCs w:val="21"/>
                      <w:u w:val="none"/>
                    </w:rPr>
                  </w:pPr>
                </w:p>
              </w:tc>
              <w:tc>
                <w:tcPr>
                  <w:tcW w:w="705" w:type="dxa"/>
                  <w:tcBorders>
                    <w:top w:val="nil"/>
                    <w:left w:val="single" w:color="000000" w:sz="8" w:space="0"/>
                    <w:bottom w:val="single" w:color="000000" w:sz="8" w:space="0"/>
                    <w:right w:val="single" w:color="000000" w:sz="8" w:space="0"/>
                  </w:tcBorders>
                  <w:shd w:val="clear" w:color="auto" w:fill="auto"/>
                  <w:vAlign w:val="center"/>
                </w:tcPr>
                <w:p w14:paraId="37A1F2D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SW</w:t>
                  </w:r>
                </w:p>
              </w:tc>
              <w:tc>
                <w:tcPr>
                  <w:tcW w:w="844" w:type="dxa"/>
                  <w:tcBorders>
                    <w:top w:val="nil"/>
                    <w:left w:val="single" w:color="000000" w:sz="8" w:space="0"/>
                    <w:bottom w:val="single" w:color="000000" w:sz="8" w:space="0"/>
                    <w:right w:val="single" w:color="000000" w:sz="8" w:space="0"/>
                  </w:tcBorders>
                  <w:shd w:val="clear" w:color="auto" w:fill="auto"/>
                  <w:vAlign w:val="center"/>
                </w:tcPr>
                <w:p w14:paraId="08CD29A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369</w:t>
                  </w:r>
                </w:p>
              </w:tc>
            </w:tr>
            <w:tr w14:paraId="5024D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485" w:type="dxa"/>
                  <w:vMerge w:val="continue"/>
                  <w:tcBorders>
                    <w:top w:val="nil"/>
                    <w:left w:val="single" w:color="000000" w:sz="8" w:space="0"/>
                    <w:bottom w:val="single" w:color="000000" w:sz="8" w:space="0"/>
                    <w:right w:val="single" w:color="000000" w:sz="8" w:space="0"/>
                  </w:tcBorders>
                  <w:shd w:val="clear" w:color="auto" w:fill="auto"/>
                  <w:vAlign w:val="center"/>
                </w:tcPr>
                <w:p w14:paraId="75FFBEFD">
                  <w:pPr>
                    <w:jc w:val="center"/>
                    <w:rPr>
                      <w:rFonts w:hint="eastAsia" w:ascii="Times New Roman" w:hAnsi="Times New Roman" w:eastAsia="宋体" w:cs="宋体"/>
                      <w:i w:val="0"/>
                      <w:iCs w:val="0"/>
                      <w:color w:val="auto"/>
                      <w:sz w:val="21"/>
                      <w:szCs w:val="21"/>
                      <w:u w:val="none"/>
                    </w:rPr>
                  </w:pPr>
                </w:p>
              </w:tc>
              <w:tc>
                <w:tcPr>
                  <w:tcW w:w="625" w:type="dxa"/>
                  <w:vMerge w:val="continue"/>
                  <w:tcBorders>
                    <w:left w:val="single" w:color="000000" w:sz="8" w:space="0"/>
                    <w:bottom w:val="single" w:color="000000" w:sz="8" w:space="0"/>
                    <w:right w:val="single" w:color="000000" w:sz="8" w:space="0"/>
                  </w:tcBorders>
                  <w:shd w:val="clear" w:color="auto" w:fill="auto"/>
                  <w:vAlign w:val="center"/>
                </w:tcPr>
                <w:p w14:paraId="325DAA46">
                  <w:pPr>
                    <w:jc w:val="center"/>
                    <w:rPr>
                      <w:rFonts w:hint="default" w:ascii="Times New Roman" w:hAnsi="Times New Roman" w:eastAsia="宋体" w:cs="Times New Roman"/>
                      <w:i w:val="0"/>
                      <w:iCs w:val="0"/>
                      <w:color w:val="auto"/>
                      <w:sz w:val="21"/>
                      <w:szCs w:val="21"/>
                      <w:u w:val="none"/>
                    </w:rPr>
                  </w:pP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1AA30D84">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西四支渠旁散户</w:t>
                  </w:r>
                </w:p>
              </w:tc>
              <w:tc>
                <w:tcPr>
                  <w:tcW w:w="676" w:type="dxa"/>
                  <w:tcBorders>
                    <w:top w:val="nil"/>
                    <w:left w:val="single" w:color="000000" w:sz="8" w:space="0"/>
                    <w:bottom w:val="single" w:color="000000" w:sz="8" w:space="0"/>
                    <w:right w:val="single" w:color="000000" w:sz="8" w:space="0"/>
                  </w:tcBorders>
                  <w:shd w:val="clear" w:color="auto" w:fill="auto"/>
                  <w:vAlign w:val="center"/>
                </w:tcPr>
                <w:p w14:paraId="657423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462</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58962E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205</w:t>
                  </w:r>
                </w:p>
              </w:tc>
              <w:tc>
                <w:tcPr>
                  <w:tcW w:w="795" w:type="dxa"/>
                  <w:tcBorders>
                    <w:top w:val="nil"/>
                    <w:left w:val="single" w:color="000000" w:sz="8" w:space="0"/>
                    <w:bottom w:val="single" w:color="000000" w:sz="8" w:space="0"/>
                    <w:right w:val="single" w:color="000000" w:sz="8" w:space="0"/>
                  </w:tcBorders>
                  <w:shd w:val="clear" w:color="auto" w:fill="auto"/>
                  <w:vAlign w:val="center"/>
                </w:tcPr>
                <w:p w14:paraId="01637975">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5F2FA0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w:t>
                  </w:r>
                </w:p>
              </w:tc>
              <w:tc>
                <w:tcPr>
                  <w:tcW w:w="1155" w:type="dxa"/>
                  <w:vMerge w:val="continue"/>
                  <w:tcBorders>
                    <w:top w:val="nil"/>
                    <w:left w:val="single" w:color="000000" w:sz="8" w:space="0"/>
                    <w:bottom w:val="single" w:color="000000" w:sz="8" w:space="0"/>
                    <w:right w:val="single" w:color="000000" w:sz="8" w:space="0"/>
                  </w:tcBorders>
                  <w:shd w:val="clear" w:color="auto" w:fill="auto"/>
                  <w:vAlign w:val="center"/>
                </w:tcPr>
                <w:p w14:paraId="374AF3AF">
                  <w:pPr>
                    <w:jc w:val="center"/>
                    <w:rPr>
                      <w:rFonts w:hint="eastAsia" w:ascii="Times New Roman" w:hAnsi="Times New Roman" w:eastAsia="宋体" w:cs="宋体"/>
                      <w:i w:val="0"/>
                      <w:iCs w:val="0"/>
                      <w:color w:val="auto"/>
                      <w:sz w:val="21"/>
                      <w:szCs w:val="21"/>
                      <w:u w:val="none"/>
                    </w:rPr>
                  </w:pPr>
                </w:p>
              </w:tc>
              <w:tc>
                <w:tcPr>
                  <w:tcW w:w="705" w:type="dxa"/>
                  <w:tcBorders>
                    <w:top w:val="nil"/>
                    <w:left w:val="single" w:color="000000" w:sz="8" w:space="0"/>
                    <w:bottom w:val="single" w:color="000000" w:sz="8" w:space="0"/>
                    <w:right w:val="single" w:color="000000" w:sz="8" w:space="0"/>
                  </w:tcBorders>
                  <w:shd w:val="clear" w:color="auto" w:fill="auto"/>
                  <w:vAlign w:val="center"/>
                </w:tcPr>
                <w:p w14:paraId="206B51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E</w:t>
                  </w:r>
                </w:p>
              </w:tc>
              <w:tc>
                <w:tcPr>
                  <w:tcW w:w="844" w:type="dxa"/>
                  <w:tcBorders>
                    <w:top w:val="nil"/>
                    <w:left w:val="single" w:color="000000" w:sz="8" w:space="0"/>
                    <w:bottom w:val="single" w:color="000000" w:sz="8" w:space="0"/>
                    <w:right w:val="single" w:color="000000" w:sz="8" w:space="0"/>
                  </w:tcBorders>
                  <w:shd w:val="clear" w:color="auto" w:fill="auto"/>
                  <w:vAlign w:val="center"/>
                </w:tcPr>
                <w:p w14:paraId="0DACC7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490</w:t>
                  </w:r>
                </w:p>
              </w:tc>
            </w:tr>
            <w:tr w14:paraId="402E5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485" w:type="dxa"/>
                  <w:vMerge w:val="continue"/>
                  <w:tcBorders>
                    <w:top w:val="nil"/>
                    <w:left w:val="single" w:color="000000" w:sz="8" w:space="0"/>
                    <w:bottom w:val="single" w:color="000000" w:sz="8" w:space="0"/>
                    <w:right w:val="single" w:color="000000" w:sz="8" w:space="0"/>
                  </w:tcBorders>
                  <w:shd w:val="clear" w:color="auto" w:fill="auto"/>
                  <w:vAlign w:val="center"/>
                </w:tcPr>
                <w:p w14:paraId="59A84A2F">
                  <w:pPr>
                    <w:jc w:val="center"/>
                    <w:rPr>
                      <w:rFonts w:hint="eastAsia" w:ascii="Times New Roman" w:hAnsi="Times New Roman" w:eastAsia="宋体" w:cs="宋体"/>
                      <w:i w:val="0"/>
                      <w:iCs w:val="0"/>
                      <w:color w:val="auto"/>
                      <w:sz w:val="21"/>
                      <w:szCs w:val="21"/>
                      <w:u w:val="none"/>
                    </w:rPr>
                  </w:pPr>
                </w:p>
              </w:tc>
              <w:tc>
                <w:tcPr>
                  <w:tcW w:w="625" w:type="dxa"/>
                  <w:vMerge w:val="restart"/>
                  <w:tcBorders>
                    <w:top w:val="nil"/>
                    <w:left w:val="single" w:color="000000" w:sz="8" w:space="0"/>
                    <w:right w:val="single" w:color="000000" w:sz="8" w:space="0"/>
                  </w:tcBorders>
                  <w:shd w:val="clear" w:color="auto" w:fill="auto"/>
                  <w:vAlign w:val="center"/>
                </w:tcPr>
                <w:p w14:paraId="5A93CCD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41"/>
                      <w:rFonts w:ascii="Times New Roman" w:hAnsi="Times New Roman" w:eastAsia="宋体"/>
                      <w:color w:val="auto"/>
                      <w:lang w:val="en-US" w:eastAsia="zh-CN" w:bidi="ar"/>
                    </w:rPr>
                    <w:t>4</w:t>
                  </w:r>
                  <w:r>
                    <w:rPr>
                      <w:rStyle w:val="40"/>
                      <w:rFonts w:ascii="Times New Roman" w:hAnsi="Times New Roman" w:eastAsia="宋体"/>
                      <w:color w:val="auto"/>
                      <w:lang w:val="en-US" w:eastAsia="zh-CN" w:bidi="ar"/>
                    </w:rPr>
                    <w:t>号井场</w:t>
                  </w: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1D8AD85B">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史圩孜</w:t>
                  </w:r>
                </w:p>
              </w:tc>
              <w:tc>
                <w:tcPr>
                  <w:tcW w:w="676" w:type="dxa"/>
                  <w:tcBorders>
                    <w:top w:val="nil"/>
                    <w:left w:val="single" w:color="000000" w:sz="8" w:space="0"/>
                    <w:bottom w:val="single" w:color="000000" w:sz="8" w:space="0"/>
                    <w:right w:val="single" w:color="000000" w:sz="8" w:space="0"/>
                  </w:tcBorders>
                  <w:shd w:val="clear" w:color="auto" w:fill="auto"/>
                  <w:vAlign w:val="center"/>
                </w:tcPr>
                <w:p w14:paraId="54D73C2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6DA806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795" w:type="dxa"/>
                  <w:tcBorders>
                    <w:top w:val="nil"/>
                    <w:left w:val="single" w:color="000000" w:sz="8" w:space="0"/>
                    <w:bottom w:val="single" w:color="000000" w:sz="8" w:space="0"/>
                    <w:right w:val="single" w:color="000000" w:sz="8" w:space="0"/>
                  </w:tcBorders>
                  <w:shd w:val="clear" w:color="auto" w:fill="auto"/>
                  <w:vAlign w:val="center"/>
                </w:tcPr>
                <w:p w14:paraId="18BACDA3">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4EB399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180</w:t>
                  </w:r>
                </w:p>
              </w:tc>
              <w:tc>
                <w:tcPr>
                  <w:tcW w:w="1155" w:type="dxa"/>
                  <w:vMerge w:val="continue"/>
                  <w:tcBorders>
                    <w:top w:val="nil"/>
                    <w:left w:val="single" w:color="000000" w:sz="8" w:space="0"/>
                    <w:bottom w:val="single" w:color="000000" w:sz="8" w:space="0"/>
                    <w:right w:val="single" w:color="000000" w:sz="8" w:space="0"/>
                  </w:tcBorders>
                  <w:shd w:val="clear" w:color="auto" w:fill="auto"/>
                  <w:vAlign w:val="center"/>
                </w:tcPr>
                <w:p w14:paraId="4B77E3C6">
                  <w:pPr>
                    <w:jc w:val="center"/>
                    <w:rPr>
                      <w:rFonts w:hint="eastAsia" w:ascii="Times New Roman" w:hAnsi="Times New Roman" w:eastAsia="宋体" w:cs="宋体"/>
                      <w:i w:val="0"/>
                      <w:iCs w:val="0"/>
                      <w:color w:val="auto"/>
                      <w:sz w:val="21"/>
                      <w:szCs w:val="21"/>
                      <w:u w:val="none"/>
                    </w:rPr>
                  </w:pPr>
                </w:p>
              </w:tc>
              <w:tc>
                <w:tcPr>
                  <w:tcW w:w="705" w:type="dxa"/>
                  <w:tcBorders>
                    <w:top w:val="nil"/>
                    <w:left w:val="single" w:color="000000" w:sz="8" w:space="0"/>
                    <w:bottom w:val="single" w:color="000000" w:sz="8" w:space="0"/>
                    <w:right w:val="single" w:color="000000" w:sz="8" w:space="0"/>
                  </w:tcBorders>
                  <w:shd w:val="clear" w:color="auto" w:fill="auto"/>
                  <w:vAlign w:val="center"/>
                </w:tcPr>
                <w:p w14:paraId="01D8C3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SE</w:t>
                  </w:r>
                </w:p>
              </w:tc>
              <w:tc>
                <w:tcPr>
                  <w:tcW w:w="844" w:type="dxa"/>
                  <w:tcBorders>
                    <w:top w:val="nil"/>
                    <w:left w:val="single" w:color="000000" w:sz="8" w:space="0"/>
                    <w:bottom w:val="single" w:color="000000" w:sz="8" w:space="0"/>
                    <w:right w:val="single" w:color="000000" w:sz="8" w:space="0"/>
                  </w:tcBorders>
                  <w:shd w:val="clear" w:color="auto" w:fill="auto"/>
                  <w:vAlign w:val="center"/>
                </w:tcPr>
                <w:p w14:paraId="7233529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r>
            <w:tr w14:paraId="6DE28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485" w:type="dxa"/>
                  <w:vMerge w:val="continue"/>
                  <w:tcBorders>
                    <w:top w:val="nil"/>
                    <w:left w:val="single" w:color="000000" w:sz="8" w:space="0"/>
                    <w:bottom w:val="single" w:color="000000" w:sz="8" w:space="0"/>
                    <w:right w:val="single" w:color="000000" w:sz="8" w:space="0"/>
                  </w:tcBorders>
                  <w:shd w:val="clear" w:color="auto" w:fill="auto"/>
                  <w:vAlign w:val="center"/>
                </w:tcPr>
                <w:p w14:paraId="1992DA18">
                  <w:pPr>
                    <w:jc w:val="center"/>
                    <w:rPr>
                      <w:rFonts w:hint="eastAsia" w:ascii="Times New Roman" w:hAnsi="Times New Roman" w:eastAsia="宋体" w:cs="宋体"/>
                      <w:i w:val="0"/>
                      <w:iCs w:val="0"/>
                      <w:color w:val="auto"/>
                      <w:sz w:val="21"/>
                      <w:szCs w:val="21"/>
                      <w:u w:val="none"/>
                    </w:rPr>
                  </w:pPr>
                </w:p>
              </w:tc>
              <w:tc>
                <w:tcPr>
                  <w:tcW w:w="625" w:type="dxa"/>
                  <w:vMerge w:val="continue"/>
                  <w:tcBorders>
                    <w:left w:val="single" w:color="000000" w:sz="8" w:space="0"/>
                    <w:right w:val="single" w:color="000000" w:sz="8" w:space="0"/>
                  </w:tcBorders>
                  <w:shd w:val="clear" w:color="auto" w:fill="auto"/>
                  <w:vAlign w:val="center"/>
                </w:tcPr>
                <w:p w14:paraId="574981FB">
                  <w:pPr>
                    <w:jc w:val="center"/>
                    <w:rPr>
                      <w:rFonts w:hint="default" w:ascii="Times New Roman" w:hAnsi="Times New Roman" w:eastAsia="宋体" w:cs="Times New Roman"/>
                      <w:i w:val="0"/>
                      <w:iCs w:val="0"/>
                      <w:color w:val="auto"/>
                      <w:sz w:val="21"/>
                      <w:szCs w:val="21"/>
                      <w:u w:val="none"/>
                    </w:rPr>
                  </w:pP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5B4A060D">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泥古路旁散户</w:t>
                  </w:r>
                </w:p>
              </w:tc>
              <w:tc>
                <w:tcPr>
                  <w:tcW w:w="676" w:type="dxa"/>
                  <w:tcBorders>
                    <w:top w:val="nil"/>
                    <w:left w:val="single" w:color="000000" w:sz="8" w:space="0"/>
                    <w:bottom w:val="single" w:color="000000" w:sz="8" w:space="0"/>
                    <w:right w:val="single" w:color="000000" w:sz="8" w:space="0"/>
                  </w:tcBorders>
                  <w:shd w:val="clear" w:color="auto" w:fill="auto"/>
                  <w:vAlign w:val="center"/>
                </w:tcPr>
                <w:p w14:paraId="5B33CC6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-407</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699773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-144</w:t>
                  </w:r>
                </w:p>
              </w:tc>
              <w:tc>
                <w:tcPr>
                  <w:tcW w:w="795" w:type="dxa"/>
                  <w:tcBorders>
                    <w:top w:val="nil"/>
                    <w:left w:val="single" w:color="000000" w:sz="8" w:space="0"/>
                    <w:bottom w:val="single" w:color="000000" w:sz="8" w:space="0"/>
                    <w:right w:val="single" w:color="000000" w:sz="8" w:space="0"/>
                  </w:tcBorders>
                  <w:shd w:val="clear" w:color="auto" w:fill="auto"/>
                  <w:vAlign w:val="center"/>
                </w:tcPr>
                <w:p w14:paraId="1BB39484">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3A2A031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1155" w:type="dxa"/>
                  <w:vMerge w:val="continue"/>
                  <w:tcBorders>
                    <w:top w:val="nil"/>
                    <w:left w:val="single" w:color="000000" w:sz="8" w:space="0"/>
                    <w:bottom w:val="single" w:color="000000" w:sz="8" w:space="0"/>
                    <w:right w:val="single" w:color="000000" w:sz="8" w:space="0"/>
                  </w:tcBorders>
                  <w:shd w:val="clear" w:color="auto" w:fill="auto"/>
                  <w:vAlign w:val="center"/>
                </w:tcPr>
                <w:p w14:paraId="4F9B4357">
                  <w:pPr>
                    <w:jc w:val="center"/>
                    <w:rPr>
                      <w:rFonts w:hint="eastAsia" w:ascii="Times New Roman" w:hAnsi="Times New Roman" w:eastAsia="宋体" w:cs="宋体"/>
                      <w:i w:val="0"/>
                      <w:iCs w:val="0"/>
                      <w:color w:val="auto"/>
                      <w:sz w:val="21"/>
                      <w:szCs w:val="21"/>
                      <w:u w:val="none"/>
                    </w:rPr>
                  </w:pPr>
                </w:p>
              </w:tc>
              <w:tc>
                <w:tcPr>
                  <w:tcW w:w="705" w:type="dxa"/>
                  <w:tcBorders>
                    <w:top w:val="nil"/>
                    <w:left w:val="single" w:color="000000" w:sz="8" w:space="0"/>
                    <w:bottom w:val="single" w:color="000000" w:sz="8" w:space="0"/>
                    <w:right w:val="single" w:color="000000" w:sz="8" w:space="0"/>
                  </w:tcBorders>
                  <w:shd w:val="clear" w:color="auto" w:fill="auto"/>
                  <w:vAlign w:val="center"/>
                </w:tcPr>
                <w:p w14:paraId="7354E9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SW</w:t>
                  </w:r>
                </w:p>
              </w:tc>
              <w:tc>
                <w:tcPr>
                  <w:tcW w:w="844" w:type="dxa"/>
                  <w:tcBorders>
                    <w:top w:val="nil"/>
                    <w:left w:val="single" w:color="000000" w:sz="8" w:space="0"/>
                    <w:bottom w:val="single" w:color="000000" w:sz="8" w:space="0"/>
                    <w:right w:val="single" w:color="000000" w:sz="8" w:space="0"/>
                  </w:tcBorders>
                  <w:shd w:val="clear" w:color="auto" w:fill="auto"/>
                  <w:vAlign w:val="center"/>
                </w:tcPr>
                <w:p w14:paraId="2C1FF54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400</w:t>
                  </w:r>
                </w:p>
              </w:tc>
            </w:tr>
            <w:tr w14:paraId="21612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85" w:type="dxa"/>
                  <w:vMerge w:val="continue"/>
                  <w:tcBorders>
                    <w:top w:val="nil"/>
                    <w:left w:val="single" w:color="000000" w:sz="8" w:space="0"/>
                    <w:bottom w:val="single" w:color="000000" w:sz="8" w:space="0"/>
                    <w:right w:val="single" w:color="000000" w:sz="8" w:space="0"/>
                  </w:tcBorders>
                  <w:shd w:val="clear" w:color="auto" w:fill="auto"/>
                  <w:vAlign w:val="center"/>
                </w:tcPr>
                <w:p w14:paraId="42A31569">
                  <w:pPr>
                    <w:jc w:val="center"/>
                    <w:rPr>
                      <w:rFonts w:hint="eastAsia" w:ascii="Times New Roman" w:hAnsi="Times New Roman" w:eastAsia="宋体" w:cs="宋体"/>
                      <w:i w:val="0"/>
                      <w:iCs w:val="0"/>
                      <w:color w:val="auto"/>
                      <w:sz w:val="21"/>
                      <w:szCs w:val="21"/>
                      <w:u w:val="none"/>
                    </w:rPr>
                  </w:pPr>
                </w:p>
              </w:tc>
              <w:tc>
                <w:tcPr>
                  <w:tcW w:w="625" w:type="dxa"/>
                  <w:vMerge w:val="continue"/>
                  <w:tcBorders>
                    <w:left w:val="single" w:color="000000" w:sz="8" w:space="0"/>
                    <w:bottom w:val="single" w:color="000000" w:sz="8" w:space="0"/>
                    <w:right w:val="single" w:color="000000" w:sz="8" w:space="0"/>
                  </w:tcBorders>
                  <w:shd w:val="clear" w:color="auto" w:fill="auto"/>
                  <w:vAlign w:val="center"/>
                </w:tcPr>
                <w:p w14:paraId="58D95A5F">
                  <w:pPr>
                    <w:jc w:val="center"/>
                    <w:rPr>
                      <w:rFonts w:hint="default" w:ascii="Times New Roman" w:hAnsi="Times New Roman" w:eastAsia="宋体" w:cs="Times New Roman"/>
                      <w:i w:val="0"/>
                      <w:iCs w:val="0"/>
                      <w:color w:val="auto"/>
                      <w:sz w:val="21"/>
                      <w:szCs w:val="21"/>
                      <w:u w:val="none"/>
                    </w:rPr>
                  </w:pP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0F108F78">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西四支渠旁散户</w:t>
                  </w:r>
                </w:p>
              </w:tc>
              <w:tc>
                <w:tcPr>
                  <w:tcW w:w="676" w:type="dxa"/>
                  <w:tcBorders>
                    <w:top w:val="nil"/>
                    <w:left w:val="single" w:color="000000" w:sz="8" w:space="0"/>
                    <w:bottom w:val="single" w:color="000000" w:sz="8" w:space="0"/>
                    <w:right w:val="single" w:color="000000" w:sz="8" w:space="0"/>
                  </w:tcBorders>
                  <w:shd w:val="clear" w:color="auto" w:fill="auto"/>
                  <w:vAlign w:val="center"/>
                </w:tcPr>
                <w:p w14:paraId="00FA431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580A74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48</w:t>
                  </w:r>
                </w:p>
              </w:tc>
              <w:tc>
                <w:tcPr>
                  <w:tcW w:w="795" w:type="dxa"/>
                  <w:tcBorders>
                    <w:top w:val="nil"/>
                    <w:left w:val="single" w:color="000000" w:sz="8" w:space="0"/>
                    <w:bottom w:val="single" w:color="000000" w:sz="8" w:space="0"/>
                    <w:right w:val="single" w:color="000000" w:sz="8" w:space="0"/>
                  </w:tcBorders>
                  <w:shd w:val="clear" w:color="auto" w:fill="auto"/>
                  <w:vAlign w:val="center"/>
                </w:tcPr>
                <w:p w14:paraId="0AD04BB4">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6F0256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w:t>
                  </w:r>
                </w:p>
              </w:tc>
              <w:tc>
                <w:tcPr>
                  <w:tcW w:w="1155" w:type="dxa"/>
                  <w:vMerge w:val="continue"/>
                  <w:tcBorders>
                    <w:top w:val="nil"/>
                    <w:left w:val="single" w:color="000000" w:sz="8" w:space="0"/>
                    <w:bottom w:val="single" w:color="000000" w:sz="8" w:space="0"/>
                    <w:right w:val="single" w:color="000000" w:sz="8" w:space="0"/>
                  </w:tcBorders>
                  <w:shd w:val="clear" w:color="auto" w:fill="auto"/>
                  <w:vAlign w:val="center"/>
                </w:tcPr>
                <w:p w14:paraId="6F735044">
                  <w:pPr>
                    <w:jc w:val="center"/>
                    <w:rPr>
                      <w:rFonts w:hint="eastAsia" w:ascii="Times New Roman" w:hAnsi="Times New Roman" w:eastAsia="宋体" w:cs="宋体"/>
                      <w:i w:val="0"/>
                      <w:iCs w:val="0"/>
                      <w:color w:val="auto"/>
                      <w:sz w:val="21"/>
                      <w:szCs w:val="21"/>
                      <w:u w:val="none"/>
                    </w:rPr>
                  </w:pPr>
                </w:p>
              </w:tc>
              <w:tc>
                <w:tcPr>
                  <w:tcW w:w="705" w:type="dxa"/>
                  <w:tcBorders>
                    <w:top w:val="nil"/>
                    <w:left w:val="single" w:color="000000" w:sz="8" w:space="0"/>
                    <w:bottom w:val="single" w:color="000000" w:sz="8" w:space="0"/>
                    <w:right w:val="single" w:color="000000" w:sz="8" w:space="0"/>
                  </w:tcBorders>
                  <w:shd w:val="clear" w:color="auto" w:fill="auto"/>
                  <w:vAlign w:val="center"/>
                </w:tcPr>
                <w:p w14:paraId="48127F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E</w:t>
                  </w:r>
                </w:p>
              </w:tc>
              <w:tc>
                <w:tcPr>
                  <w:tcW w:w="844" w:type="dxa"/>
                  <w:tcBorders>
                    <w:top w:val="nil"/>
                    <w:left w:val="single" w:color="000000" w:sz="8" w:space="0"/>
                    <w:bottom w:val="single" w:color="000000" w:sz="8" w:space="0"/>
                    <w:right w:val="single" w:color="000000" w:sz="8" w:space="0"/>
                  </w:tcBorders>
                  <w:shd w:val="clear" w:color="auto" w:fill="auto"/>
                  <w:vAlign w:val="center"/>
                </w:tcPr>
                <w:p w14:paraId="02255E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404</w:t>
                  </w:r>
                </w:p>
              </w:tc>
            </w:tr>
            <w:tr w14:paraId="7E20F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485" w:type="dxa"/>
                  <w:vMerge w:val="continue"/>
                  <w:tcBorders>
                    <w:top w:val="nil"/>
                    <w:left w:val="single" w:color="000000" w:sz="8" w:space="0"/>
                    <w:bottom w:val="single" w:color="000000" w:sz="8" w:space="0"/>
                    <w:right w:val="single" w:color="000000" w:sz="8" w:space="0"/>
                  </w:tcBorders>
                  <w:shd w:val="clear" w:color="auto" w:fill="auto"/>
                  <w:vAlign w:val="center"/>
                </w:tcPr>
                <w:p w14:paraId="5B803118">
                  <w:pPr>
                    <w:jc w:val="center"/>
                    <w:rPr>
                      <w:rFonts w:hint="eastAsia" w:ascii="Times New Roman" w:hAnsi="Times New Roman" w:eastAsia="宋体" w:cs="宋体"/>
                      <w:i w:val="0"/>
                      <w:iCs w:val="0"/>
                      <w:color w:val="auto"/>
                      <w:sz w:val="21"/>
                      <w:szCs w:val="21"/>
                      <w:u w:val="none"/>
                    </w:rPr>
                  </w:pPr>
                </w:p>
              </w:tc>
              <w:tc>
                <w:tcPr>
                  <w:tcW w:w="625" w:type="dxa"/>
                  <w:vMerge w:val="restart"/>
                  <w:tcBorders>
                    <w:top w:val="nil"/>
                    <w:left w:val="single" w:color="000000" w:sz="8" w:space="0"/>
                    <w:right w:val="single" w:color="000000" w:sz="8" w:space="0"/>
                  </w:tcBorders>
                  <w:shd w:val="clear" w:color="auto" w:fill="auto"/>
                  <w:vAlign w:val="center"/>
                </w:tcPr>
                <w:p w14:paraId="7FBA16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41"/>
                      <w:rFonts w:ascii="Times New Roman" w:hAnsi="Times New Roman" w:eastAsia="宋体"/>
                      <w:color w:val="auto"/>
                      <w:lang w:val="en-US" w:eastAsia="zh-CN" w:bidi="ar"/>
                    </w:rPr>
                    <w:t>5</w:t>
                  </w:r>
                  <w:r>
                    <w:rPr>
                      <w:rStyle w:val="40"/>
                      <w:rFonts w:ascii="Times New Roman" w:hAnsi="Times New Roman" w:eastAsia="宋体"/>
                      <w:color w:val="auto"/>
                      <w:lang w:val="en-US" w:eastAsia="zh-CN" w:bidi="ar"/>
                    </w:rPr>
                    <w:t>号井场</w:t>
                  </w: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79ED8404">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史圩孜</w:t>
                  </w:r>
                </w:p>
              </w:tc>
              <w:tc>
                <w:tcPr>
                  <w:tcW w:w="676" w:type="dxa"/>
                  <w:tcBorders>
                    <w:top w:val="nil"/>
                    <w:left w:val="single" w:color="000000" w:sz="8" w:space="0"/>
                    <w:bottom w:val="single" w:color="000000" w:sz="8" w:space="0"/>
                    <w:right w:val="single" w:color="000000" w:sz="8" w:space="0"/>
                  </w:tcBorders>
                  <w:shd w:val="clear" w:color="auto" w:fill="auto"/>
                  <w:vAlign w:val="center"/>
                </w:tcPr>
                <w:p w14:paraId="07AF3A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70</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6D8F1D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-112</w:t>
                  </w:r>
                </w:p>
              </w:tc>
              <w:tc>
                <w:tcPr>
                  <w:tcW w:w="795" w:type="dxa"/>
                  <w:tcBorders>
                    <w:top w:val="nil"/>
                    <w:left w:val="single" w:color="000000" w:sz="8" w:space="0"/>
                    <w:bottom w:val="single" w:color="000000" w:sz="8" w:space="0"/>
                    <w:right w:val="single" w:color="000000" w:sz="8" w:space="0"/>
                  </w:tcBorders>
                  <w:shd w:val="clear" w:color="auto" w:fill="auto"/>
                  <w:vAlign w:val="center"/>
                </w:tcPr>
                <w:p w14:paraId="4F39D323">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1C1F9E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180</w:t>
                  </w:r>
                </w:p>
              </w:tc>
              <w:tc>
                <w:tcPr>
                  <w:tcW w:w="1155" w:type="dxa"/>
                  <w:vMerge w:val="continue"/>
                  <w:tcBorders>
                    <w:top w:val="nil"/>
                    <w:left w:val="single" w:color="000000" w:sz="8" w:space="0"/>
                    <w:bottom w:val="single" w:color="000000" w:sz="8" w:space="0"/>
                    <w:right w:val="single" w:color="000000" w:sz="8" w:space="0"/>
                  </w:tcBorders>
                  <w:shd w:val="clear" w:color="auto" w:fill="auto"/>
                  <w:vAlign w:val="center"/>
                </w:tcPr>
                <w:p w14:paraId="3E914F8A">
                  <w:pPr>
                    <w:jc w:val="center"/>
                    <w:rPr>
                      <w:rFonts w:hint="eastAsia" w:ascii="Times New Roman" w:hAnsi="Times New Roman" w:eastAsia="宋体" w:cs="宋体"/>
                      <w:i w:val="0"/>
                      <w:iCs w:val="0"/>
                      <w:color w:val="auto"/>
                      <w:sz w:val="21"/>
                      <w:szCs w:val="21"/>
                      <w:u w:val="none"/>
                    </w:rPr>
                  </w:pPr>
                </w:p>
              </w:tc>
              <w:tc>
                <w:tcPr>
                  <w:tcW w:w="705" w:type="dxa"/>
                  <w:tcBorders>
                    <w:top w:val="nil"/>
                    <w:left w:val="single" w:color="000000" w:sz="8" w:space="0"/>
                    <w:bottom w:val="single" w:color="000000" w:sz="8" w:space="0"/>
                    <w:right w:val="single" w:color="000000" w:sz="8" w:space="0"/>
                  </w:tcBorders>
                  <w:shd w:val="clear" w:color="auto" w:fill="auto"/>
                  <w:vAlign w:val="center"/>
                </w:tcPr>
                <w:p w14:paraId="3F761B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SE</w:t>
                  </w:r>
                </w:p>
              </w:tc>
              <w:tc>
                <w:tcPr>
                  <w:tcW w:w="844" w:type="dxa"/>
                  <w:tcBorders>
                    <w:top w:val="nil"/>
                    <w:left w:val="single" w:color="000000" w:sz="8" w:space="0"/>
                    <w:bottom w:val="single" w:color="000000" w:sz="8" w:space="0"/>
                    <w:right w:val="single" w:color="000000" w:sz="8" w:space="0"/>
                  </w:tcBorders>
                  <w:shd w:val="clear" w:color="auto" w:fill="auto"/>
                  <w:vAlign w:val="center"/>
                </w:tcPr>
                <w:p w14:paraId="6427B7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110</w:t>
                  </w:r>
                </w:p>
              </w:tc>
            </w:tr>
            <w:tr w14:paraId="01E16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485" w:type="dxa"/>
                  <w:vMerge w:val="continue"/>
                  <w:tcBorders>
                    <w:top w:val="nil"/>
                    <w:left w:val="single" w:color="000000" w:sz="8" w:space="0"/>
                    <w:bottom w:val="single" w:color="000000" w:sz="8" w:space="0"/>
                    <w:right w:val="single" w:color="000000" w:sz="8" w:space="0"/>
                  </w:tcBorders>
                  <w:shd w:val="clear" w:color="auto" w:fill="auto"/>
                  <w:vAlign w:val="center"/>
                </w:tcPr>
                <w:p w14:paraId="1D7EE22F">
                  <w:pPr>
                    <w:jc w:val="center"/>
                    <w:rPr>
                      <w:rFonts w:hint="eastAsia" w:ascii="Times New Roman" w:hAnsi="Times New Roman" w:eastAsia="宋体" w:cs="宋体"/>
                      <w:i w:val="0"/>
                      <w:iCs w:val="0"/>
                      <w:color w:val="auto"/>
                      <w:sz w:val="21"/>
                      <w:szCs w:val="21"/>
                      <w:u w:val="none"/>
                    </w:rPr>
                  </w:pPr>
                </w:p>
              </w:tc>
              <w:tc>
                <w:tcPr>
                  <w:tcW w:w="625" w:type="dxa"/>
                  <w:vMerge w:val="continue"/>
                  <w:tcBorders>
                    <w:left w:val="single" w:color="000000" w:sz="8" w:space="0"/>
                    <w:right w:val="single" w:color="000000" w:sz="8" w:space="0"/>
                  </w:tcBorders>
                  <w:shd w:val="clear" w:color="auto" w:fill="auto"/>
                  <w:vAlign w:val="center"/>
                </w:tcPr>
                <w:p w14:paraId="23FF608F">
                  <w:pPr>
                    <w:jc w:val="center"/>
                    <w:rPr>
                      <w:rFonts w:hint="default" w:ascii="Times New Roman" w:hAnsi="Times New Roman" w:eastAsia="宋体" w:cs="Times New Roman"/>
                      <w:i w:val="0"/>
                      <w:iCs w:val="0"/>
                      <w:color w:val="auto"/>
                      <w:sz w:val="21"/>
                      <w:szCs w:val="21"/>
                      <w:u w:val="none"/>
                    </w:rPr>
                  </w:pP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79426905">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泥古路旁散户</w:t>
                  </w:r>
                </w:p>
              </w:tc>
              <w:tc>
                <w:tcPr>
                  <w:tcW w:w="676" w:type="dxa"/>
                  <w:tcBorders>
                    <w:top w:val="nil"/>
                    <w:left w:val="single" w:color="000000" w:sz="8" w:space="0"/>
                    <w:bottom w:val="single" w:color="000000" w:sz="8" w:space="0"/>
                    <w:right w:val="single" w:color="000000" w:sz="8" w:space="0"/>
                  </w:tcBorders>
                  <w:shd w:val="clear" w:color="auto" w:fill="auto"/>
                  <w:vAlign w:val="center"/>
                </w:tcPr>
                <w:p w14:paraId="6A3312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-404</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71AC76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-280</w:t>
                  </w:r>
                </w:p>
              </w:tc>
              <w:tc>
                <w:tcPr>
                  <w:tcW w:w="795" w:type="dxa"/>
                  <w:tcBorders>
                    <w:top w:val="nil"/>
                    <w:left w:val="single" w:color="000000" w:sz="8" w:space="0"/>
                    <w:bottom w:val="single" w:color="000000" w:sz="8" w:space="0"/>
                    <w:right w:val="single" w:color="000000" w:sz="8" w:space="0"/>
                  </w:tcBorders>
                  <w:shd w:val="clear" w:color="auto" w:fill="auto"/>
                  <w:vAlign w:val="center"/>
                </w:tcPr>
                <w:p w14:paraId="754CB577">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284508D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1155" w:type="dxa"/>
                  <w:vMerge w:val="continue"/>
                  <w:tcBorders>
                    <w:top w:val="nil"/>
                    <w:left w:val="single" w:color="000000" w:sz="8" w:space="0"/>
                    <w:bottom w:val="single" w:color="000000" w:sz="8" w:space="0"/>
                    <w:right w:val="single" w:color="000000" w:sz="8" w:space="0"/>
                  </w:tcBorders>
                  <w:shd w:val="clear" w:color="auto" w:fill="auto"/>
                  <w:vAlign w:val="center"/>
                </w:tcPr>
                <w:p w14:paraId="2468C944">
                  <w:pPr>
                    <w:jc w:val="center"/>
                    <w:rPr>
                      <w:rFonts w:hint="eastAsia" w:ascii="Times New Roman" w:hAnsi="Times New Roman" w:eastAsia="宋体" w:cs="宋体"/>
                      <w:i w:val="0"/>
                      <w:iCs w:val="0"/>
                      <w:color w:val="auto"/>
                      <w:sz w:val="21"/>
                      <w:szCs w:val="21"/>
                      <w:u w:val="none"/>
                    </w:rPr>
                  </w:pPr>
                </w:p>
              </w:tc>
              <w:tc>
                <w:tcPr>
                  <w:tcW w:w="705" w:type="dxa"/>
                  <w:tcBorders>
                    <w:top w:val="nil"/>
                    <w:left w:val="single" w:color="000000" w:sz="8" w:space="0"/>
                    <w:bottom w:val="single" w:color="000000" w:sz="8" w:space="0"/>
                    <w:right w:val="single" w:color="000000" w:sz="8" w:space="0"/>
                  </w:tcBorders>
                  <w:shd w:val="clear" w:color="auto" w:fill="auto"/>
                  <w:vAlign w:val="center"/>
                </w:tcPr>
                <w:p w14:paraId="6E0F58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SW</w:t>
                  </w:r>
                </w:p>
              </w:tc>
              <w:tc>
                <w:tcPr>
                  <w:tcW w:w="844" w:type="dxa"/>
                  <w:tcBorders>
                    <w:top w:val="nil"/>
                    <w:left w:val="single" w:color="000000" w:sz="8" w:space="0"/>
                    <w:bottom w:val="single" w:color="000000" w:sz="8" w:space="0"/>
                    <w:right w:val="single" w:color="000000" w:sz="8" w:space="0"/>
                  </w:tcBorders>
                  <w:shd w:val="clear" w:color="auto" w:fill="auto"/>
                  <w:vAlign w:val="center"/>
                </w:tcPr>
                <w:p w14:paraId="32D3D7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480</w:t>
                  </w:r>
                </w:p>
              </w:tc>
            </w:tr>
            <w:tr w14:paraId="47BF2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85" w:type="dxa"/>
                  <w:vMerge w:val="continue"/>
                  <w:tcBorders>
                    <w:top w:val="nil"/>
                    <w:left w:val="single" w:color="000000" w:sz="8" w:space="0"/>
                    <w:bottom w:val="single" w:color="000000" w:sz="8" w:space="0"/>
                    <w:right w:val="single" w:color="000000" w:sz="8" w:space="0"/>
                  </w:tcBorders>
                  <w:shd w:val="clear" w:color="auto" w:fill="auto"/>
                  <w:vAlign w:val="center"/>
                </w:tcPr>
                <w:p w14:paraId="4EA3E02A">
                  <w:pPr>
                    <w:jc w:val="center"/>
                    <w:rPr>
                      <w:rFonts w:hint="eastAsia" w:ascii="Times New Roman" w:hAnsi="Times New Roman" w:eastAsia="宋体" w:cs="宋体"/>
                      <w:i w:val="0"/>
                      <w:iCs w:val="0"/>
                      <w:color w:val="auto"/>
                      <w:sz w:val="21"/>
                      <w:szCs w:val="21"/>
                      <w:u w:val="none"/>
                    </w:rPr>
                  </w:pPr>
                </w:p>
              </w:tc>
              <w:tc>
                <w:tcPr>
                  <w:tcW w:w="625" w:type="dxa"/>
                  <w:vMerge w:val="continue"/>
                  <w:tcBorders>
                    <w:left w:val="single" w:color="000000" w:sz="8" w:space="0"/>
                    <w:bottom w:val="single" w:color="000000" w:sz="8" w:space="0"/>
                    <w:right w:val="single" w:color="000000" w:sz="8" w:space="0"/>
                  </w:tcBorders>
                  <w:shd w:val="clear" w:color="auto" w:fill="auto"/>
                  <w:vAlign w:val="center"/>
                </w:tcPr>
                <w:p w14:paraId="528C7DA1">
                  <w:pPr>
                    <w:jc w:val="center"/>
                    <w:rPr>
                      <w:rFonts w:hint="default" w:ascii="Times New Roman" w:hAnsi="Times New Roman" w:eastAsia="宋体" w:cs="Times New Roman"/>
                      <w:i w:val="0"/>
                      <w:iCs w:val="0"/>
                      <w:color w:val="auto"/>
                      <w:sz w:val="21"/>
                      <w:szCs w:val="21"/>
                      <w:u w:val="none"/>
                    </w:rPr>
                  </w:pP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0D7D1932">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西四支渠旁散户</w:t>
                  </w:r>
                </w:p>
              </w:tc>
              <w:tc>
                <w:tcPr>
                  <w:tcW w:w="676" w:type="dxa"/>
                  <w:tcBorders>
                    <w:top w:val="nil"/>
                    <w:left w:val="single" w:color="000000" w:sz="8" w:space="0"/>
                    <w:bottom w:val="single" w:color="000000" w:sz="8" w:space="0"/>
                    <w:right w:val="single" w:color="000000" w:sz="8" w:space="0"/>
                  </w:tcBorders>
                  <w:shd w:val="clear" w:color="auto" w:fill="auto"/>
                  <w:vAlign w:val="center"/>
                </w:tcPr>
                <w:p w14:paraId="3F3E67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406</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4C4499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795" w:type="dxa"/>
                  <w:tcBorders>
                    <w:top w:val="nil"/>
                    <w:left w:val="single" w:color="000000" w:sz="8" w:space="0"/>
                    <w:bottom w:val="single" w:color="000000" w:sz="8" w:space="0"/>
                    <w:right w:val="single" w:color="000000" w:sz="8" w:space="0"/>
                  </w:tcBorders>
                  <w:shd w:val="clear" w:color="auto" w:fill="auto"/>
                  <w:vAlign w:val="center"/>
                </w:tcPr>
                <w:p w14:paraId="37BE3819">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40991D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w:t>
                  </w:r>
                </w:p>
              </w:tc>
              <w:tc>
                <w:tcPr>
                  <w:tcW w:w="1155" w:type="dxa"/>
                  <w:vMerge w:val="continue"/>
                  <w:tcBorders>
                    <w:top w:val="nil"/>
                    <w:left w:val="single" w:color="000000" w:sz="8" w:space="0"/>
                    <w:bottom w:val="single" w:color="000000" w:sz="8" w:space="0"/>
                    <w:right w:val="single" w:color="000000" w:sz="8" w:space="0"/>
                  </w:tcBorders>
                  <w:shd w:val="clear" w:color="auto" w:fill="auto"/>
                  <w:vAlign w:val="center"/>
                </w:tcPr>
                <w:p w14:paraId="3745A610">
                  <w:pPr>
                    <w:jc w:val="center"/>
                    <w:rPr>
                      <w:rFonts w:hint="eastAsia" w:ascii="Times New Roman" w:hAnsi="Times New Roman" w:eastAsia="宋体" w:cs="宋体"/>
                      <w:i w:val="0"/>
                      <w:iCs w:val="0"/>
                      <w:color w:val="auto"/>
                      <w:sz w:val="21"/>
                      <w:szCs w:val="21"/>
                      <w:u w:val="none"/>
                    </w:rPr>
                  </w:pPr>
                </w:p>
              </w:tc>
              <w:tc>
                <w:tcPr>
                  <w:tcW w:w="705" w:type="dxa"/>
                  <w:tcBorders>
                    <w:top w:val="nil"/>
                    <w:left w:val="single" w:color="000000" w:sz="8" w:space="0"/>
                    <w:bottom w:val="single" w:color="000000" w:sz="8" w:space="0"/>
                    <w:right w:val="single" w:color="000000" w:sz="8" w:space="0"/>
                  </w:tcBorders>
                  <w:shd w:val="clear" w:color="auto" w:fill="auto"/>
                  <w:vAlign w:val="center"/>
                </w:tcPr>
                <w:p w14:paraId="69A3CF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E</w:t>
                  </w:r>
                </w:p>
              </w:tc>
              <w:tc>
                <w:tcPr>
                  <w:tcW w:w="844" w:type="dxa"/>
                  <w:tcBorders>
                    <w:top w:val="nil"/>
                    <w:left w:val="single" w:color="000000" w:sz="8" w:space="0"/>
                    <w:bottom w:val="single" w:color="000000" w:sz="8" w:space="0"/>
                    <w:right w:val="single" w:color="000000" w:sz="8" w:space="0"/>
                  </w:tcBorders>
                  <w:shd w:val="clear" w:color="auto" w:fill="auto"/>
                  <w:vAlign w:val="center"/>
                </w:tcPr>
                <w:p w14:paraId="579618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378</w:t>
                  </w:r>
                </w:p>
              </w:tc>
            </w:tr>
            <w:tr w14:paraId="351B1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485" w:type="dxa"/>
                  <w:vMerge w:val="continue"/>
                  <w:tcBorders>
                    <w:top w:val="nil"/>
                    <w:left w:val="single" w:color="000000" w:sz="8" w:space="0"/>
                    <w:bottom w:val="single" w:color="000000" w:sz="8" w:space="0"/>
                    <w:right w:val="single" w:color="000000" w:sz="8" w:space="0"/>
                  </w:tcBorders>
                  <w:shd w:val="clear" w:color="auto" w:fill="auto"/>
                  <w:vAlign w:val="center"/>
                </w:tcPr>
                <w:p w14:paraId="2CDD67E6">
                  <w:pPr>
                    <w:jc w:val="center"/>
                    <w:rPr>
                      <w:rFonts w:hint="eastAsia" w:ascii="Times New Roman" w:hAnsi="Times New Roman" w:eastAsia="宋体" w:cs="宋体"/>
                      <w:i w:val="0"/>
                      <w:iCs w:val="0"/>
                      <w:color w:val="auto"/>
                      <w:sz w:val="21"/>
                      <w:szCs w:val="21"/>
                      <w:u w:val="none"/>
                    </w:rPr>
                  </w:pPr>
                </w:p>
              </w:tc>
              <w:tc>
                <w:tcPr>
                  <w:tcW w:w="625" w:type="dxa"/>
                  <w:vMerge w:val="restart"/>
                  <w:tcBorders>
                    <w:top w:val="nil"/>
                    <w:left w:val="single" w:color="000000" w:sz="8" w:space="0"/>
                    <w:right w:val="single" w:color="000000" w:sz="8" w:space="0"/>
                  </w:tcBorders>
                  <w:shd w:val="clear" w:color="auto" w:fill="auto"/>
                  <w:vAlign w:val="center"/>
                </w:tcPr>
                <w:p w14:paraId="071F19A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41"/>
                      <w:rFonts w:ascii="Times New Roman" w:hAnsi="Times New Roman" w:eastAsia="宋体"/>
                      <w:color w:val="auto"/>
                      <w:lang w:val="en-US" w:eastAsia="zh-CN" w:bidi="ar"/>
                    </w:rPr>
                    <w:t>6</w:t>
                  </w:r>
                  <w:r>
                    <w:rPr>
                      <w:rStyle w:val="40"/>
                      <w:rFonts w:ascii="Times New Roman" w:hAnsi="Times New Roman" w:eastAsia="宋体"/>
                      <w:color w:val="auto"/>
                      <w:lang w:val="en-US" w:eastAsia="zh-CN" w:bidi="ar"/>
                    </w:rPr>
                    <w:t>号井场</w:t>
                  </w: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43348E40">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史圩孜</w:t>
                  </w:r>
                </w:p>
              </w:tc>
              <w:tc>
                <w:tcPr>
                  <w:tcW w:w="676" w:type="dxa"/>
                  <w:tcBorders>
                    <w:top w:val="nil"/>
                    <w:left w:val="single" w:color="000000" w:sz="8" w:space="0"/>
                    <w:bottom w:val="single" w:color="000000" w:sz="8" w:space="0"/>
                    <w:right w:val="single" w:color="000000" w:sz="8" w:space="0"/>
                  </w:tcBorders>
                  <w:shd w:val="clear" w:color="auto" w:fill="auto"/>
                  <w:vAlign w:val="center"/>
                </w:tcPr>
                <w:p w14:paraId="0A6701A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64</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1B361A7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-242</w:t>
                  </w:r>
                </w:p>
              </w:tc>
              <w:tc>
                <w:tcPr>
                  <w:tcW w:w="795" w:type="dxa"/>
                  <w:tcBorders>
                    <w:top w:val="nil"/>
                    <w:left w:val="single" w:color="000000" w:sz="8" w:space="0"/>
                    <w:bottom w:val="single" w:color="000000" w:sz="8" w:space="0"/>
                    <w:right w:val="single" w:color="000000" w:sz="8" w:space="0"/>
                  </w:tcBorders>
                  <w:shd w:val="clear" w:color="auto" w:fill="auto"/>
                  <w:vAlign w:val="center"/>
                </w:tcPr>
                <w:p w14:paraId="454BE038">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1812448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180</w:t>
                  </w:r>
                </w:p>
              </w:tc>
              <w:tc>
                <w:tcPr>
                  <w:tcW w:w="1155" w:type="dxa"/>
                  <w:vMerge w:val="continue"/>
                  <w:tcBorders>
                    <w:top w:val="nil"/>
                    <w:left w:val="single" w:color="000000" w:sz="8" w:space="0"/>
                    <w:bottom w:val="single" w:color="000000" w:sz="8" w:space="0"/>
                    <w:right w:val="single" w:color="000000" w:sz="8" w:space="0"/>
                  </w:tcBorders>
                  <w:shd w:val="clear" w:color="auto" w:fill="auto"/>
                  <w:vAlign w:val="center"/>
                </w:tcPr>
                <w:p w14:paraId="006919DC">
                  <w:pPr>
                    <w:jc w:val="center"/>
                    <w:rPr>
                      <w:rFonts w:hint="eastAsia" w:ascii="Times New Roman" w:hAnsi="Times New Roman" w:eastAsia="宋体" w:cs="宋体"/>
                      <w:i w:val="0"/>
                      <w:iCs w:val="0"/>
                      <w:color w:val="auto"/>
                      <w:sz w:val="21"/>
                      <w:szCs w:val="21"/>
                      <w:u w:val="none"/>
                    </w:rPr>
                  </w:pPr>
                </w:p>
              </w:tc>
              <w:tc>
                <w:tcPr>
                  <w:tcW w:w="705" w:type="dxa"/>
                  <w:tcBorders>
                    <w:top w:val="nil"/>
                    <w:left w:val="single" w:color="000000" w:sz="8" w:space="0"/>
                    <w:bottom w:val="single" w:color="000000" w:sz="8" w:space="0"/>
                    <w:right w:val="single" w:color="000000" w:sz="8" w:space="0"/>
                  </w:tcBorders>
                  <w:shd w:val="clear" w:color="auto" w:fill="auto"/>
                  <w:vAlign w:val="center"/>
                </w:tcPr>
                <w:p w14:paraId="285DF1F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SE</w:t>
                  </w:r>
                </w:p>
              </w:tc>
              <w:tc>
                <w:tcPr>
                  <w:tcW w:w="844" w:type="dxa"/>
                  <w:tcBorders>
                    <w:top w:val="nil"/>
                    <w:left w:val="single" w:color="000000" w:sz="8" w:space="0"/>
                    <w:bottom w:val="single" w:color="000000" w:sz="8" w:space="0"/>
                    <w:right w:val="single" w:color="000000" w:sz="8" w:space="0"/>
                  </w:tcBorders>
                  <w:shd w:val="clear" w:color="auto" w:fill="auto"/>
                  <w:vAlign w:val="center"/>
                </w:tcPr>
                <w:p w14:paraId="56F554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165</w:t>
                  </w:r>
                </w:p>
              </w:tc>
            </w:tr>
            <w:tr w14:paraId="40851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485" w:type="dxa"/>
                  <w:vMerge w:val="continue"/>
                  <w:tcBorders>
                    <w:top w:val="nil"/>
                    <w:left w:val="single" w:color="000000" w:sz="8" w:space="0"/>
                    <w:bottom w:val="single" w:color="000000" w:sz="8" w:space="0"/>
                    <w:right w:val="single" w:color="000000" w:sz="8" w:space="0"/>
                  </w:tcBorders>
                  <w:shd w:val="clear" w:color="auto" w:fill="auto"/>
                  <w:vAlign w:val="center"/>
                </w:tcPr>
                <w:p w14:paraId="17EA533E">
                  <w:pPr>
                    <w:jc w:val="center"/>
                    <w:rPr>
                      <w:rFonts w:hint="eastAsia" w:ascii="Times New Roman" w:hAnsi="Times New Roman" w:eastAsia="宋体" w:cs="宋体"/>
                      <w:i w:val="0"/>
                      <w:iCs w:val="0"/>
                      <w:color w:val="auto"/>
                      <w:sz w:val="21"/>
                      <w:szCs w:val="21"/>
                      <w:u w:val="none"/>
                    </w:rPr>
                  </w:pPr>
                </w:p>
              </w:tc>
              <w:tc>
                <w:tcPr>
                  <w:tcW w:w="625" w:type="dxa"/>
                  <w:vMerge w:val="continue"/>
                  <w:tcBorders>
                    <w:left w:val="single" w:color="000000" w:sz="8" w:space="0"/>
                    <w:bottom w:val="single" w:color="000000" w:sz="8" w:space="0"/>
                    <w:right w:val="single" w:color="000000" w:sz="8" w:space="0"/>
                  </w:tcBorders>
                  <w:shd w:val="clear" w:color="auto" w:fill="auto"/>
                  <w:vAlign w:val="center"/>
                </w:tcPr>
                <w:p w14:paraId="116B3112">
                  <w:pPr>
                    <w:keepNext w:val="0"/>
                    <w:keepLines w:val="0"/>
                    <w:widowControl/>
                    <w:suppressLineNumbers w:val="0"/>
                    <w:jc w:val="center"/>
                    <w:textAlignment w:val="center"/>
                    <w:rPr>
                      <w:rStyle w:val="41"/>
                      <w:rFonts w:ascii="Times New Roman" w:hAnsi="Times New Roman" w:eastAsia="宋体"/>
                      <w:color w:val="auto"/>
                      <w:lang w:val="en-US" w:eastAsia="zh-CN" w:bidi="ar"/>
                    </w:rPr>
                  </w:pP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5633CA9C">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西四支渠旁散户</w:t>
                  </w:r>
                </w:p>
              </w:tc>
              <w:tc>
                <w:tcPr>
                  <w:tcW w:w="676" w:type="dxa"/>
                  <w:tcBorders>
                    <w:top w:val="nil"/>
                    <w:left w:val="single" w:color="000000" w:sz="8" w:space="0"/>
                    <w:bottom w:val="single" w:color="000000" w:sz="8" w:space="0"/>
                    <w:right w:val="single" w:color="000000" w:sz="8" w:space="0"/>
                  </w:tcBorders>
                  <w:shd w:val="clear" w:color="auto" w:fill="auto"/>
                  <w:vAlign w:val="center"/>
                </w:tcPr>
                <w:p w14:paraId="3A6819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377</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21F51B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-112</w:t>
                  </w:r>
                </w:p>
              </w:tc>
              <w:tc>
                <w:tcPr>
                  <w:tcW w:w="795" w:type="dxa"/>
                  <w:tcBorders>
                    <w:top w:val="nil"/>
                    <w:left w:val="single" w:color="000000" w:sz="8" w:space="0"/>
                    <w:bottom w:val="single" w:color="000000" w:sz="8" w:space="0"/>
                    <w:right w:val="single" w:color="000000" w:sz="8" w:space="0"/>
                  </w:tcBorders>
                  <w:shd w:val="clear" w:color="auto" w:fill="auto"/>
                  <w:vAlign w:val="center"/>
                </w:tcPr>
                <w:p w14:paraId="106B88C5">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7A9096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w:t>
                  </w:r>
                </w:p>
              </w:tc>
              <w:tc>
                <w:tcPr>
                  <w:tcW w:w="1155" w:type="dxa"/>
                  <w:vMerge w:val="continue"/>
                  <w:tcBorders>
                    <w:top w:val="nil"/>
                    <w:left w:val="single" w:color="000000" w:sz="8" w:space="0"/>
                    <w:bottom w:val="single" w:color="000000" w:sz="8" w:space="0"/>
                    <w:right w:val="single" w:color="000000" w:sz="8" w:space="0"/>
                  </w:tcBorders>
                  <w:shd w:val="clear" w:color="auto" w:fill="auto"/>
                  <w:vAlign w:val="center"/>
                </w:tcPr>
                <w:p w14:paraId="363352CA">
                  <w:pPr>
                    <w:jc w:val="center"/>
                    <w:rPr>
                      <w:rFonts w:hint="eastAsia" w:ascii="Times New Roman" w:hAnsi="Times New Roman" w:eastAsia="宋体" w:cs="宋体"/>
                      <w:i w:val="0"/>
                      <w:iCs w:val="0"/>
                      <w:color w:val="auto"/>
                      <w:sz w:val="21"/>
                      <w:szCs w:val="21"/>
                      <w:u w:val="none"/>
                    </w:rPr>
                  </w:pPr>
                </w:p>
              </w:tc>
              <w:tc>
                <w:tcPr>
                  <w:tcW w:w="705" w:type="dxa"/>
                  <w:tcBorders>
                    <w:top w:val="nil"/>
                    <w:left w:val="single" w:color="000000" w:sz="8" w:space="0"/>
                    <w:bottom w:val="single" w:color="000000" w:sz="8" w:space="0"/>
                    <w:right w:val="single" w:color="000000" w:sz="8" w:space="0"/>
                  </w:tcBorders>
                  <w:shd w:val="clear" w:color="auto" w:fill="auto"/>
                  <w:vAlign w:val="center"/>
                </w:tcPr>
                <w:p w14:paraId="4ABC9D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SE</w:t>
                  </w:r>
                </w:p>
              </w:tc>
              <w:tc>
                <w:tcPr>
                  <w:tcW w:w="844" w:type="dxa"/>
                  <w:tcBorders>
                    <w:top w:val="nil"/>
                    <w:left w:val="single" w:color="000000" w:sz="8" w:space="0"/>
                    <w:bottom w:val="single" w:color="000000" w:sz="8" w:space="0"/>
                    <w:right w:val="single" w:color="000000" w:sz="8" w:space="0"/>
                  </w:tcBorders>
                  <w:shd w:val="clear" w:color="auto" w:fill="auto"/>
                  <w:vAlign w:val="center"/>
                </w:tcPr>
                <w:p w14:paraId="74E194B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400</w:t>
                  </w:r>
                </w:p>
              </w:tc>
            </w:tr>
            <w:tr w14:paraId="2BEFC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485" w:type="dxa"/>
                  <w:vMerge w:val="continue"/>
                  <w:tcBorders>
                    <w:top w:val="nil"/>
                    <w:left w:val="single" w:color="000000" w:sz="8" w:space="0"/>
                    <w:bottom w:val="single" w:color="000000" w:sz="8" w:space="0"/>
                    <w:right w:val="single" w:color="000000" w:sz="8" w:space="0"/>
                  </w:tcBorders>
                  <w:shd w:val="clear" w:color="auto" w:fill="auto"/>
                  <w:vAlign w:val="center"/>
                </w:tcPr>
                <w:p w14:paraId="36F7ED01">
                  <w:pPr>
                    <w:jc w:val="center"/>
                    <w:rPr>
                      <w:rFonts w:hint="eastAsia" w:ascii="Times New Roman" w:hAnsi="Times New Roman" w:eastAsia="宋体" w:cs="宋体"/>
                      <w:i w:val="0"/>
                      <w:iCs w:val="0"/>
                      <w:color w:val="auto"/>
                      <w:sz w:val="21"/>
                      <w:szCs w:val="21"/>
                      <w:u w:val="none"/>
                    </w:rPr>
                  </w:pPr>
                </w:p>
              </w:tc>
              <w:tc>
                <w:tcPr>
                  <w:tcW w:w="625" w:type="dxa"/>
                  <w:vMerge w:val="restart"/>
                  <w:tcBorders>
                    <w:top w:val="nil"/>
                    <w:left w:val="single" w:color="000000" w:sz="8" w:space="0"/>
                    <w:right w:val="single" w:color="000000" w:sz="8" w:space="0"/>
                  </w:tcBorders>
                  <w:shd w:val="clear" w:color="auto" w:fill="auto"/>
                  <w:noWrap/>
                  <w:vAlign w:val="center"/>
                </w:tcPr>
                <w:p w14:paraId="341A74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41"/>
                      <w:rFonts w:ascii="Times New Roman" w:hAnsi="Times New Roman" w:eastAsia="宋体"/>
                      <w:color w:val="auto"/>
                      <w:lang w:val="en-US" w:eastAsia="zh-CN" w:bidi="ar"/>
                    </w:rPr>
                    <w:t>7</w:t>
                  </w:r>
                  <w:r>
                    <w:rPr>
                      <w:rStyle w:val="40"/>
                      <w:rFonts w:ascii="Times New Roman" w:hAnsi="Times New Roman" w:eastAsia="宋体"/>
                      <w:color w:val="auto"/>
                      <w:lang w:val="en-US" w:eastAsia="zh-CN" w:bidi="ar"/>
                    </w:rPr>
                    <w:t>号井场</w:t>
                  </w: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3F639FA0">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史圩孜</w:t>
                  </w:r>
                </w:p>
              </w:tc>
              <w:tc>
                <w:tcPr>
                  <w:tcW w:w="676" w:type="dxa"/>
                  <w:tcBorders>
                    <w:top w:val="nil"/>
                    <w:left w:val="single" w:color="000000" w:sz="8" w:space="0"/>
                    <w:bottom w:val="single" w:color="000000" w:sz="8" w:space="0"/>
                    <w:right w:val="single" w:color="000000" w:sz="8" w:space="0"/>
                  </w:tcBorders>
                  <w:shd w:val="clear" w:color="auto" w:fill="auto"/>
                  <w:vAlign w:val="center"/>
                </w:tcPr>
                <w:p w14:paraId="41576C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624F05B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-391</w:t>
                  </w:r>
                </w:p>
              </w:tc>
              <w:tc>
                <w:tcPr>
                  <w:tcW w:w="795" w:type="dxa"/>
                  <w:tcBorders>
                    <w:top w:val="nil"/>
                    <w:left w:val="single" w:color="000000" w:sz="8" w:space="0"/>
                    <w:bottom w:val="single" w:color="000000" w:sz="8" w:space="0"/>
                    <w:right w:val="single" w:color="000000" w:sz="8" w:space="0"/>
                  </w:tcBorders>
                  <w:shd w:val="clear" w:color="auto" w:fill="auto"/>
                  <w:vAlign w:val="center"/>
                </w:tcPr>
                <w:p w14:paraId="4F98CB7F">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2E7CF5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180</w:t>
                  </w:r>
                </w:p>
              </w:tc>
              <w:tc>
                <w:tcPr>
                  <w:tcW w:w="1155" w:type="dxa"/>
                  <w:vMerge w:val="continue"/>
                  <w:tcBorders>
                    <w:top w:val="nil"/>
                    <w:left w:val="single" w:color="000000" w:sz="8" w:space="0"/>
                    <w:bottom w:val="single" w:color="000000" w:sz="8" w:space="0"/>
                    <w:right w:val="single" w:color="000000" w:sz="8" w:space="0"/>
                  </w:tcBorders>
                  <w:shd w:val="clear" w:color="auto" w:fill="auto"/>
                  <w:vAlign w:val="center"/>
                </w:tcPr>
                <w:p w14:paraId="11A9F99D">
                  <w:pPr>
                    <w:jc w:val="center"/>
                    <w:rPr>
                      <w:rFonts w:hint="eastAsia" w:ascii="Times New Roman" w:hAnsi="Times New Roman" w:eastAsia="宋体" w:cs="宋体"/>
                      <w:i w:val="0"/>
                      <w:iCs w:val="0"/>
                      <w:color w:val="auto"/>
                      <w:sz w:val="21"/>
                      <w:szCs w:val="21"/>
                      <w:u w:val="none"/>
                    </w:rPr>
                  </w:pPr>
                </w:p>
              </w:tc>
              <w:tc>
                <w:tcPr>
                  <w:tcW w:w="705" w:type="dxa"/>
                  <w:tcBorders>
                    <w:top w:val="nil"/>
                    <w:left w:val="single" w:color="000000" w:sz="8" w:space="0"/>
                    <w:bottom w:val="single" w:color="000000" w:sz="8" w:space="0"/>
                    <w:right w:val="single" w:color="000000" w:sz="8" w:space="0"/>
                  </w:tcBorders>
                  <w:shd w:val="clear" w:color="auto" w:fill="auto"/>
                  <w:vAlign w:val="center"/>
                </w:tcPr>
                <w:p w14:paraId="555966B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SE</w:t>
                  </w:r>
                </w:p>
              </w:tc>
              <w:tc>
                <w:tcPr>
                  <w:tcW w:w="844" w:type="dxa"/>
                  <w:tcBorders>
                    <w:top w:val="nil"/>
                    <w:left w:val="single" w:color="000000" w:sz="8" w:space="0"/>
                    <w:bottom w:val="single" w:color="000000" w:sz="8" w:space="0"/>
                    <w:right w:val="single" w:color="000000" w:sz="8" w:space="0"/>
                  </w:tcBorders>
                  <w:shd w:val="clear" w:color="auto" w:fill="auto"/>
                  <w:vAlign w:val="center"/>
                </w:tcPr>
                <w:p w14:paraId="0551433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365</w:t>
                  </w:r>
                </w:p>
              </w:tc>
            </w:tr>
            <w:tr w14:paraId="3C919B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485" w:type="dxa"/>
                  <w:vMerge w:val="continue"/>
                  <w:tcBorders>
                    <w:top w:val="nil"/>
                    <w:left w:val="single" w:color="000000" w:sz="8" w:space="0"/>
                    <w:bottom w:val="single" w:color="000000" w:sz="8" w:space="0"/>
                    <w:right w:val="single" w:color="000000" w:sz="8" w:space="0"/>
                  </w:tcBorders>
                  <w:shd w:val="clear" w:color="auto" w:fill="auto"/>
                  <w:vAlign w:val="center"/>
                </w:tcPr>
                <w:p w14:paraId="42349BD0">
                  <w:pPr>
                    <w:jc w:val="center"/>
                    <w:rPr>
                      <w:rFonts w:hint="eastAsia" w:ascii="Times New Roman" w:hAnsi="Times New Roman" w:eastAsia="宋体" w:cs="宋体"/>
                      <w:i w:val="0"/>
                      <w:iCs w:val="0"/>
                      <w:color w:val="auto"/>
                      <w:sz w:val="21"/>
                      <w:szCs w:val="21"/>
                      <w:u w:val="none"/>
                    </w:rPr>
                  </w:pPr>
                </w:p>
              </w:tc>
              <w:tc>
                <w:tcPr>
                  <w:tcW w:w="625" w:type="dxa"/>
                  <w:vMerge w:val="continue"/>
                  <w:tcBorders>
                    <w:left w:val="single" w:color="000000" w:sz="8" w:space="0"/>
                    <w:right w:val="single" w:color="000000" w:sz="8" w:space="0"/>
                  </w:tcBorders>
                  <w:shd w:val="clear" w:color="auto" w:fill="auto"/>
                  <w:noWrap/>
                  <w:vAlign w:val="center"/>
                </w:tcPr>
                <w:p w14:paraId="731BF305">
                  <w:pPr>
                    <w:jc w:val="center"/>
                    <w:rPr>
                      <w:rFonts w:hint="default" w:ascii="Times New Roman" w:hAnsi="Times New Roman" w:eastAsia="宋体" w:cs="Times New Roman"/>
                      <w:i w:val="0"/>
                      <w:iCs w:val="0"/>
                      <w:color w:val="auto"/>
                      <w:sz w:val="21"/>
                      <w:szCs w:val="21"/>
                      <w:u w:val="none"/>
                    </w:rPr>
                  </w:pP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14BC0A68">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陆庄</w:t>
                  </w:r>
                </w:p>
              </w:tc>
              <w:tc>
                <w:tcPr>
                  <w:tcW w:w="676" w:type="dxa"/>
                  <w:tcBorders>
                    <w:top w:val="nil"/>
                    <w:left w:val="single" w:color="000000" w:sz="8" w:space="0"/>
                    <w:bottom w:val="single" w:color="000000" w:sz="8" w:space="0"/>
                    <w:right w:val="single" w:color="000000" w:sz="8" w:space="0"/>
                  </w:tcBorders>
                  <w:shd w:val="clear" w:color="auto" w:fill="auto"/>
                  <w:vAlign w:val="center"/>
                </w:tcPr>
                <w:p w14:paraId="0A347EA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-454</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6349C33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795" w:type="dxa"/>
                  <w:tcBorders>
                    <w:top w:val="nil"/>
                    <w:left w:val="single" w:color="000000" w:sz="8" w:space="0"/>
                    <w:bottom w:val="single" w:color="000000" w:sz="8" w:space="0"/>
                    <w:right w:val="single" w:color="000000" w:sz="8" w:space="0"/>
                  </w:tcBorders>
                  <w:shd w:val="clear" w:color="auto" w:fill="auto"/>
                  <w:vAlign w:val="center"/>
                </w:tcPr>
                <w:p w14:paraId="2AA206F5">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32B3301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155" w:type="dxa"/>
                  <w:vMerge w:val="continue"/>
                  <w:tcBorders>
                    <w:top w:val="nil"/>
                    <w:left w:val="single" w:color="000000" w:sz="8" w:space="0"/>
                    <w:bottom w:val="single" w:color="000000" w:sz="8" w:space="0"/>
                    <w:right w:val="single" w:color="000000" w:sz="8" w:space="0"/>
                  </w:tcBorders>
                  <w:shd w:val="clear" w:color="auto" w:fill="auto"/>
                  <w:vAlign w:val="center"/>
                </w:tcPr>
                <w:p w14:paraId="311AB7A0">
                  <w:pPr>
                    <w:jc w:val="center"/>
                    <w:rPr>
                      <w:rFonts w:hint="eastAsia" w:ascii="Times New Roman" w:hAnsi="Times New Roman" w:eastAsia="宋体" w:cs="宋体"/>
                      <w:i w:val="0"/>
                      <w:iCs w:val="0"/>
                      <w:color w:val="auto"/>
                      <w:sz w:val="21"/>
                      <w:szCs w:val="21"/>
                      <w:u w:val="none"/>
                    </w:rPr>
                  </w:pPr>
                </w:p>
              </w:tc>
              <w:tc>
                <w:tcPr>
                  <w:tcW w:w="705" w:type="dxa"/>
                  <w:tcBorders>
                    <w:top w:val="nil"/>
                    <w:left w:val="single" w:color="000000" w:sz="8" w:space="0"/>
                    <w:bottom w:val="single" w:color="000000" w:sz="8" w:space="0"/>
                    <w:right w:val="single" w:color="000000" w:sz="8" w:space="0"/>
                  </w:tcBorders>
                  <w:shd w:val="clear" w:color="auto" w:fill="auto"/>
                  <w:vAlign w:val="center"/>
                </w:tcPr>
                <w:p w14:paraId="14B8E5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NW</w:t>
                  </w:r>
                </w:p>
              </w:tc>
              <w:tc>
                <w:tcPr>
                  <w:tcW w:w="844" w:type="dxa"/>
                  <w:tcBorders>
                    <w:top w:val="nil"/>
                    <w:left w:val="single" w:color="000000" w:sz="8" w:space="0"/>
                    <w:bottom w:val="single" w:color="000000" w:sz="8" w:space="0"/>
                    <w:right w:val="single" w:color="000000" w:sz="8" w:space="0"/>
                  </w:tcBorders>
                  <w:shd w:val="clear" w:color="auto" w:fill="auto"/>
                  <w:vAlign w:val="center"/>
                </w:tcPr>
                <w:p w14:paraId="5CA926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500</w:t>
                  </w:r>
                </w:p>
              </w:tc>
            </w:tr>
            <w:tr w14:paraId="10098C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485" w:type="dxa"/>
                  <w:vMerge w:val="continue"/>
                  <w:tcBorders>
                    <w:top w:val="nil"/>
                    <w:left w:val="single" w:color="000000" w:sz="8" w:space="0"/>
                    <w:bottom w:val="single" w:color="000000" w:sz="8" w:space="0"/>
                    <w:right w:val="single" w:color="000000" w:sz="8" w:space="0"/>
                  </w:tcBorders>
                  <w:shd w:val="clear" w:color="auto" w:fill="auto"/>
                  <w:vAlign w:val="center"/>
                </w:tcPr>
                <w:p w14:paraId="4F3DD797">
                  <w:pPr>
                    <w:jc w:val="center"/>
                    <w:rPr>
                      <w:rFonts w:hint="eastAsia" w:ascii="Times New Roman" w:hAnsi="Times New Roman" w:eastAsia="宋体" w:cs="宋体"/>
                      <w:i w:val="0"/>
                      <w:iCs w:val="0"/>
                      <w:color w:val="auto"/>
                      <w:sz w:val="21"/>
                      <w:szCs w:val="21"/>
                      <w:u w:val="none"/>
                    </w:rPr>
                  </w:pPr>
                </w:p>
              </w:tc>
              <w:tc>
                <w:tcPr>
                  <w:tcW w:w="625" w:type="dxa"/>
                  <w:vMerge w:val="continue"/>
                  <w:tcBorders>
                    <w:left w:val="single" w:color="000000" w:sz="8" w:space="0"/>
                    <w:bottom w:val="single" w:color="000000" w:sz="8" w:space="0"/>
                    <w:right w:val="single" w:color="000000" w:sz="8" w:space="0"/>
                  </w:tcBorders>
                  <w:shd w:val="clear" w:color="auto" w:fill="auto"/>
                  <w:noWrap/>
                  <w:vAlign w:val="center"/>
                </w:tcPr>
                <w:p w14:paraId="0CE38A6C">
                  <w:pPr>
                    <w:jc w:val="center"/>
                    <w:rPr>
                      <w:rFonts w:hint="default" w:ascii="Times New Roman" w:hAnsi="Times New Roman" w:eastAsia="宋体" w:cs="Times New Roman"/>
                      <w:i w:val="0"/>
                      <w:iCs w:val="0"/>
                      <w:color w:val="auto"/>
                      <w:sz w:val="21"/>
                      <w:szCs w:val="21"/>
                      <w:u w:val="none"/>
                    </w:rPr>
                  </w:pP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5E01B8E1">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西四支渠旁散户</w:t>
                  </w:r>
                </w:p>
              </w:tc>
              <w:tc>
                <w:tcPr>
                  <w:tcW w:w="676" w:type="dxa"/>
                  <w:tcBorders>
                    <w:top w:val="nil"/>
                    <w:left w:val="single" w:color="000000" w:sz="8" w:space="0"/>
                    <w:bottom w:val="single" w:color="000000" w:sz="8" w:space="0"/>
                    <w:right w:val="single" w:color="000000" w:sz="8" w:space="0"/>
                  </w:tcBorders>
                  <w:shd w:val="clear" w:color="auto" w:fill="auto"/>
                  <w:vAlign w:val="center"/>
                </w:tcPr>
                <w:p w14:paraId="5B3793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380</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043DD55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-258</w:t>
                  </w:r>
                </w:p>
              </w:tc>
              <w:tc>
                <w:tcPr>
                  <w:tcW w:w="795" w:type="dxa"/>
                  <w:tcBorders>
                    <w:top w:val="nil"/>
                    <w:left w:val="single" w:color="000000" w:sz="8" w:space="0"/>
                    <w:bottom w:val="single" w:color="000000" w:sz="8" w:space="0"/>
                    <w:right w:val="single" w:color="000000" w:sz="8" w:space="0"/>
                  </w:tcBorders>
                  <w:shd w:val="clear" w:color="auto" w:fill="auto"/>
                  <w:vAlign w:val="center"/>
                </w:tcPr>
                <w:p w14:paraId="6AB5465D">
                  <w:pPr>
                    <w:keepNext w:val="0"/>
                    <w:keepLines w:val="0"/>
                    <w:widowControl/>
                    <w:suppressLineNumbers w:val="0"/>
                    <w:jc w:val="center"/>
                    <w:textAlignment w:val="center"/>
                    <w:rPr>
                      <w:rFonts w:hint="eastAsia"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6C71E8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w:t>
                  </w:r>
                </w:p>
              </w:tc>
              <w:tc>
                <w:tcPr>
                  <w:tcW w:w="1155" w:type="dxa"/>
                  <w:vMerge w:val="continue"/>
                  <w:tcBorders>
                    <w:top w:val="nil"/>
                    <w:left w:val="single" w:color="000000" w:sz="8" w:space="0"/>
                    <w:bottom w:val="single" w:color="000000" w:sz="8" w:space="0"/>
                    <w:right w:val="single" w:color="000000" w:sz="8" w:space="0"/>
                  </w:tcBorders>
                  <w:shd w:val="clear" w:color="auto" w:fill="auto"/>
                  <w:vAlign w:val="center"/>
                </w:tcPr>
                <w:p w14:paraId="72D65718">
                  <w:pPr>
                    <w:jc w:val="center"/>
                    <w:rPr>
                      <w:rFonts w:hint="eastAsia" w:ascii="Times New Roman" w:hAnsi="Times New Roman" w:eastAsia="宋体" w:cs="宋体"/>
                      <w:i w:val="0"/>
                      <w:iCs w:val="0"/>
                      <w:color w:val="auto"/>
                      <w:sz w:val="21"/>
                      <w:szCs w:val="21"/>
                      <w:u w:val="none"/>
                    </w:rPr>
                  </w:pPr>
                </w:p>
              </w:tc>
              <w:tc>
                <w:tcPr>
                  <w:tcW w:w="705" w:type="dxa"/>
                  <w:tcBorders>
                    <w:top w:val="nil"/>
                    <w:left w:val="single" w:color="000000" w:sz="8" w:space="0"/>
                    <w:bottom w:val="single" w:color="000000" w:sz="8" w:space="0"/>
                    <w:right w:val="single" w:color="000000" w:sz="8" w:space="0"/>
                  </w:tcBorders>
                  <w:shd w:val="clear" w:color="auto" w:fill="auto"/>
                  <w:vAlign w:val="center"/>
                </w:tcPr>
                <w:p w14:paraId="6D0CA8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SE</w:t>
                  </w:r>
                </w:p>
              </w:tc>
              <w:tc>
                <w:tcPr>
                  <w:tcW w:w="844" w:type="dxa"/>
                  <w:tcBorders>
                    <w:top w:val="nil"/>
                    <w:left w:val="single" w:color="000000" w:sz="8" w:space="0"/>
                    <w:bottom w:val="single" w:color="000000" w:sz="8" w:space="0"/>
                    <w:right w:val="single" w:color="000000" w:sz="8" w:space="0"/>
                  </w:tcBorders>
                  <w:shd w:val="clear" w:color="auto" w:fill="auto"/>
                  <w:vAlign w:val="center"/>
                </w:tcPr>
                <w:p w14:paraId="0B55F3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441</w:t>
                  </w:r>
                </w:p>
              </w:tc>
            </w:tr>
            <w:tr w14:paraId="6B4EE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485" w:type="dxa"/>
                  <w:vMerge w:val="continue"/>
                  <w:tcBorders>
                    <w:top w:val="nil"/>
                    <w:left w:val="single" w:color="000000" w:sz="8" w:space="0"/>
                    <w:bottom w:val="single" w:color="000000" w:sz="8" w:space="0"/>
                    <w:right w:val="single" w:color="000000" w:sz="8" w:space="0"/>
                  </w:tcBorders>
                  <w:shd w:val="clear" w:color="auto" w:fill="auto"/>
                  <w:vAlign w:val="center"/>
                </w:tcPr>
                <w:p w14:paraId="146965B2">
                  <w:pPr>
                    <w:jc w:val="center"/>
                    <w:rPr>
                      <w:rFonts w:hint="eastAsia" w:ascii="Times New Roman" w:hAnsi="Times New Roman" w:eastAsia="宋体" w:cs="宋体"/>
                      <w:i w:val="0"/>
                      <w:iCs w:val="0"/>
                      <w:color w:val="auto"/>
                      <w:sz w:val="21"/>
                      <w:szCs w:val="21"/>
                      <w:u w:val="none"/>
                    </w:rPr>
                  </w:pPr>
                </w:p>
              </w:tc>
              <w:tc>
                <w:tcPr>
                  <w:tcW w:w="625" w:type="dxa"/>
                  <w:tcBorders>
                    <w:top w:val="nil"/>
                    <w:left w:val="single" w:color="000000" w:sz="8" w:space="0"/>
                    <w:bottom w:val="single" w:color="000000" w:sz="8" w:space="0"/>
                    <w:right w:val="single" w:color="000000" w:sz="8" w:space="0"/>
                  </w:tcBorders>
                  <w:shd w:val="clear" w:color="auto" w:fill="auto"/>
                  <w:noWrap/>
                  <w:vAlign w:val="center"/>
                </w:tcPr>
                <w:p w14:paraId="414AA1F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41"/>
                      <w:rFonts w:ascii="Times New Roman" w:hAnsi="Times New Roman" w:eastAsia="宋体"/>
                      <w:color w:val="auto"/>
                      <w:lang w:val="en-US" w:eastAsia="zh-CN" w:bidi="ar"/>
                    </w:rPr>
                    <w:t>8</w:t>
                  </w:r>
                  <w:r>
                    <w:rPr>
                      <w:rStyle w:val="40"/>
                      <w:rFonts w:ascii="Times New Roman" w:hAnsi="Times New Roman" w:eastAsia="宋体"/>
                      <w:color w:val="auto"/>
                      <w:lang w:val="en-US" w:eastAsia="zh-CN" w:bidi="ar"/>
                    </w:rPr>
                    <w:t>号井场</w:t>
                  </w: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4D535A9A">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陆庄</w:t>
                  </w:r>
                </w:p>
              </w:tc>
              <w:tc>
                <w:tcPr>
                  <w:tcW w:w="676" w:type="dxa"/>
                  <w:tcBorders>
                    <w:top w:val="nil"/>
                    <w:left w:val="single" w:color="000000" w:sz="8" w:space="0"/>
                    <w:bottom w:val="single" w:color="000000" w:sz="8" w:space="0"/>
                    <w:right w:val="single" w:color="000000" w:sz="8" w:space="0"/>
                  </w:tcBorders>
                  <w:shd w:val="clear" w:color="auto" w:fill="auto"/>
                  <w:vAlign w:val="center"/>
                </w:tcPr>
                <w:p w14:paraId="187665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-477</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3CF096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170</w:t>
                  </w:r>
                </w:p>
              </w:tc>
              <w:tc>
                <w:tcPr>
                  <w:tcW w:w="795" w:type="dxa"/>
                  <w:tcBorders>
                    <w:top w:val="nil"/>
                    <w:left w:val="single" w:color="000000" w:sz="8" w:space="0"/>
                    <w:bottom w:val="single" w:color="000000" w:sz="8" w:space="0"/>
                    <w:right w:val="single" w:color="000000" w:sz="8" w:space="0"/>
                  </w:tcBorders>
                  <w:shd w:val="clear" w:color="auto" w:fill="auto"/>
                  <w:vAlign w:val="center"/>
                </w:tcPr>
                <w:p w14:paraId="2B329EE5">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2701B7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155" w:type="dxa"/>
                  <w:vMerge w:val="continue"/>
                  <w:tcBorders>
                    <w:top w:val="nil"/>
                    <w:left w:val="single" w:color="000000" w:sz="8" w:space="0"/>
                    <w:bottom w:val="single" w:color="000000" w:sz="8" w:space="0"/>
                    <w:right w:val="single" w:color="000000" w:sz="8" w:space="0"/>
                  </w:tcBorders>
                  <w:shd w:val="clear" w:color="auto" w:fill="auto"/>
                  <w:vAlign w:val="center"/>
                </w:tcPr>
                <w:p w14:paraId="0B23523A">
                  <w:pPr>
                    <w:jc w:val="center"/>
                    <w:rPr>
                      <w:rFonts w:hint="eastAsia" w:ascii="Times New Roman" w:hAnsi="Times New Roman" w:eastAsia="宋体" w:cs="宋体"/>
                      <w:i w:val="0"/>
                      <w:iCs w:val="0"/>
                      <w:color w:val="auto"/>
                      <w:sz w:val="21"/>
                      <w:szCs w:val="21"/>
                      <w:u w:val="none"/>
                    </w:rPr>
                  </w:pPr>
                </w:p>
              </w:tc>
              <w:tc>
                <w:tcPr>
                  <w:tcW w:w="705" w:type="dxa"/>
                  <w:tcBorders>
                    <w:top w:val="nil"/>
                    <w:left w:val="single" w:color="000000" w:sz="8" w:space="0"/>
                    <w:bottom w:val="single" w:color="000000" w:sz="8" w:space="0"/>
                    <w:right w:val="single" w:color="000000" w:sz="8" w:space="0"/>
                  </w:tcBorders>
                  <w:shd w:val="clear" w:color="auto" w:fill="auto"/>
                  <w:vAlign w:val="center"/>
                </w:tcPr>
                <w:p w14:paraId="276469C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NE</w:t>
                  </w:r>
                </w:p>
              </w:tc>
              <w:tc>
                <w:tcPr>
                  <w:tcW w:w="844" w:type="dxa"/>
                  <w:tcBorders>
                    <w:top w:val="nil"/>
                    <w:left w:val="single" w:color="000000" w:sz="8" w:space="0"/>
                    <w:bottom w:val="single" w:color="000000" w:sz="8" w:space="0"/>
                    <w:right w:val="single" w:color="000000" w:sz="8" w:space="0"/>
                  </w:tcBorders>
                  <w:shd w:val="clear" w:color="auto" w:fill="auto"/>
                  <w:vAlign w:val="center"/>
                </w:tcPr>
                <w:p w14:paraId="6EAC938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450</w:t>
                  </w:r>
                </w:p>
              </w:tc>
            </w:tr>
            <w:tr w14:paraId="3EA0C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485" w:type="dxa"/>
                  <w:vMerge w:val="continue"/>
                  <w:tcBorders>
                    <w:top w:val="nil"/>
                    <w:left w:val="single" w:color="000000" w:sz="8" w:space="0"/>
                    <w:bottom w:val="single" w:color="000000" w:sz="8" w:space="0"/>
                    <w:right w:val="single" w:color="000000" w:sz="8" w:space="0"/>
                  </w:tcBorders>
                  <w:shd w:val="clear" w:color="auto" w:fill="auto"/>
                  <w:vAlign w:val="center"/>
                </w:tcPr>
                <w:p w14:paraId="1E4F43BF">
                  <w:pPr>
                    <w:jc w:val="center"/>
                    <w:rPr>
                      <w:rFonts w:hint="eastAsia" w:ascii="Times New Roman" w:hAnsi="Times New Roman" w:eastAsia="宋体" w:cs="宋体"/>
                      <w:i w:val="0"/>
                      <w:iCs w:val="0"/>
                      <w:color w:val="auto"/>
                      <w:sz w:val="21"/>
                      <w:szCs w:val="21"/>
                      <w:u w:val="none"/>
                    </w:rPr>
                  </w:pPr>
                </w:p>
              </w:tc>
              <w:tc>
                <w:tcPr>
                  <w:tcW w:w="625" w:type="dxa"/>
                  <w:tcBorders>
                    <w:top w:val="nil"/>
                    <w:left w:val="single" w:color="000000" w:sz="8" w:space="0"/>
                    <w:bottom w:val="single" w:color="000000" w:sz="8" w:space="0"/>
                    <w:right w:val="single" w:color="000000" w:sz="8" w:space="0"/>
                  </w:tcBorders>
                  <w:shd w:val="clear" w:color="auto" w:fill="auto"/>
                  <w:noWrap/>
                  <w:vAlign w:val="center"/>
                </w:tcPr>
                <w:p w14:paraId="4FE971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41"/>
                      <w:rFonts w:ascii="Times New Roman" w:hAnsi="Times New Roman" w:eastAsia="宋体"/>
                      <w:color w:val="auto"/>
                      <w:lang w:val="en-US" w:eastAsia="zh-CN" w:bidi="ar"/>
                    </w:rPr>
                    <w:t>9</w:t>
                  </w:r>
                  <w:r>
                    <w:rPr>
                      <w:rStyle w:val="40"/>
                      <w:rFonts w:ascii="Times New Roman" w:hAnsi="Times New Roman" w:eastAsia="宋体"/>
                      <w:color w:val="auto"/>
                      <w:lang w:val="en-US" w:eastAsia="zh-CN" w:bidi="ar"/>
                    </w:rPr>
                    <w:t>号井场</w:t>
                  </w: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20E16221">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陆庄</w:t>
                  </w:r>
                </w:p>
              </w:tc>
              <w:tc>
                <w:tcPr>
                  <w:tcW w:w="676" w:type="dxa"/>
                  <w:tcBorders>
                    <w:top w:val="nil"/>
                    <w:left w:val="single" w:color="000000" w:sz="8" w:space="0"/>
                    <w:bottom w:val="single" w:color="000000" w:sz="8" w:space="0"/>
                    <w:right w:val="single" w:color="000000" w:sz="8" w:space="0"/>
                  </w:tcBorders>
                  <w:shd w:val="clear" w:color="auto" w:fill="auto"/>
                  <w:vAlign w:val="center"/>
                </w:tcPr>
                <w:p w14:paraId="1A61A4C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-465</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3F2EFC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795" w:type="dxa"/>
                  <w:tcBorders>
                    <w:top w:val="nil"/>
                    <w:left w:val="single" w:color="000000" w:sz="8" w:space="0"/>
                    <w:bottom w:val="single" w:color="000000" w:sz="8" w:space="0"/>
                    <w:right w:val="single" w:color="000000" w:sz="8" w:space="0"/>
                  </w:tcBorders>
                  <w:shd w:val="clear" w:color="auto" w:fill="auto"/>
                  <w:vAlign w:val="center"/>
                </w:tcPr>
                <w:p w14:paraId="77A6A285">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6207E5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155" w:type="dxa"/>
                  <w:vMerge w:val="continue"/>
                  <w:tcBorders>
                    <w:top w:val="nil"/>
                    <w:left w:val="single" w:color="000000" w:sz="8" w:space="0"/>
                    <w:bottom w:val="single" w:color="000000" w:sz="8" w:space="0"/>
                    <w:right w:val="single" w:color="000000" w:sz="8" w:space="0"/>
                  </w:tcBorders>
                  <w:shd w:val="clear" w:color="auto" w:fill="auto"/>
                  <w:vAlign w:val="center"/>
                </w:tcPr>
                <w:p w14:paraId="20A677F7">
                  <w:pPr>
                    <w:jc w:val="center"/>
                    <w:rPr>
                      <w:rFonts w:hint="eastAsia" w:ascii="Times New Roman" w:hAnsi="Times New Roman" w:eastAsia="宋体" w:cs="宋体"/>
                      <w:i w:val="0"/>
                      <w:iCs w:val="0"/>
                      <w:color w:val="auto"/>
                      <w:sz w:val="21"/>
                      <w:szCs w:val="21"/>
                      <w:u w:val="none"/>
                    </w:rPr>
                  </w:pPr>
                </w:p>
              </w:tc>
              <w:tc>
                <w:tcPr>
                  <w:tcW w:w="705" w:type="dxa"/>
                  <w:tcBorders>
                    <w:top w:val="nil"/>
                    <w:left w:val="single" w:color="000000" w:sz="8" w:space="0"/>
                    <w:bottom w:val="single" w:color="000000" w:sz="8" w:space="0"/>
                    <w:right w:val="single" w:color="000000" w:sz="8" w:space="0"/>
                  </w:tcBorders>
                  <w:shd w:val="clear" w:color="auto" w:fill="auto"/>
                  <w:vAlign w:val="center"/>
                </w:tcPr>
                <w:p w14:paraId="28D9FF2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E</w:t>
                  </w:r>
                </w:p>
              </w:tc>
              <w:tc>
                <w:tcPr>
                  <w:tcW w:w="844" w:type="dxa"/>
                  <w:tcBorders>
                    <w:top w:val="nil"/>
                    <w:left w:val="single" w:color="000000" w:sz="8" w:space="0"/>
                    <w:bottom w:val="single" w:color="000000" w:sz="8" w:space="0"/>
                    <w:right w:val="single" w:color="000000" w:sz="8" w:space="0"/>
                  </w:tcBorders>
                  <w:shd w:val="clear" w:color="auto" w:fill="auto"/>
                  <w:vAlign w:val="center"/>
                </w:tcPr>
                <w:p w14:paraId="44F3AD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446</w:t>
                  </w:r>
                </w:p>
              </w:tc>
            </w:tr>
            <w:tr w14:paraId="2798B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85" w:type="dxa"/>
                  <w:vMerge w:val="continue"/>
                  <w:tcBorders>
                    <w:top w:val="nil"/>
                    <w:left w:val="single" w:color="000000" w:sz="8" w:space="0"/>
                    <w:bottom w:val="single" w:color="000000" w:sz="8" w:space="0"/>
                    <w:right w:val="single" w:color="000000" w:sz="8" w:space="0"/>
                  </w:tcBorders>
                  <w:shd w:val="clear" w:color="auto" w:fill="auto"/>
                  <w:vAlign w:val="center"/>
                </w:tcPr>
                <w:p w14:paraId="49E12389">
                  <w:pPr>
                    <w:jc w:val="center"/>
                    <w:rPr>
                      <w:rFonts w:hint="eastAsia" w:ascii="Times New Roman" w:hAnsi="Times New Roman" w:eastAsia="宋体" w:cs="宋体"/>
                      <w:i w:val="0"/>
                      <w:iCs w:val="0"/>
                      <w:color w:val="auto"/>
                      <w:sz w:val="21"/>
                      <w:szCs w:val="21"/>
                      <w:u w:val="none"/>
                    </w:rPr>
                  </w:pPr>
                </w:p>
              </w:tc>
              <w:tc>
                <w:tcPr>
                  <w:tcW w:w="625" w:type="dxa"/>
                  <w:tcBorders>
                    <w:top w:val="nil"/>
                    <w:left w:val="single" w:color="000000" w:sz="8" w:space="0"/>
                    <w:bottom w:val="single" w:color="000000" w:sz="8" w:space="0"/>
                    <w:right w:val="single" w:color="000000" w:sz="8" w:space="0"/>
                  </w:tcBorders>
                  <w:shd w:val="clear" w:color="auto" w:fill="auto"/>
                  <w:noWrap/>
                  <w:vAlign w:val="center"/>
                </w:tcPr>
                <w:p w14:paraId="4B1BB51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41"/>
                      <w:rFonts w:ascii="Times New Roman" w:hAnsi="Times New Roman" w:eastAsia="宋体"/>
                      <w:color w:val="auto"/>
                      <w:lang w:val="en-US" w:eastAsia="zh-CN" w:bidi="ar"/>
                    </w:rPr>
                    <w:t>1</w:t>
                  </w:r>
                  <w:r>
                    <w:rPr>
                      <w:rStyle w:val="40"/>
                      <w:rFonts w:ascii="Times New Roman" w:hAnsi="Times New Roman" w:eastAsia="宋体"/>
                      <w:color w:val="auto"/>
                      <w:lang w:val="en-US" w:eastAsia="zh-CN" w:bidi="ar"/>
                    </w:rPr>
                    <w:t>0号井场</w:t>
                  </w: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3A7D68F5">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陆庄</w:t>
                  </w:r>
                </w:p>
              </w:tc>
              <w:tc>
                <w:tcPr>
                  <w:tcW w:w="676" w:type="dxa"/>
                  <w:tcBorders>
                    <w:top w:val="nil"/>
                    <w:left w:val="single" w:color="000000" w:sz="8" w:space="0"/>
                    <w:bottom w:val="single" w:color="000000" w:sz="8" w:space="0"/>
                    <w:right w:val="single" w:color="000000" w:sz="8" w:space="0"/>
                  </w:tcBorders>
                  <w:shd w:val="clear" w:color="auto" w:fill="auto"/>
                  <w:vAlign w:val="center"/>
                </w:tcPr>
                <w:p w14:paraId="52099ADC">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-458</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196B933E">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0</w:t>
                  </w:r>
                </w:p>
              </w:tc>
              <w:tc>
                <w:tcPr>
                  <w:tcW w:w="795" w:type="dxa"/>
                  <w:tcBorders>
                    <w:top w:val="nil"/>
                    <w:left w:val="single" w:color="000000" w:sz="8" w:space="0"/>
                    <w:bottom w:val="single" w:color="000000" w:sz="8" w:space="0"/>
                    <w:right w:val="single" w:color="000000" w:sz="8" w:space="0"/>
                  </w:tcBorders>
                  <w:shd w:val="clear" w:color="auto" w:fill="auto"/>
                  <w:vAlign w:val="center"/>
                </w:tcPr>
                <w:p w14:paraId="1B676BFF">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379D512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155" w:type="dxa"/>
                  <w:vMerge w:val="continue"/>
                  <w:tcBorders>
                    <w:top w:val="nil"/>
                    <w:left w:val="single" w:color="000000" w:sz="8" w:space="0"/>
                    <w:bottom w:val="single" w:color="000000" w:sz="8" w:space="0"/>
                    <w:right w:val="single" w:color="000000" w:sz="8" w:space="0"/>
                  </w:tcBorders>
                  <w:shd w:val="clear" w:color="auto" w:fill="auto"/>
                  <w:vAlign w:val="center"/>
                </w:tcPr>
                <w:p w14:paraId="402ACE06">
                  <w:pPr>
                    <w:jc w:val="center"/>
                    <w:rPr>
                      <w:rFonts w:hint="eastAsia" w:ascii="Times New Roman" w:hAnsi="Times New Roman" w:eastAsia="宋体" w:cs="宋体"/>
                      <w:i w:val="0"/>
                      <w:iCs w:val="0"/>
                      <w:color w:val="auto"/>
                      <w:sz w:val="21"/>
                      <w:szCs w:val="21"/>
                      <w:u w:val="none"/>
                    </w:rPr>
                  </w:pPr>
                </w:p>
              </w:tc>
              <w:tc>
                <w:tcPr>
                  <w:tcW w:w="705" w:type="dxa"/>
                  <w:tcBorders>
                    <w:top w:val="nil"/>
                    <w:left w:val="single" w:color="000000" w:sz="8" w:space="0"/>
                    <w:bottom w:val="single" w:color="000000" w:sz="8" w:space="0"/>
                    <w:right w:val="single" w:color="000000" w:sz="8" w:space="0"/>
                  </w:tcBorders>
                  <w:shd w:val="clear" w:color="auto" w:fill="auto"/>
                  <w:vAlign w:val="center"/>
                </w:tcPr>
                <w:p w14:paraId="599DAE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E</w:t>
                  </w:r>
                </w:p>
              </w:tc>
              <w:tc>
                <w:tcPr>
                  <w:tcW w:w="844" w:type="dxa"/>
                  <w:tcBorders>
                    <w:top w:val="nil"/>
                    <w:left w:val="single" w:color="000000" w:sz="8" w:space="0"/>
                    <w:bottom w:val="single" w:color="000000" w:sz="8" w:space="0"/>
                    <w:right w:val="single" w:color="000000" w:sz="8" w:space="0"/>
                  </w:tcBorders>
                  <w:shd w:val="clear" w:color="auto" w:fill="auto"/>
                  <w:vAlign w:val="center"/>
                </w:tcPr>
                <w:p w14:paraId="7CE2DCB3">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435</w:t>
                  </w:r>
                </w:p>
              </w:tc>
            </w:tr>
            <w:tr w14:paraId="06726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85" w:type="dxa"/>
                  <w:vMerge w:val="continue"/>
                  <w:tcBorders>
                    <w:top w:val="nil"/>
                    <w:left w:val="single" w:color="000000" w:sz="8" w:space="0"/>
                    <w:bottom w:val="single" w:color="000000" w:sz="8" w:space="0"/>
                    <w:right w:val="single" w:color="000000" w:sz="8" w:space="0"/>
                  </w:tcBorders>
                  <w:shd w:val="clear" w:color="auto" w:fill="auto"/>
                  <w:vAlign w:val="center"/>
                </w:tcPr>
                <w:p w14:paraId="243003C1">
                  <w:pPr>
                    <w:jc w:val="center"/>
                    <w:rPr>
                      <w:rFonts w:hint="eastAsia" w:ascii="Times New Roman" w:hAnsi="Times New Roman" w:eastAsia="宋体" w:cs="宋体"/>
                      <w:i w:val="0"/>
                      <w:iCs w:val="0"/>
                      <w:color w:val="auto"/>
                      <w:sz w:val="21"/>
                      <w:szCs w:val="21"/>
                      <w:u w:val="none"/>
                    </w:rPr>
                  </w:pPr>
                </w:p>
              </w:tc>
              <w:tc>
                <w:tcPr>
                  <w:tcW w:w="625" w:type="dxa"/>
                  <w:tcBorders>
                    <w:top w:val="nil"/>
                    <w:left w:val="single" w:color="000000" w:sz="8" w:space="0"/>
                    <w:bottom w:val="single" w:color="000000" w:sz="8" w:space="0"/>
                    <w:right w:val="single" w:color="000000" w:sz="8" w:space="0"/>
                  </w:tcBorders>
                  <w:shd w:val="clear" w:color="auto" w:fill="auto"/>
                  <w:noWrap/>
                  <w:vAlign w:val="center"/>
                </w:tcPr>
                <w:p w14:paraId="76818D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41"/>
                      <w:rFonts w:ascii="Times New Roman" w:hAnsi="Times New Roman" w:eastAsia="宋体"/>
                      <w:color w:val="auto"/>
                      <w:lang w:val="en-US" w:eastAsia="zh-CN" w:bidi="ar"/>
                    </w:rPr>
                    <w:t>1</w:t>
                  </w:r>
                  <w:r>
                    <w:rPr>
                      <w:rStyle w:val="40"/>
                      <w:rFonts w:ascii="Times New Roman" w:hAnsi="Times New Roman" w:eastAsia="宋体"/>
                      <w:color w:val="auto"/>
                      <w:lang w:val="en-US" w:eastAsia="zh-CN" w:bidi="ar"/>
                    </w:rPr>
                    <w:t>1号井场</w:t>
                  </w: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2E5C7592">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陆庄</w:t>
                  </w:r>
                </w:p>
              </w:tc>
              <w:tc>
                <w:tcPr>
                  <w:tcW w:w="676" w:type="dxa"/>
                  <w:tcBorders>
                    <w:top w:val="nil"/>
                    <w:left w:val="single" w:color="000000" w:sz="8" w:space="0"/>
                    <w:bottom w:val="single" w:color="000000" w:sz="8" w:space="0"/>
                    <w:right w:val="single" w:color="000000" w:sz="8" w:space="0"/>
                  </w:tcBorders>
                  <w:shd w:val="clear" w:color="auto" w:fill="auto"/>
                  <w:vAlign w:val="center"/>
                </w:tcPr>
                <w:p w14:paraId="38168518">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-468</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15FD7B1A">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60</w:t>
                  </w:r>
                </w:p>
              </w:tc>
              <w:tc>
                <w:tcPr>
                  <w:tcW w:w="795" w:type="dxa"/>
                  <w:tcBorders>
                    <w:top w:val="nil"/>
                    <w:left w:val="single" w:color="000000" w:sz="8" w:space="0"/>
                    <w:bottom w:val="single" w:color="000000" w:sz="8" w:space="0"/>
                    <w:right w:val="single" w:color="000000" w:sz="8" w:space="0"/>
                  </w:tcBorders>
                  <w:shd w:val="clear" w:color="auto" w:fill="auto"/>
                  <w:vAlign w:val="center"/>
                </w:tcPr>
                <w:p w14:paraId="73D8496C">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1DA2C21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155" w:type="dxa"/>
                  <w:vMerge w:val="continue"/>
                  <w:tcBorders>
                    <w:top w:val="nil"/>
                    <w:left w:val="single" w:color="000000" w:sz="8" w:space="0"/>
                    <w:bottom w:val="single" w:color="000000" w:sz="8" w:space="0"/>
                    <w:right w:val="single" w:color="000000" w:sz="8" w:space="0"/>
                  </w:tcBorders>
                  <w:shd w:val="clear" w:color="auto" w:fill="auto"/>
                  <w:vAlign w:val="center"/>
                </w:tcPr>
                <w:p w14:paraId="599DB993">
                  <w:pPr>
                    <w:jc w:val="center"/>
                    <w:rPr>
                      <w:rFonts w:hint="eastAsia" w:ascii="Times New Roman" w:hAnsi="Times New Roman" w:eastAsia="宋体" w:cs="宋体"/>
                      <w:i w:val="0"/>
                      <w:iCs w:val="0"/>
                      <w:color w:val="auto"/>
                      <w:sz w:val="21"/>
                      <w:szCs w:val="21"/>
                      <w:u w:val="none"/>
                    </w:rPr>
                  </w:pPr>
                </w:p>
              </w:tc>
              <w:tc>
                <w:tcPr>
                  <w:tcW w:w="705" w:type="dxa"/>
                  <w:tcBorders>
                    <w:top w:val="nil"/>
                    <w:left w:val="single" w:color="000000" w:sz="8" w:space="0"/>
                    <w:bottom w:val="single" w:color="000000" w:sz="8" w:space="0"/>
                    <w:right w:val="single" w:color="000000" w:sz="8" w:space="0"/>
                  </w:tcBorders>
                  <w:shd w:val="clear" w:color="auto" w:fill="auto"/>
                  <w:vAlign w:val="center"/>
                </w:tcPr>
                <w:p w14:paraId="4102ED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E</w:t>
                  </w:r>
                </w:p>
              </w:tc>
              <w:tc>
                <w:tcPr>
                  <w:tcW w:w="844" w:type="dxa"/>
                  <w:tcBorders>
                    <w:top w:val="nil"/>
                    <w:left w:val="single" w:color="000000" w:sz="8" w:space="0"/>
                    <w:bottom w:val="single" w:color="000000" w:sz="8" w:space="0"/>
                    <w:right w:val="single" w:color="000000" w:sz="8" w:space="0"/>
                  </w:tcBorders>
                  <w:shd w:val="clear" w:color="auto" w:fill="auto"/>
                  <w:vAlign w:val="center"/>
                </w:tcPr>
                <w:p w14:paraId="27A6B8C4">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458</w:t>
                  </w:r>
                </w:p>
              </w:tc>
            </w:tr>
            <w:tr w14:paraId="4865A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485" w:type="dxa"/>
                  <w:vMerge w:val="continue"/>
                  <w:tcBorders>
                    <w:top w:val="nil"/>
                    <w:left w:val="single" w:color="000000" w:sz="8" w:space="0"/>
                    <w:bottom w:val="single" w:color="000000" w:sz="8" w:space="0"/>
                    <w:right w:val="single" w:color="000000" w:sz="8" w:space="0"/>
                  </w:tcBorders>
                  <w:shd w:val="clear" w:color="auto" w:fill="auto"/>
                  <w:vAlign w:val="center"/>
                </w:tcPr>
                <w:p w14:paraId="169E015E">
                  <w:pPr>
                    <w:jc w:val="center"/>
                    <w:rPr>
                      <w:rFonts w:hint="eastAsia" w:ascii="Times New Roman" w:hAnsi="Times New Roman" w:eastAsia="宋体" w:cs="宋体"/>
                      <w:i w:val="0"/>
                      <w:iCs w:val="0"/>
                      <w:color w:val="auto"/>
                      <w:sz w:val="21"/>
                      <w:szCs w:val="21"/>
                      <w:u w:val="none"/>
                    </w:rPr>
                  </w:pPr>
                </w:p>
              </w:tc>
              <w:tc>
                <w:tcPr>
                  <w:tcW w:w="625" w:type="dxa"/>
                  <w:tcBorders>
                    <w:top w:val="nil"/>
                    <w:left w:val="single" w:color="000000" w:sz="8" w:space="0"/>
                    <w:bottom w:val="single" w:color="000000" w:sz="8" w:space="0"/>
                    <w:right w:val="single" w:color="000000" w:sz="8" w:space="0"/>
                  </w:tcBorders>
                  <w:shd w:val="clear" w:color="auto" w:fill="auto"/>
                  <w:noWrap/>
                  <w:vAlign w:val="center"/>
                </w:tcPr>
                <w:p w14:paraId="41FA25B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41"/>
                      <w:rFonts w:ascii="Times New Roman" w:hAnsi="Times New Roman" w:eastAsia="宋体"/>
                      <w:color w:val="auto"/>
                      <w:lang w:val="en-US" w:eastAsia="zh-CN" w:bidi="ar"/>
                    </w:rPr>
                    <w:t>1</w:t>
                  </w:r>
                  <w:r>
                    <w:rPr>
                      <w:rStyle w:val="40"/>
                      <w:rFonts w:ascii="Times New Roman" w:hAnsi="Times New Roman" w:eastAsia="宋体"/>
                      <w:color w:val="auto"/>
                      <w:lang w:val="en-US" w:eastAsia="zh-CN" w:bidi="ar"/>
                    </w:rPr>
                    <w:t>2号井场</w:t>
                  </w: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7FE7A41F">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陆庄</w:t>
                  </w:r>
                </w:p>
              </w:tc>
              <w:tc>
                <w:tcPr>
                  <w:tcW w:w="676" w:type="dxa"/>
                  <w:tcBorders>
                    <w:top w:val="nil"/>
                    <w:left w:val="single" w:color="000000" w:sz="8" w:space="0"/>
                    <w:bottom w:val="single" w:color="000000" w:sz="8" w:space="0"/>
                    <w:right w:val="single" w:color="000000" w:sz="8" w:space="0"/>
                  </w:tcBorders>
                  <w:shd w:val="clear" w:color="auto" w:fill="auto"/>
                  <w:vAlign w:val="center"/>
                </w:tcPr>
                <w:p w14:paraId="09E362E8">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-524</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49C845A4">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-48</w:t>
                  </w:r>
                </w:p>
              </w:tc>
              <w:tc>
                <w:tcPr>
                  <w:tcW w:w="795" w:type="dxa"/>
                  <w:tcBorders>
                    <w:top w:val="nil"/>
                    <w:left w:val="single" w:color="000000" w:sz="8" w:space="0"/>
                    <w:bottom w:val="single" w:color="000000" w:sz="8" w:space="0"/>
                    <w:right w:val="single" w:color="000000" w:sz="8" w:space="0"/>
                  </w:tcBorders>
                  <w:shd w:val="clear" w:color="auto" w:fill="auto"/>
                  <w:vAlign w:val="center"/>
                </w:tcPr>
                <w:p w14:paraId="1615288B">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79CC19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155" w:type="dxa"/>
                  <w:vMerge w:val="continue"/>
                  <w:tcBorders>
                    <w:top w:val="nil"/>
                    <w:left w:val="single" w:color="000000" w:sz="8" w:space="0"/>
                    <w:bottom w:val="single" w:color="000000" w:sz="8" w:space="0"/>
                    <w:right w:val="single" w:color="000000" w:sz="8" w:space="0"/>
                  </w:tcBorders>
                  <w:shd w:val="clear" w:color="auto" w:fill="auto"/>
                  <w:vAlign w:val="center"/>
                </w:tcPr>
                <w:p w14:paraId="0D22944E">
                  <w:pPr>
                    <w:jc w:val="center"/>
                    <w:rPr>
                      <w:rFonts w:hint="eastAsia" w:ascii="Times New Roman" w:hAnsi="Times New Roman" w:eastAsia="宋体" w:cs="宋体"/>
                      <w:i w:val="0"/>
                      <w:iCs w:val="0"/>
                      <w:color w:val="auto"/>
                      <w:sz w:val="21"/>
                      <w:szCs w:val="21"/>
                      <w:u w:val="none"/>
                    </w:rPr>
                  </w:pPr>
                </w:p>
              </w:tc>
              <w:tc>
                <w:tcPr>
                  <w:tcW w:w="705" w:type="dxa"/>
                  <w:tcBorders>
                    <w:top w:val="nil"/>
                    <w:left w:val="single" w:color="000000" w:sz="8" w:space="0"/>
                    <w:bottom w:val="single" w:color="000000" w:sz="8" w:space="0"/>
                    <w:right w:val="single" w:color="000000" w:sz="8" w:space="0"/>
                  </w:tcBorders>
                  <w:shd w:val="clear" w:color="auto" w:fill="auto"/>
                  <w:vAlign w:val="center"/>
                </w:tcPr>
                <w:p w14:paraId="7A24E3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SW</w:t>
                  </w:r>
                </w:p>
              </w:tc>
              <w:tc>
                <w:tcPr>
                  <w:tcW w:w="844" w:type="dxa"/>
                  <w:tcBorders>
                    <w:top w:val="nil"/>
                    <w:left w:val="single" w:color="000000" w:sz="8" w:space="0"/>
                    <w:bottom w:val="single" w:color="000000" w:sz="8" w:space="0"/>
                    <w:right w:val="single" w:color="000000" w:sz="8" w:space="0"/>
                  </w:tcBorders>
                  <w:shd w:val="clear" w:color="auto" w:fill="auto"/>
                  <w:vAlign w:val="center"/>
                </w:tcPr>
                <w:p w14:paraId="79612C56">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456</w:t>
                  </w:r>
                </w:p>
              </w:tc>
            </w:tr>
            <w:tr w14:paraId="17C11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485" w:type="dxa"/>
                  <w:vMerge w:val="continue"/>
                  <w:tcBorders>
                    <w:top w:val="nil"/>
                    <w:left w:val="single" w:color="000000" w:sz="8" w:space="0"/>
                    <w:bottom w:val="single" w:color="000000" w:sz="8" w:space="0"/>
                    <w:right w:val="single" w:color="000000" w:sz="8" w:space="0"/>
                  </w:tcBorders>
                  <w:shd w:val="clear" w:color="auto" w:fill="auto"/>
                  <w:vAlign w:val="center"/>
                </w:tcPr>
                <w:p w14:paraId="146FE7F3">
                  <w:pPr>
                    <w:jc w:val="center"/>
                    <w:rPr>
                      <w:rFonts w:hint="eastAsia" w:ascii="Times New Roman" w:hAnsi="Times New Roman" w:eastAsia="宋体" w:cs="宋体"/>
                      <w:i w:val="0"/>
                      <w:iCs w:val="0"/>
                      <w:color w:val="auto"/>
                      <w:sz w:val="21"/>
                      <w:szCs w:val="21"/>
                      <w:u w:val="none"/>
                    </w:rPr>
                  </w:pPr>
                </w:p>
              </w:tc>
              <w:tc>
                <w:tcPr>
                  <w:tcW w:w="625" w:type="dxa"/>
                  <w:vMerge w:val="restart"/>
                  <w:tcBorders>
                    <w:top w:val="nil"/>
                    <w:left w:val="single" w:color="000000" w:sz="8" w:space="0"/>
                    <w:bottom w:val="single" w:color="000000" w:sz="8" w:space="0"/>
                    <w:right w:val="single" w:color="000000" w:sz="8" w:space="0"/>
                  </w:tcBorders>
                  <w:shd w:val="clear" w:color="auto" w:fill="auto"/>
                  <w:noWrap/>
                  <w:vAlign w:val="center"/>
                </w:tcPr>
                <w:p w14:paraId="225BF29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41"/>
                      <w:rFonts w:ascii="Times New Roman" w:hAnsi="Times New Roman" w:eastAsia="宋体"/>
                      <w:color w:val="auto"/>
                      <w:lang w:val="en-US" w:eastAsia="zh-CN" w:bidi="ar"/>
                    </w:rPr>
                    <w:t>1</w:t>
                  </w:r>
                  <w:r>
                    <w:rPr>
                      <w:rStyle w:val="40"/>
                      <w:rFonts w:ascii="Times New Roman" w:hAnsi="Times New Roman" w:eastAsia="宋体"/>
                      <w:color w:val="auto"/>
                      <w:lang w:val="en-US" w:eastAsia="zh-CN" w:bidi="ar"/>
                    </w:rPr>
                    <w:t>3号井场</w:t>
                  </w: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7128987C">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陆庄</w:t>
                  </w:r>
                </w:p>
              </w:tc>
              <w:tc>
                <w:tcPr>
                  <w:tcW w:w="676" w:type="dxa"/>
                  <w:tcBorders>
                    <w:top w:val="nil"/>
                    <w:left w:val="single" w:color="000000" w:sz="8" w:space="0"/>
                    <w:bottom w:val="single" w:color="000000" w:sz="8" w:space="0"/>
                    <w:right w:val="single" w:color="000000" w:sz="8" w:space="0"/>
                  </w:tcBorders>
                  <w:shd w:val="clear" w:color="auto" w:fill="auto"/>
                  <w:vAlign w:val="center"/>
                </w:tcPr>
                <w:p w14:paraId="19BC7D6E">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-421</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657117CF">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-281</w:t>
                  </w:r>
                </w:p>
              </w:tc>
              <w:tc>
                <w:tcPr>
                  <w:tcW w:w="795" w:type="dxa"/>
                  <w:tcBorders>
                    <w:top w:val="nil"/>
                    <w:left w:val="single" w:color="000000" w:sz="8" w:space="0"/>
                    <w:bottom w:val="single" w:color="000000" w:sz="8" w:space="0"/>
                    <w:right w:val="single" w:color="000000" w:sz="8" w:space="0"/>
                  </w:tcBorders>
                  <w:shd w:val="clear" w:color="auto" w:fill="auto"/>
                  <w:vAlign w:val="center"/>
                </w:tcPr>
                <w:p w14:paraId="380AEAF5">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居民</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7E7759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155" w:type="dxa"/>
                  <w:vMerge w:val="continue"/>
                  <w:tcBorders>
                    <w:top w:val="nil"/>
                    <w:left w:val="single" w:color="000000" w:sz="8" w:space="0"/>
                    <w:bottom w:val="single" w:color="000000" w:sz="8" w:space="0"/>
                    <w:right w:val="single" w:color="000000" w:sz="8" w:space="0"/>
                  </w:tcBorders>
                  <w:shd w:val="clear" w:color="auto" w:fill="auto"/>
                  <w:vAlign w:val="center"/>
                </w:tcPr>
                <w:p w14:paraId="6612A065">
                  <w:pPr>
                    <w:jc w:val="center"/>
                    <w:rPr>
                      <w:rFonts w:hint="eastAsia" w:ascii="Times New Roman" w:hAnsi="Times New Roman" w:eastAsia="宋体" w:cs="宋体"/>
                      <w:i w:val="0"/>
                      <w:iCs w:val="0"/>
                      <w:color w:val="auto"/>
                      <w:sz w:val="21"/>
                      <w:szCs w:val="21"/>
                      <w:u w:val="none"/>
                    </w:rPr>
                  </w:pPr>
                </w:p>
              </w:tc>
              <w:tc>
                <w:tcPr>
                  <w:tcW w:w="705" w:type="dxa"/>
                  <w:tcBorders>
                    <w:top w:val="nil"/>
                    <w:left w:val="single" w:color="000000" w:sz="8" w:space="0"/>
                    <w:bottom w:val="single" w:color="000000" w:sz="8" w:space="0"/>
                    <w:right w:val="single" w:color="000000" w:sz="8" w:space="0"/>
                  </w:tcBorders>
                  <w:shd w:val="clear" w:color="auto" w:fill="auto"/>
                  <w:vAlign w:val="center"/>
                </w:tcPr>
                <w:p w14:paraId="246A7A1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SW</w:t>
                  </w:r>
                </w:p>
              </w:tc>
              <w:tc>
                <w:tcPr>
                  <w:tcW w:w="844" w:type="dxa"/>
                  <w:tcBorders>
                    <w:top w:val="nil"/>
                    <w:left w:val="single" w:color="000000" w:sz="8" w:space="0"/>
                    <w:bottom w:val="single" w:color="000000" w:sz="8" w:space="0"/>
                    <w:right w:val="single" w:color="000000" w:sz="8" w:space="0"/>
                  </w:tcBorders>
                  <w:shd w:val="clear" w:color="auto" w:fill="auto"/>
                  <w:vAlign w:val="center"/>
                </w:tcPr>
                <w:p w14:paraId="3AB3E8A9">
                  <w:pPr>
                    <w:keepNext w:val="0"/>
                    <w:keepLines w:val="0"/>
                    <w:widowControl/>
                    <w:suppressLineNumbers w:val="0"/>
                    <w:jc w:val="center"/>
                    <w:textAlignment w:val="center"/>
                    <w:rPr>
                      <w:rFonts w:hint="eastAsia" w:ascii="Times New Roman" w:hAnsi="Times New Roman" w:eastAsia="宋体" w:cs="宋体"/>
                      <w:i w:val="0"/>
                      <w:iCs w:val="0"/>
                      <w:color w:val="auto"/>
                      <w:sz w:val="21"/>
                      <w:szCs w:val="21"/>
                      <w:u w:val="none"/>
                    </w:rPr>
                  </w:pPr>
                  <w:r>
                    <w:rPr>
                      <w:rFonts w:hint="eastAsia" w:ascii="Times New Roman" w:hAnsi="Times New Roman" w:eastAsia="宋体" w:cs="宋体"/>
                      <w:i w:val="0"/>
                      <w:iCs w:val="0"/>
                      <w:color w:val="auto"/>
                      <w:kern w:val="0"/>
                      <w:sz w:val="21"/>
                      <w:szCs w:val="21"/>
                      <w:u w:val="none"/>
                      <w:lang w:val="en-US" w:eastAsia="zh-CN" w:bidi="ar"/>
                    </w:rPr>
                    <w:t>497</w:t>
                  </w:r>
                </w:p>
              </w:tc>
            </w:tr>
            <w:tr w14:paraId="17EDA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485" w:type="dxa"/>
                  <w:vMerge w:val="continue"/>
                  <w:tcBorders>
                    <w:top w:val="nil"/>
                    <w:left w:val="single" w:color="000000" w:sz="8" w:space="0"/>
                    <w:bottom w:val="single" w:color="000000" w:sz="8" w:space="0"/>
                    <w:right w:val="single" w:color="000000" w:sz="8" w:space="0"/>
                  </w:tcBorders>
                  <w:shd w:val="clear" w:color="auto" w:fill="auto"/>
                  <w:vAlign w:val="center"/>
                </w:tcPr>
                <w:p w14:paraId="33208E99">
                  <w:pPr>
                    <w:jc w:val="center"/>
                    <w:rPr>
                      <w:rFonts w:hint="default" w:ascii="Times New Roman" w:hAnsi="Times New Roman" w:eastAsia="宋体" w:cs="Times New Roman"/>
                      <w:i w:val="0"/>
                      <w:iCs w:val="0"/>
                      <w:color w:val="auto"/>
                      <w:sz w:val="21"/>
                      <w:szCs w:val="21"/>
                      <w:u w:val="none"/>
                    </w:rPr>
                  </w:pPr>
                </w:p>
              </w:tc>
              <w:tc>
                <w:tcPr>
                  <w:tcW w:w="625"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9BB5B55">
                  <w:pPr>
                    <w:jc w:val="center"/>
                    <w:rPr>
                      <w:rFonts w:hint="default" w:ascii="Times New Roman" w:hAnsi="Times New Roman" w:eastAsia="宋体" w:cs="Times New Roman"/>
                      <w:i w:val="0"/>
                      <w:iCs w:val="0"/>
                      <w:color w:val="auto"/>
                      <w:sz w:val="21"/>
                      <w:szCs w:val="21"/>
                      <w:u w:val="none"/>
                    </w:rPr>
                  </w:pPr>
                </w:p>
              </w:tc>
              <w:tc>
                <w:tcPr>
                  <w:tcW w:w="1005" w:type="dxa"/>
                  <w:tcBorders>
                    <w:top w:val="nil"/>
                    <w:left w:val="single" w:color="000000" w:sz="8" w:space="0"/>
                    <w:bottom w:val="single" w:color="000000" w:sz="8" w:space="0"/>
                    <w:right w:val="single" w:color="000000" w:sz="8" w:space="0"/>
                  </w:tcBorders>
                  <w:shd w:val="clear" w:color="auto" w:fill="auto"/>
                  <w:vAlign w:val="center"/>
                </w:tcPr>
                <w:p w14:paraId="00635E3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茨董路旁散户</w:t>
                  </w:r>
                </w:p>
              </w:tc>
              <w:tc>
                <w:tcPr>
                  <w:tcW w:w="676" w:type="dxa"/>
                  <w:tcBorders>
                    <w:top w:val="nil"/>
                    <w:left w:val="single" w:color="000000" w:sz="8" w:space="0"/>
                    <w:bottom w:val="single" w:color="000000" w:sz="8" w:space="0"/>
                    <w:right w:val="single" w:color="000000" w:sz="8" w:space="0"/>
                  </w:tcBorders>
                  <w:shd w:val="clear" w:color="auto" w:fill="auto"/>
                  <w:vAlign w:val="center"/>
                </w:tcPr>
                <w:p w14:paraId="78E899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-457</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2BEB69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350</w:t>
                  </w:r>
                </w:p>
              </w:tc>
              <w:tc>
                <w:tcPr>
                  <w:tcW w:w="795" w:type="dxa"/>
                  <w:tcBorders>
                    <w:top w:val="nil"/>
                    <w:left w:val="single" w:color="000000" w:sz="8" w:space="0"/>
                    <w:bottom w:val="single" w:color="000000" w:sz="8" w:space="0"/>
                    <w:right w:val="single" w:color="000000" w:sz="8" w:space="0"/>
                  </w:tcBorders>
                  <w:shd w:val="clear" w:color="auto" w:fill="auto"/>
                  <w:vAlign w:val="center"/>
                </w:tcPr>
                <w:p w14:paraId="7C142C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居民</w:t>
                  </w:r>
                </w:p>
              </w:tc>
              <w:tc>
                <w:tcPr>
                  <w:tcW w:w="780" w:type="dxa"/>
                  <w:tcBorders>
                    <w:top w:val="nil"/>
                    <w:left w:val="single" w:color="000000" w:sz="8" w:space="0"/>
                    <w:bottom w:val="single" w:color="000000" w:sz="8" w:space="0"/>
                    <w:right w:val="single" w:color="000000" w:sz="8" w:space="0"/>
                  </w:tcBorders>
                  <w:shd w:val="clear" w:color="auto" w:fill="auto"/>
                  <w:vAlign w:val="center"/>
                </w:tcPr>
                <w:p w14:paraId="01FFD0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1155" w:type="dxa"/>
                  <w:vMerge w:val="continue"/>
                  <w:tcBorders>
                    <w:top w:val="nil"/>
                    <w:left w:val="single" w:color="000000" w:sz="8" w:space="0"/>
                    <w:bottom w:val="single" w:color="000000" w:sz="8" w:space="0"/>
                    <w:right w:val="single" w:color="000000" w:sz="8" w:space="0"/>
                  </w:tcBorders>
                  <w:shd w:val="clear" w:color="auto" w:fill="auto"/>
                  <w:vAlign w:val="center"/>
                </w:tcPr>
                <w:p w14:paraId="130BB8F4">
                  <w:pPr>
                    <w:jc w:val="center"/>
                    <w:rPr>
                      <w:rFonts w:hint="default" w:ascii="Times New Roman" w:hAnsi="Times New Roman" w:eastAsia="宋体" w:cs="Times New Roman"/>
                      <w:i w:val="0"/>
                      <w:iCs w:val="0"/>
                      <w:color w:val="auto"/>
                      <w:sz w:val="21"/>
                      <w:szCs w:val="21"/>
                      <w:u w:val="none"/>
                    </w:rPr>
                  </w:pPr>
                </w:p>
              </w:tc>
              <w:tc>
                <w:tcPr>
                  <w:tcW w:w="705" w:type="dxa"/>
                  <w:tcBorders>
                    <w:top w:val="nil"/>
                    <w:left w:val="single" w:color="000000" w:sz="8" w:space="0"/>
                    <w:bottom w:val="single" w:color="000000" w:sz="8" w:space="0"/>
                    <w:right w:val="single" w:color="000000" w:sz="8" w:space="0"/>
                  </w:tcBorders>
                  <w:shd w:val="clear" w:color="auto" w:fill="auto"/>
                  <w:vAlign w:val="center"/>
                </w:tcPr>
                <w:p w14:paraId="5D3ACBA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NW</w:t>
                  </w:r>
                </w:p>
              </w:tc>
              <w:tc>
                <w:tcPr>
                  <w:tcW w:w="844" w:type="dxa"/>
                  <w:tcBorders>
                    <w:top w:val="nil"/>
                    <w:left w:val="single" w:color="000000" w:sz="8" w:space="0"/>
                    <w:bottom w:val="single" w:color="000000" w:sz="8" w:space="0"/>
                    <w:right w:val="single" w:color="000000" w:sz="8" w:space="0"/>
                  </w:tcBorders>
                  <w:shd w:val="clear" w:color="auto" w:fill="auto"/>
                  <w:vAlign w:val="center"/>
                </w:tcPr>
                <w:p w14:paraId="49E8F9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490</w:t>
                  </w:r>
                </w:p>
              </w:tc>
            </w:tr>
            <w:tr w14:paraId="26C8B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7850" w:type="dxa"/>
                  <w:gridSpan w:val="10"/>
                  <w:tcBorders>
                    <w:top w:val="nil"/>
                    <w:left w:val="single" w:color="000000" w:sz="8" w:space="0"/>
                    <w:bottom w:val="single" w:color="000000" w:sz="8" w:space="0"/>
                    <w:right w:val="single" w:color="000000" w:sz="8" w:space="0"/>
                  </w:tcBorders>
                  <w:shd w:val="clear" w:color="auto" w:fill="auto"/>
                  <w:vAlign w:val="center"/>
                </w:tcPr>
                <w:p w14:paraId="230C4E4E">
                  <w:pPr>
                    <w:keepNext w:val="0"/>
                    <w:keepLines w:val="0"/>
                    <w:widowControl/>
                    <w:suppressLineNumbers w:val="0"/>
                    <w:jc w:val="center"/>
                    <w:textAlignment w:val="center"/>
                    <w:rPr>
                      <w:rStyle w:val="40"/>
                      <w:rFonts w:ascii="Times New Roman" w:hAnsi="Times New Roman" w:eastAsia="宋体"/>
                      <w:color w:val="auto"/>
                      <w:lang w:val="en-US" w:eastAsia="zh-CN" w:bidi="ar"/>
                    </w:rPr>
                  </w:pPr>
                  <w:r>
                    <w:rPr>
                      <w:rStyle w:val="40"/>
                      <w:rFonts w:ascii="Times New Roman" w:hAnsi="Times New Roman" w:eastAsia="宋体"/>
                      <w:color w:val="auto"/>
                      <w:lang w:val="en-US" w:eastAsia="zh-CN" w:bidi="ar"/>
                    </w:rPr>
                    <w:t>注：本项目以</w:t>
                  </w:r>
                  <w:r>
                    <w:rPr>
                      <w:rStyle w:val="40"/>
                      <w:rFonts w:hint="eastAsia" w:ascii="Times New Roman" w:hAnsi="Times New Roman" w:eastAsia="宋体"/>
                      <w:color w:val="auto"/>
                      <w:lang w:val="en-US" w:eastAsia="zh-CN" w:bidi="ar"/>
                    </w:rPr>
                    <w:t>各井场</w:t>
                  </w:r>
                  <w:r>
                    <w:rPr>
                      <w:rStyle w:val="40"/>
                      <w:rFonts w:ascii="Times New Roman" w:hAnsi="Times New Roman" w:eastAsia="宋体"/>
                      <w:color w:val="auto"/>
                      <w:lang w:val="en-US" w:eastAsia="zh-CN" w:bidi="ar"/>
                    </w:rPr>
                    <w:t>中心为原点，东侧方向为</w:t>
                  </w:r>
                  <w:r>
                    <w:rPr>
                      <w:rStyle w:val="41"/>
                      <w:rFonts w:ascii="Times New Roman" w:hAnsi="Times New Roman" w:eastAsia="宋体"/>
                      <w:color w:val="auto"/>
                      <w:lang w:val="en-US" w:eastAsia="zh-CN" w:bidi="ar"/>
                    </w:rPr>
                    <w:t>X</w:t>
                  </w:r>
                  <w:r>
                    <w:rPr>
                      <w:rStyle w:val="40"/>
                      <w:rFonts w:ascii="Times New Roman" w:hAnsi="Times New Roman" w:eastAsia="宋体"/>
                      <w:color w:val="auto"/>
                      <w:lang w:val="en-US" w:eastAsia="zh-CN" w:bidi="ar"/>
                    </w:rPr>
                    <w:t>轴、北侧方向为</w:t>
                  </w:r>
                  <w:r>
                    <w:rPr>
                      <w:rStyle w:val="41"/>
                      <w:rFonts w:ascii="Times New Roman" w:hAnsi="Times New Roman" w:eastAsia="宋体"/>
                      <w:color w:val="auto"/>
                      <w:lang w:val="en-US" w:eastAsia="zh-CN" w:bidi="ar"/>
                    </w:rPr>
                    <w:t>Y</w:t>
                  </w:r>
                  <w:r>
                    <w:rPr>
                      <w:rStyle w:val="40"/>
                      <w:rFonts w:ascii="Times New Roman" w:hAnsi="Times New Roman" w:eastAsia="宋体"/>
                      <w:color w:val="auto"/>
                      <w:lang w:val="en-US" w:eastAsia="zh-CN" w:bidi="ar"/>
                    </w:rPr>
                    <w:t>轴，建立坐标系。</w:t>
                  </w:r>
                </w:p>
                <w:p w14:paraId="7D672B5C">
                  <w:pPr>
                    <w:keepNext w:val="0"/>
                    <w:keepLines w:val="0"/>
                    <w:widowControl/>
                    <w:suppressLineNumbers w:val="0"/>
                    <w:jc w:val="center"/>
                    <w:textAlignment w:val="center"/>
                    <w:rPr>
                      <w:rStyle w:val="40"/>
                      <w:rFonts w:hint="default" w:ascii="Times New Roman" w:hAnsi="Times New Roman" w:eastAsia="宋体"/>
                      <w:color w:val="auto"/>
                      <w:lang w:val="en-US" w:eastAsia="zh-CN" w:bidi="ar"/>
                    </w:rPr>
                  </w:pPr>
                  <w:r>
                    <w:rPr>
                      <w:rStyle w:val="40"/>
                      <w:rFonts w:hint="eastAsia" w:ascii="Times New Roman" w:hAnsi="Times New Roman" w:eastAsia="宋体"/>
                      <w:color w:val="auto"/>
                      <w:lang w:val="en-US" w:eastAsia="zh-CN" w:bidi="ar"/>
                    </w:rPr>
                    <w:t>各井场涉及相同保护目标，保护内容以村庄总人数进行统计</w:t>
                  </w:r>
                </w:p>
              </w:tc>
            </w:tr>
          </w:tbl>
          <w:p w14:paraId="010F8DAD">
            <w:pPr>
              <w:jc w:val="both"/>
              <w:rPr>
                <w:rFonts w:hint="eastAsia" w:ascii="Times New Roman" w:hAnsi="Times New Roman" w:eastAsia="宋体"/>
                <w:b/>
                <w:bCs/>
                <w:color w:val="auto"/>
                <w:szCs w:val="21"/>
                <w:lang w:eastAsia="zh-CN"/>
              </w:rPr>
            </w:pPr>
          </w:p>
          <w:p w14:paraId="77DFC9BE">
            <w:pPr>
              <w:spacing w:line="360" w:lineRule="auto"/>
              <w:jc w:val="center"/>
              <w:rPr>
                <w:rFonts w:ascii="Times New Roman" w:hAnsi="Times New Roman"/>
                <w:b/>
                <w:bCs/>
                <w:color w:val="auto"/>
                <w:szCs w:val="21"/>
              </w:rPr>
            </w:pPr>
            <w:r>
              <w:rPr>
                <w:rFonts w:ascii="Times New Roman" w:hAnsi="Times New Roman"/>
                <w:b/>
                <w:bCs/>
                <w:color w:val="auto"/>
                <w:szCs w:val="21"/>
              </w:rPr>
              <w:t>表3-6  地表水环境保护目标一览表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1285"/>
              <w:gridCol w:w="1125"/>
              <w:gridCol w:w="1379"/>
              <w:gridCol w:w="958"/>
              <w:gridCol w:w="2237"/>
            </w:tblGrid>
            <w:tr w14:paraId="57F99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jc w:val="center"/>
              </w:trPr>
              <w:tc>
                <w:tcPr>
                  <w:tcW w:w="547" w:type="pct"/>
                  <w:tcBorders>
                    <w:top w:val="single" w:color="auto" w:sz="4" w:space="0"/>
                    <w:left w:val="single" w:color="auto" w:sz="4" w:space="0"/>
                    <w:bottom w:val="single" w:color="auto" w:sz="4" w:space="0"/>
                    <w:right w:val="single" w:color="auto" w:sz="4" w:space="0"/>
                  </w:tcBorders>
                  <w:noWrap w:val="0"/>
                  <w:vAlign w:val="center"/>
                </w:tcPr>
                <w:p w14:paraId="68FC1B3F">
                  <w:pPr>
                    <w:jc w:val="center"/>
                    <w:rPr>
                      <w:rFonts w:ascii="Times New Roman" w:hAnsi="Times New Roman"/>
                      <w:b/>
                      <w:bCs/>
                      <w:color w:val="auto"/>
                      <w:szCs w:val="21"/>
                    </w:rPr>
                  </w:pPr>
                  <w:r>
                    <w:rPr>
                      <w:rFonts w:ascii="Times New Roman"/>
                      <w:b/>
                      <w:bCs/>
                      <w:color w:val="auto"/>
                      <w:szCs w:val="21"/>
                    </w:rPr>
                    <w:t>环境要素</w:t>
                  </w:r>
                </w:p>
              </w:tc>
              <w:tc>
                <w:tcPr>
                  <w:tcW w:w="819" w:type="pct"/>
                  <w:tcBorders>
                    <w:top w:val="single" w:color="auto" w:sz="4" w:space="0"/>
                    <w:left w:val="nil"/>
                    <w:bottom w:val="single" w:color="auto" w:sz="4" w:space="0"/>
                    <w:right w:val="single" w:color="auto" w:sz="4" w:space="0"/>
                  </w:tcBorders>
                  <w:noWrap w:val="0"/>
                  <w:vAlign w:val="center"/>
                </w:tcPr>
                <w:p w14:paraId="50F9B644">
                  <w:pPr>
                    <w:jc w:val="center"/>
                    <w:rPr>
                      <w:rFonts w:ascii="Times New Roman" w:hAnsi="Times New Roman"/>
                      <w:b/>
                      <w:bCs/>
                      <w:color w:val="auto"/>
                      <w:szCs w:val="21"/>
                    </w:rPr>
                  </w:pPr>
                  <w:r>
                    <w:rPr>
                      <w:rFonts w:ascii="Times New Roman"/>
                      <w:b/>
                      <w:bCs/>
                      <w:color w:val="auto"/>
                      <w:szCs w:val="21"/>
                    </w:rPr>
                    <w:t>环境保护对象名称</w:t>
                  </w:r>
                </w:p>
              </w:tc>
              <w:tc>
                <w:tcPr>
                  <w:tcW w:w="717" w:type="pct"/>
                  <w:tcBorders>
                    <w:top w:val="single" w:color="auto" w:sz="4" w:space="0"/>
                    <w:left w:val="nil"/>
                    <w:bottom w:val="single" w:color="auto" w:sz="4" w:space="0"/>
                    <w:right w:val="single" w:color="auto" w:sz="4" w:space="0"/>
                  </w:tcBorders>
                  <w:noWrap w:val="0"/>
                  <w:vAlign w:val="center"/>
                </w:tcPr>
                <w:p w14:paraId="33F1F980">
                  <w:pPr>
                    <w:jc w:val="center"/>
                    <w:rPr>
                      <w:rFonts w:ascii="Times New Roman" w:hAnsi="Times New Roman"/>
                      <w:b/>
                      <w:bCs/>
                      <w:color w:val="auto"/>
                      <w:szCs w:val="21"/>
                    </w:rPr>
                  </w:pPr>
                  <w:r>
                    <w:rPr>
                      <w:rFonts w:ascii="Times New Roman"/>
                      <w:b/>
                      <w:bCs/>
                      <w:color w:val="auto"/>
                      <w:szCs w:val="21"/>
                    </w:rPr>
                    <w:t>方位</w:t>
                  </w:r>
                </w:p>
              </w:tc>
              <w:tc>
                <w:tcPr>
                  <w:tcW w:w="879" w:type="pct"/>
                  <w:tcBorders>
                    <w:top w:val="single" w:color="auto" w:sz="4" w:space="0"/>
                    <w:left w:val="nil"/>
                    <w:bottom w:val="single" w:color="auto" w:sz="4" w:space="0"/>
                    <w:right w:val="single" w:color="auto" w:sz="4" w:space="0"/>
                  </w:tcBorders>
                  <w:noWrap w:val="0"/>
                  <w:vAlign w:val="center"/>
                </w:tcPr>
                <w:p w14:paraId="4578FC30">
                  <w:pPr>
                    <w:ind w:left="-105" w:leftChars="-50" w:right="-105" w:rightChars="-50"/>
                    <w:jc w:val="center"/>
                    <w:rPr>
                      <w:rFonts w:ascii="Times New Roman" w:hAnsi="Times New Roman"/>
                      <w:b/>
                      <w:bCs/>
                      <w:color w:val="auto"/>
                      <w:szCs w:val="21"/>
                    </w:rPr>
                  </w:pPr>
                  <w:r>
                    <w:rPr>
                      <w:rFonts w:ascii="Times New Roman"/>
                      <w:b/>
                      <w:bCs/>
                      <w:color w:val="auto"/>
                      <w:szCs w:val="21"/>
                    </w:rPr>
                    <w:t>距项目边界最近距离</w:t>
                  </w:r>
                  <w:r>
                    <w:rPr>
                      <w:rFonts w:ascii="Times New Roman" w:hAnsi="Times New Roman"/>
                      <w:b/>
                      <w:bCs/>
                      <w:color w:val="auto"/>
                      <w:szCs w:val="21"/>
                    </w:rPr>
                    <w:t>m</w:t>
                  </w:r>
                </w:p>
              </w:tc>
              <w:tc>
                <w:tcPr>
                  <w:tcW w:w="610" w:type="pct"/>
                  <w:tcBorders>
                    <w:top w:val="single" w:color="auto" w:sz="4" w:space="0"/>
                    <w:left w:val="nil"/>
                    <w:bottom w:val="single" w:color="auto" w:sz="4" w:space="0"/>
                    <w:right w:val="single" w:color="auto" w:sz="4" w:space="0"/>
                  </w:tcBorders>
                  <w:noWrap w:val="0"/>
                  <w:vAlign w:val="center"/>
                </w:tcPr>
                <w:p w14:paraId="6568A673">
                  <w:pPr>
                    <w:jc w:val="center"/>
                    <w:rPr>
                      <w:rFonts w:ascii="Times New Roman" w:hAnsi="Times New Roman"/>
                      <w:b/>
                      <w:bCs/>
                      <w:color w:val="auto"/>
                      <w:szCs w:val="21"/>
                    </w:rPr>
                  </w:pPr>
                  <w:r>
                    <w:rPr>
                      <w:rFonts w:ascii="Times New Roman"/>
                      <w:b/>
                      <w:bCs/>
                      <w:color w:val="auto"/>
                      <w:szCs w:val="21"/>
                    </w:rPr>
                    <w:t>规模</w:t>
                  </w:r>
                </w:p>
              </w:tc>
              <w:tc>
                <w:tcPr>
                  <w:tcW w:w="1426" w:type="pct"/>
                  <w:tcBorders>
                    <w:top w:val="single" w:color="auto" w:sz="4" w:space="0"/>
                    <w:left w:val="nil"/>
                    <w:bottom w:val="single" w:color="auto" w:sz="4" w:space="0"/>
                    <w:right w:val="single" w:color="auto" w:sz="4" w:space="0"/>
                  </w:tcBorders>
                  <w:noWrap w:val="0"/>
                  <w:vAlign w:val="center"/>
                </w:tcPr>
                <w:p w14:paraId="467E4F60">
                  <w:pPr>
                    <w:jc w:val="center"/>
                    <w:rPr>
                      <w:rFonts w:ascii="Times New Roman" w:hAnsi="Times New Roman"/>
                      <w:b/>
                      <w:bCs/>
                      <w:color w:val="auto"/>
                      <w:szCs w:val="21"/>
                    </w:rPr>
                  </w:pPr>
                  <w:r>
                    <w:rPr>
                      <w:rFonts w:ascii="Times New Roman"/>
                      <w:b/>
                      <w:bCs/>
                      <w:color w:val="auto"/>
                      <w:szCs w:val="21"/>
                    </w:rPr>
                    <w:t>环境功能</w:t>
                  </w:r>
                </w:p>
              </w:tc>
            </w:tr>
            <w:tr w14:paraId="52161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4" w:hRule="atLeast"/>
                <w:jc w:val="center"/>
              </w:trPr>
              <w:tc>
                <w:tcPr>
                  <w:tcW w:w="547" w:type="pct"/>
                  <w:vMerge w:val="restart"/>
                  <w:tcBorders>
                    <w:top w:val="nil"/>
                    <w:left w:val="single" w:color="auto" w:sz="4" w:space="0"/>
                    <w:right w:val="single" w:color="auto" w:sz="4" w:space="0"/>
                  </w:tcBorders>
                  <w:noWrap w:val="0"/>
                  <w:vAlign w:val="center"/>
                </w:tcPr>
                <w:p w14:paraId="35A61D6C">
                  <w:pPr>
                    <w:jc w:val="center"/>
                    <w:rPr>
                      <w:rFonts w:ascii="Times New Roman" w:hAnsi="Times New Roman"/>
                      <w:color w:val="auto"/>
                      <w:szCs w:val="21"/>
                    </w:rPr>
                  </w:pPr>
                  <w:r>
                    <w:rPr>
                      <w:rFonts w:ascii="Times New Roman"/>
                      <w:color w:val="auto"/>
                      <w:szCs w:val="21"/>
                    </w:rPr>
                    <w:t>地表水环境</w:t>
                  </w:r>
                </w:p>
              </w:tc>
              <w:tc>
                <w:tcPr>
                  <w:tcW w:w="819" w:type="pct"/>
                  <w:tcBorders>
                    <w:top w:val="single" w:color="auto" w:sz="4" w:space="0"/>
                    <w:left w:val="nil"/>
                    <w:right w:val="single" w:color="auto" w:sz="4" w:space="0"/>
                  </w:tcBorders>
                  <w:noWrap w:val="0"/>
                  <w:vAlign w:val="center"/>
                </w:tcPr>
                <w:p w14:paraId="60B592A2">
                  <w:pPr>
                    <w:jc w:val="center"/>
                    <w:rPr>
                      <w:rFonts w:ascii="Times New Roman" w:hAnsi="Times New Roman"/>
                      <w:color w:val="auto"/>
                      <w:szCs w:val="21"/>
                    </w:rPr>
                  </w:pPr>
                  <w:r>
                    <w:rPr>
                      <w:rFonts w:ascii="Times New Roman"/>
                      <w:color w:val="auto"/>
                      <w:szCs w:val="21"/>
                    </w:rPr>
                    <w:t>淮河</w:t>
                  </w:r>
                </w:p>
              </w:tc>
              <w:tc>
                <w:tcPr>
                  <w:tcW w:w="717" w:type="pct"/>
                  <w:tcBorders>
                    <w:top w:val="single" w:color="auto" w:sz="4" w:space="0"/>
                    <w:left w:val="nil"/>
                    <w:right w:val="single" w:color="auto" w:sz="4" w:space="0"/>
                  </w:tcBorders>
                  <w:noWrap w:val="0"/>
                  <w:vAlign w:val="center"/>
                </w:tcPr>
                <w:p w14:paraId="7D818FB6">
                  <w:pPr>
                    <w:spacing w:line="320" w:lineRule="exact"/>
                    <w:jc w:val="center"/>
                    <w:rPr>
                      <w:rFonts w:ascii="Times New Roman" w:hAnsi="Times New Roman"/>
                      <w:color w:val="auto"/>
                      <w:szCs w:val="21"/>
                    </w:rPr>
                  </w:pPr>
                  <w:r>
                    <w:rPr>
                      <w:rFonts w:ascii="Times New Roman" w:hAnsi="Times New Roman"/>
                      <w:color w:val="auto"/>
                      <w:szCs w:val="21"/>
                    </w:rPr>
                    <w:t>S</w:t>
                  </w:r>
                </w:p>
              </w:tc>
              <w:tc>
                <w:tcPr>
                  <w:tcW w:w="879" w:type="pct"/>
                  <w:tcBorders>
                    <w:top w:val="single" w:color="auto" w:sz="4" w:space="0"/>
                    <w:left w:val="nil"/>
                    <w:right w:val="single" w:color="auto" w:sz="4" w:space="0"/>
                  </w:tcBorders>
                  <w:noWrap w:val="0"/>
                  <w:vAlign w:val="center"/>
                </w:tcPr>
                <w:p w14:paraId="4414ACA7">
                  <w:pPr>
                    <w:jc w:val="center"/>
                    <w:rPr>
                      <w:rFonts w:hint="default" w:ascii="Times New Roman" w:hAnsi="Times New Roman" w:eastAsia="宋体"/>
                      <w:color w:val="auto"/>
                      <w:szCs w:val="21"/>
                      <w:lang w:val="en-US" w:eastAsia="zh-CN"/>
                    </w:rPr>
                  </w:pPr>
                  <w:r>
                    <w:rPr>
                      <w:rFonts w:hint="eastAsia" w:ascii="Times New Roman" w:hAnsi="Times New Roman"/>
                      <w:color w:val="auto"/>
                      <w:lang w:val="en-US" w:eastAsia="zh-CN"/>
                    </w:rPr>
                    <w:t>15725</w:t>
                  </w:r>
                </w:p>
              </w:tc>
              <w:tc>
                <w:tcPr>
                  <w:tcW w:w="610" w:type="pct"/>
                  <w:tcBorders>
                    <w:top w:val="single" w:color="auto" w:sz="4" w:space="0"/>
                    <w:left w:val="nil"/>
                    <w:right w:val="single" w:color="auto" w:sz="4" w:space="0"/>
                  </w:tcBorders>
                  <w:noWrap w:val="0"/>
                  <w:vAlign w:val="center"/>
                </w:tcPr>
                <w:p w14:paraId="57CCEAB1">
                  <w:pPr>
                    <w:jc w:val="center"/>
                    <w:rPr>
                      <w:rFonts w:ascii="Times New Roman" w:hAnsi="Times New Roman"/>
                      <w:color w:val="auto"/>
                      <w:szCs w:val="21"/>
                    </w:rPr>
                  </w:pPr>
                  <w:r>
                    <w:rPr>
                      <w:rFonts w:ascii="Times New Roman"/>
                      <w:color w:val="auto"/>
                      <w:szCs w:val="21"/>
                    </w:rPr>
                    <w:t>大型</w:t>
                  </w:r>
                </w:p>
              </w:tc>
              <w:tc>
                <w:tcPr>
                  <w:tcW w:w="1426" w:type="pct"/>
                  <w:vMerge w:val="restart"/>
                  <w:tcBorders>
                    <w:top w:val="single" w:color="auto" w:sz="4" w:space="0"/>
                    <w:left w:val="nil"/>
                    <w:right w:val="single" w:color="auto" w:sz="4" w:space="0"/>
                  </w:tcBorders>
                  <w:noWrap w:val="0"/>
                  <w:vAlign w:val="center"/>
                </w:tcPr>
                <w:p w14:paraId="750C0FE4">
                  <w:pPr>
                    <w:jc w:val="center"/>
                    <w:rPr>
                      <w:rFonts w:ascii="Times New Roman" w:hAnsi="Times New Roman"/>
                      <w:color w:val="auto"/>
                      <w:szCs w:val="21"/>
                    </w:rPr>
                  </w:pPr>
                  <w:r>
                    <w:rPr>
                      <w:rFonts w:ascii="Times New Roman"/>
                      <w:color w:val="auto"/>
                      <w:szCs w:val="21"/>
                    </w:rPr>
                    <w:t>《地表水环境质量标准》（</w:t>
                  </w:r>
                  <w:r>
                    <w:rPr>
                      <w:rFonts w:ascii="Times New Roman" w:hAnsi="Times New Roman"/>
                      <w:color w:val="auto"/>
                      <w:szCs w:val="21"/>
                    </w:rPr>
                    <w:t>GB3838-2002</w:t>
                  </w:r>
                  <w:r>
                    <w:rPr>
                      <w:rFonts w:ascii="Times New Roman"/>
                      <w:color w:val="auto"/>
                      <w:szCs w:val="21"/>
                    </w:rPr>
                    <w:t>）</w:t>
                  </w:r>
                  <w:r>
                    <w:rPr>
                      <w:rFonts w:ascii="Times New Roman" w:hAnsi="Times New Roman"/>
                      <w:color w:val="auto"/>
                      <w:szCs w:val="21"/>
                    </w:rPr>
                    <w:t>Ⅲ</w:t>
                  </w:r>
                  <w:r>
                    <w:rPr>
                      <w:rFonts w:ascii="Times New Roman"/>
                      <w:color w:val="auto"/>
                      <w:szCs w:val="21"/>
                    </w:rPr>
                    <w:t>类标准</w:t>
                  </w:r>
                </w:p>
              </w:tc>
            </w:tr>
            <w:tr w14:paraId="1B9D2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4" w:hRule="atLeast"/>
                <w:jc w:val="center"/>
              </w:trPr>
              <w:tc>
                <w:tcPr>
                  <w:tcW w:w="547" w:type="pct"/>
                  <w:vMerge w:val="continue"/>
                  <w:tcBorders>
                    <w:left w:val="single" w:color="auto" w:sz="4" w:space="0"/>
                    <w:right w:val="single" w:color="auto" w:sz="4" w:space="0"/>
                  </w:tcBorders>
                  <w:noWrap w:val="0"/>
                  <w:vAlign w:val="center"/>
                </w:tcPr>
                <w:p w14:paraId="77351125">
                  <w:pPr>
                    <w:jc w:val="center"/>
                    <w:rPr>
                      <w:rFonts w:ascii="Times New Roman" w:hAnsi="Times New Roman"/>
                      <w:color w:val="auto"/>
                      <w:szCs w:val="21"/>
                    </w:rPr>
                  </w:pPr>
                </w:p>
              </w:tc>
              <w:tc>
                <w:tcPr>
                  <w:tcW w:w="819" w:type="pct"/>
                  <w:tcBorders>
                    <w:top w:val="single" w:color="auto" w:sz="4" w:space="0"/>
                    <w:left w:val="nil"/>
                    <w:right w:val="single" w:color="auto" w:sz="4" w:space="0"/>
                  </w:tcBorders>
                  <w:noWrap w:val="0"/>
                  <w:vAlign w:val="center"/>
                </w:tcPr>
                <w:p w14:paraId="79A261E0">
                  <w:pPr>
                    <w:jc w:val="center"/>
                    <w:rPr>
                      <w:rFonts w:ascii="Times New Roman" w:hAnsi="Times New Roman"/>
                      <w:color w:val="auto"/>
                      <w:szCs w:val="21"/>
                    </w:rPr>
                  </w:pPr>
                  <w:r>
                    <w:rPr>
                      <w:rFonts w:ascii="Times New Roman"/>
                      <w:color w:val="auto"/>
                      <w:szCs w:val="21"/>
                    </w:rPr>
                    <w:t>茨淮新河</w:t>
                  </w:r>
                </w:p>
              </w:tc>
              <w:tc>
                <w:tcPr>
                  <w:tcW w:w="717" w:type="pct"/>
                  <w:tcBorders>
                    <w:top w:val="single" w:color="auto" w:sz="4" w:space="0"/>
                    <w:left w:val="nil"/>
                    <w:right w:val="single" w:color="auto" w:sz="4" w:space="0"/>
                  </w:tcBorders>
                  <w:noWrap w:val="0"/>
                  <w:vAlign w:val="center"/>
                </w:tcPr>
                <w:p w14:paraId="02AF5078">
                  <w:pPr>
                    <w:spacing w:line="320" w:lineRule="exact"/>
                    <w:jc w:val="center"/>
                    <w:rPr>
                      <w:rFonts w:ascii="Times New Roman" w:hAnsi="Times New Roman"/>
                      <w:color w:val="auto"/>
                      <w:szCs w:val="21"/>
                    </w:rPr>
                  </w:pPr>
                  <w:r>
                    <w:rPr>
                      <w:rFonts w:ascii="Times New Roman" w:hAnsi="Times New Roman"/>
                      <w:color w:val="auto"/>
                      <w:szCs w:val="21"/>
                    </w:rPr>
                    <w:t>N</w:t>
                  </w:r>
                </w:p>
              </w:tc>
              <w:tc>
                <w:tcPr>
                  <w:tcW w:w="879" w:type="pct"/>
                  <w:tcBorders>
                    <w:top w:val="single" w:color="auto" w:sz="4" w:space="0"/>
                    <w:left w:val="nil"/>
                    <w:right w:val="single" w:color="auto" w:sz="4" w:space="0"/>
                  </w:tcBorders>
                  <w:noWrap w:val="0"/>
                  <w:vAlign w:val="center"/>
                </w:tcPr>
                <w:p w14:paraId="5B6CD8CA">
                  <w:pPr>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3200</w:t>
                  </w:r>
                </w:p>
              </w:tc>
              <w:tc>
                <w:tcPr>
                  <w:tcW w:w="610" w:type="pct"/>
                  <w:tcBorders>
                    <w:top w:val="single" w:color="auto" w:sz="4" w:space="0"/>
                    <w:left w:val="nil"/>
                    <w:right w:val="single" w:color="auto" w:sz="4" w:space="0"/>
                  </w:tcBorders>
                  <w:noWrap w:val="0"/>
                  <w:vAlign w:val="center"/>
                </w:tcPr>
                <w:p w14:paraId="6115467E">
                  <w:pPr>
                    <w:jc w:val="center"/>
                    <w:rPr>
                      <w:rFonts w:ascii="Times New Roman" w:hAnsi="Times New Roman"/>
                      <w:color w:val="auto"/>
                      <w:szCs w:val="21"/>
                    </w:rPr>
                  </w:pPr>
                  <w:r>
                    <w:rPr>
                      <w:rFonts w:hint="eastAsia" w:ascii="Times New Roman"/>
                      <w:color w:val="auto"/>
                      <w:szCs w:val="21"/>
                      <w:lang w:val="en-US" w:eastAsia="zh-CN"/>
                    </w:rPr>
                    <w:t>大</w:t>
                  </w:r>
                  <w:r>
                    <w:rPr>
                      <w:rFonts w:ascii="Times New Roman"/>
                      <w:color w:val="auto"/>
                      <w:szCs w:val="21"/>
                    </w:rPr>
                    <w:t>型</w:t>
                  </w:r>
                </w:p>
              </w:tc>
              <w:tc>
                <w:tcPr>
                  <w:tcW w:w="1426" w:type="pct"/>
                  <w:vMerge w:val="continue"/>
                  <w:tcBorders>
                    <w:left w:val="nil"/>
                    <w:right w:val="single" w:color="auto" w:sz="4" w:space="0"/>
                  </w:tcBorders>
                  <w:noWrap w:val="0"/>
                  <w:vAlign w:val="center"/>
                </w:tcPr>
                <w:p w14:paraId="21AC2673">
                  <w:pPr>
                    <w:jc w:val="center"/>
                    <w:rPr>
                      <w:rFonts w:ascii="Times New Roman" w:hAnsi="Times New Roman"/>
                      <w:color w:val="auto"/>
                      <w:szCs w:val="21"/>
                    </w:rPr>
                  </w:pPr>
                </w:p>
              </w:tc>
            </w:tr>
            <w:tr w14:paraId="22773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jc w:val="center"/>
              </w:trPr>
              <w:tc>
                <w:tcPr>
                  <w:tcW w:w="547" w:type="pct"/>
                  <w:vMerge w:val="continue"/>
                  <w:tcBorders>
                    <w:left w:val="single" w:color="auto" w:sz="4" w:space="0"/>
                    <w:right w:val="single" w:color="auto" w:sz="4" w:space="0"/>
                  </w:tcBorders>
                  <w:noWrap w:val="0"/>
                  <w:vAlign w:val="center"/>
                </w:tcPr>
                <w:p w14:paraId="246A5386">
                  <w:pPr>
                    <w:jc w:val="center"/>
                    <w:rPr>
                      <w:rFonts w:ascii="Times New Roman" w:hAnsi="Times New Roman"/>
                      <w:color w:val="auto"/>
                      <w:szCs w:val="21"/>
                    </w:rPr>
                  </w:pPr>
                </w:p>
              </w:tc>
              <w:tc>
                <w:tcPr>
                  <w:tcW w:w="819" w:type="pct"/>
                  <w:tcBorders>
                    <w:top w:val="single" w:color="auto" w:sz="4" w:space="0"/>
                    <w:left w:val="nil"/>
                    <w:bottom w:val="single" w:color="auto" w:sz="4" w:space="0"/>
                    <w:right w:val="single" w:color="auto" w:sz="4" w:space="0"/>
                  </w:tcBorders>
                  <w:noWrap w:val="0"/>
                  <w:vAlign w:val="center"/>
                </w:tcPr>
                <w:p w14:paraId="72E906C8">
                  <w:pPr>
                    <w:jc w:val="center"/>
                    <w:rPr>
                      <w:rFonts w:ascii="Times New Roman" w:hAnsi="Times New Roman"/>
                      <w:color w:val="auto"/>
                      <w:szCs w:val="21"/>
                    </w:rPr>
                  </w:pPr>
                  <w:r>
                    <w:rPr>
                      <w:rFonts w:ascii="Times New Roman"/>
                      <w:color w:val="auto"/>
                      <w:szCs w:val="21"/>
                    </w:rPr>
                    <w:t>泥河</w:t>
                  </w:r>
                </w:p>
              </w:tc>
              <w:tc>
                <w:tcPr>
                  <w:tcW w:w="717" w:type="pct"/>
                  <w:tcBorders>
                    <w:left w:val="nil"/>
                    <w:right w:val="single" w:color="auto" w:sz="4" w:space="0"/>
                  </w:tcBorders>
                  <w:noWrap w:val="0"/>
                  <w:vAlign w:val="center"/>
                </w:tcPr>
                <w:p w14:paraId="062086B6">
                  <w:pPr>
                    <w:jc w:val="center"/>
                    <w:rPr>
                      <w:rFonts w:ascii="Times New Roman" w:hAnsi="Times New Roman"/>
                      <w:color w:val="auto"/>
                      <w:szCs w:val="21"/>
                    </w:rPr>
                  </w:pPr>
                  <w:r>
                    <w:rPr>
                      <w:rFonts w:ascii="Times New Roman" w:hAnsi="Times New Roman"/>
                      <w:color w:val="auto"/>
                      <w:szCs w:val="21"/>
                    </w:rPr>
                    <w:t>SE</w:t>
                  </w:r>
                </w:p>
              </w:tc>
              <w:tc>
                <w:tcPr>
                  <w:tcW w:w="879" w:type="pct"/>
                  <w:tcBorders>
                    <w:left w:val="nil"/>
                    <w:right w:val="single" w:color="auto" w:sz="4" w:space="0"/>
                  </w:tcBorders>
                  <w:noWrap w:val="0"/>
                  <w:vAlign w:val="center"/>
                </w:tcPr>
                <w:p w14:paraId="710A684C">
                  <w:pPr>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2413</w:t>
                  </w:r>
                </w:p>
              </w:tc>
              <w:tc>
                <w:tcPr>
                  <w:tcW w:w="610" w:type="pct"/>
                  <w:tcBorders>
                    <w:left w:val="nil"/>
                    <w:right w:val="single" w:color="auto" w:sz="4" w:space="0"/>
                  </w:tcBorders>
                  <w:noWrap w:val="0"/>
                  <w:vAlign w:val="center"/>
                </w:tcPr>
                <w:p w14:paraId="7684547E">
                  <w:pPr>
                    <w:jc w:val="center"/>
                    <w:rPr>
                      <w:rFonts w:ascii="Times New Roman" w:hAnsi="Times New Roman"/>
                      <w:color w:val="auto"/>
                      <w:szCs w:val="21"/>
                    </w:rPr>
                  </w:pPr>
                  <w:r>
                    <w:rPr>
                      <w:rFonts w:ascii="Times New Roman"/>
                      <w:color w:val="auto"/>
                      <w:szCs w:val="21"/>
                    </w:rPr>
                    <w:t>小型</w:t>
                  </w:r>
                </w:p>
              </w:tc>
              <w:tc>
                <w:tcPr>
                  <w:tcW w:w="1426" w:type="pct"/>
                  <w:vMerge w:val="continue"/>
                  <w:tcBorders>
                    <w:left w:val="nil"/>
                    <w:right w:val="single" w:color="auto" w:sz="4" w:space="0"/>
                  </w:tcBorders>
                  <w:noWrap w:val="0"/>
                  <w:vAlign w:val="center"/>
                </w:tcPr>
                <w:p w14:paraId="0113EABB">
                  <w:pPr>
                    <w:jc w:val="center"/>
                    <w:rPr>
                      <w:rFonts w:ascii="Times New Roman" w:hAnsi="Times New Roman"/>
                      <w:color w:val="auto"/>
                      <w:szCs w:val="21"/>
                    </w:rPr>
                  </w:pPr>
                </w:p>
              </w:tc>
            </w:tr>
            <w:tr w14:paraId="7BAC8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jc w:val="center"/>
              </w:trPr>
              <w:tc>
                <w:tcPr>
                  <w:tcW w:w="547" w:type="pct"/>
                  <w:vMerge w:val="continue"/>
                  <w:tcBorders>
                    <w:left w:val="single" w:color="auto" w:sz="4" w:space="0"/>
                    <w:right w:val="single" w:color="auto" w:sz="4" w:space="0"/>
                  </w:tcBorders>
                  <w:noWrap w:val="0"/>
                  <w:vAlign w:val="center"/>
                </w:tcPr>
                <w:p w14:paraId="48B4DA9E">
                  <w:pPr>
                    <w:jc w:val="center"/>
                    <w:rPr>
                      <w:rFonts w:ascii="Times New Roman" w:hAnsi="Times New Roman"/>
                      <w:color w:val="auto"/>
                      <w:szCs w:val="21"/>
                    </w:rPr>
                  </w:pPr>
                </w:p>
              </w:tc>
              <w:tc>
                <w:tcPr>
                  <w:tcW w:w="819" w:type="pct"/>
                  <w:tcBorders>
                    <w:top w:val="single" w:color="auto" w:sz="4" w:space="0"/>
                    <w:left w:val="nil"/>
                    <w:bottom w:val="single" w:color="auto" w:sz="4" w:space="0"/>
                    <w:right w:val="single" w:color="auto" w:sz="4" w:space="0"/>
                  </w:tcBorders>
                  <w:noWrap w:val="0"/>
                  <w:vAlign w:val="center"/>
                </w:tcPr>
                <w:p w14:paraId="6A9FB117">
                  <w:pPr>
                    <w:jc w:val="center"/>
                    <w:rPr>
                      <w:rFonts w:hint="default" w:ascii="Times New Roman"/>
                      <w:color w:val="auto"/>
                      <w:szCs w:val="21"/>
                      <w:lang w:val="en-US" w:eastAsia="zh-CN"/>
                    </w:rPr>
                  </w:pPr>
                  <w:r>
                    <w:rPr>
                      <w:rFonts w:hint="eastAsia" w:ascii="Times New Roman"/>
                      <w:color w:val="auto"/>
                      <w:szCs w:val="21"/>
                      <w:lang w:val="en-US" w:eastAsia="zh-CN"/>
                    </w:rPr>
                    <w:t>利民新河</w:t>
                  </w:r>
                </w:p>
              </w:tc>
              <w:tc>
                <w:tcPr>
                  <w:tcW w:w="717" w:type="pct"/>
                  <w:tcBorders>
                    <w:left w:val="nil"/>
                    <w:right w:val="single" w:color="auto" w:sz="4" w:space="0"/>
                  </w:tcBorders>
                  <w:noWrap w:val="0"/>
                  <w:vAlign w:val="center"/>
                </w:tcPr>
                <w:p w14:paraId="45CE633F">
                  <w:pPr>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W</w:t>
                  </w:r>
                </w:p>
              </w:tc>
              <w:tc>
                <w:tcPr>
                  <w:tcW w:w="879" w:type="pct"/>
                  <w:tcBorders>
                    <w:left w:val="nil"/>
                    <w:right w:val="single" w:color="auto" w:sz="4" w:space="0"/>
                  </w:tcBorders>
                  <w:noWrap w:val="0"/>
                  <w:vAlign w:val="center"/>
                </w:tcPr>
                <w:p w14:paraId="0D7838D1">
                  <w:pPr>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400</w:t>
                  </w:r>
                </w:p>
              </w:tc>
              <w:tc>
                <w:tcPr>
                  <w:tcW w:w="610" w:type="pct"/>
                  <w:tcBorders>
                    <w:left w:val="nil"/>
                    <w:right w:val="single" w:color="auto" w:sz="4" w:space="0"/>
                  </w:tcBorders>
                  <w:noWrap w:val="0"/>
                  <w:vAlign w:val="center"/>
                </w:tcPr>
                <w:p w14:paraId="3B1E1AF3">
                  <w:pPr>
                    <w:jc w:val="center"/>
                    <w:rPr>
                      <w:rFonts w:ascii="Times New Roman"/>
                      <w:color w:val="auto"/>
                      <w:szCs w:val="21"/>
                    </w:rPr>
                  </w:pPr>
                  <w:r>
                    <w:rPr>
                      <w:rFonts w:ascii="Times New Roman"/>
                      <w:color w:val="auto"/>
                      <w:szCs w:val="21"/>
                    </w:rPr>
                    <w:t>小型</w:t>
                  </w:r>
                </w:p>
              </w:tc>
              <w:tc>
                <w:tcPr>
                  <w:tcW w:w="1426" w:type="pct"/>
                  <w:vMerge w:val="continue"/>
                  <w:tcBorders>
                    <w:left w:val="nil"/>
                    <w:right w:val="single" w:color="auto" w:sz="4" w:space="0"/>
                  </w:tcBorders>
                  <w:noWrap w:val="0"/>
                  <w:vAlign w:val="center"/>
                </w:tcPr>
                <w:p w14:paraId="7B2F7753">
                  <w:pPr>
                    <w:jc w:val="center"/>
                    <w:rPr>
                      <w:rFonts w:ascii="Times New Roman" w:hAnsi="Times New Roman"/>
                      <w:color w:val="auto"/>
                      <w:szCs w:val="21"/>
                    </w:rPr>
                  </w:pPr>
                </w:p>
              </w:tc>
            </w:tr>
          </w:tbl>
          <w:p w14:paraId="62C22A8A">
            <w:pPr>
              <w:spacing w:line="360" w:lineRule="auto"/>
              <w:jc w:val="center"/>
              <w:rPr>
                <w:rFonts w:ascii="Times New Roman" w:hAnsi="Times New Roman"/>
                <w:b/>
                <w:color w:val="auto"/>
                <w:szCs w:val="21"/>
              </w:rPr>
            </w:pPr>
            <w:r>
              <w:rPr>
                <w:rFonts w:ascii="Times New Roman" w:hAnsi="Times New Roman"/>
                <w:b/>
                <w:color w:val="auto"/>
                <w:szCs w:val="21"/>
              </w:rPr>
              <w:t>表3-7 声环境环境保护目标一览表</w:t>
            </w:r>
          </w:p>
          <w:tbl>
            <w:tblPr>
              <w:tblStyle w:val="18"/>
              <w:tblW w:w="78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968"/>
              <w:gridCol w:w="627"/>
              <w:gridCol w:w="628"/>
              <w:gridCol w:w="804"/>
              <w:gridCol w:w="900"/>
              <w:gridCol w:w="1037"/>
              <w:gridCol w:w="2011"/>
            </w:tblGrid>
            <w:tr w14:paraId="3AE39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877" w:type="dxa"/>
                  <w:vMerge w:val="restart"/>
                  <w:vAlign w:val="center"/>
                </w:tcPr>
                <w:p w14:paraId="0A46CF27">
                  <w:pPr>
                    <w:pStyle w:val="9"/>
                    <w:jc w:val="center"/>
                    <w:rPr>
                      <w:rFonts w:hint="eastAsia" w:ascii="宋体" w:hAnsi="宋体" w:eastAsia="宋体" w:cs="宋体"/>
                      <w:b/>
                      <w:bCs w:val="0"/>
                      <w:color w:val="auto"/>
                      <w:sz w:val="21"/>
                      <w:szCs w:val="21"/>
                      <w:vertAlign w:val="baseline"/>
                    </w:rPr>
                  </w:pPr>
                  <w:r>
                    <w:rPr>
                      <w:rFonts w:hint="eastAsia" w:ascii="宋体" w:hAnsi="宋体" w:eastAsia="宋体" w:cs="宋体"/>
                      <w:b/>
                      <w:bCs w:val="0"/>
                      <w:color w:val="auto"/>
                      <w:sz w:val="21"/>
                      <w:szCs w:val="21"/>
                      <w:highlight w:val="none"/>
                      <w:vertAlign w:val="baseline"/>
                      <w:lang w:val="en-US" w:eastAsia="zh-CN"/>
                    </w:rPr>
                    <w:t>声环境保护目标</w:t>
                  </w:r>
                </w:p>
              </w:tc>
              <w:tc>
                <w:tcPr>
                  <w:tcW w:w="968" w:type="dxa"/>
                  <w:vMerge w:val="restart"/>
                  <w:vAlign w:val="center"/>
                </w:tcPr>
                <w:p w14:paraId="120BE726">
                  <w:pPr>
                    <w:pStyle w:val="9"/>
                    <w:jc w:val="center"/>
                    <w:rPr>
                      <w:rFonts w:hint="eastAsia" w:ascii="宋体" w:hAnsi="宋体" w:eastAsia="宋体" w:cs="宋体"/>
                      <w:b/>
                      <w:bCs w:val="0"/>
                      <w:color w:val="auto"/>
                      <w:sz w:val="21"/>
                      <w:szCs w:val="21"/>
                      <w:vertAlign w:val="baseline"/>
                    </w:rPr>
                  </w:pPr>
                  <w:r>
                    <w:rPr>
                      <w:rFonts w:hint="eastAsia" w:ascii="宋体" w:hAnsi="宋体" w:eastAsia="宋体" w:cs="宋体"/>
                      <w:b/>
                      <w:bCs w:val="0"/>
                      <w:i w:val="0"/>
                      <w:iCs w:val="0"/>
                      <w:color w:val="auto"/>
                      <w:kern w:val="0"/>
                      <w:sz w:val="21"/>
                      <w:szCs w:val="21"/>
                      <w:highlight w:val="none"/>
                      <w:u w:val="none"/>
                      <w:lang w:val="en-US" w:eastAsia="zh-CN" w:bidi="ar"/>
                    </w:rPr>
                    <w:t>工程</w:t>
                  </w:r>
                </w:p>
              </w:tc>
              <w:tc>
                <w:tcPr>
                  <w:tcW w:w="1255" w:type="dxa"/>
                  <w:gridSpan w:val="2"/>
                  <w:vAlign w:val="center"/>
                </w:tcPr>
                <w:p w14:paraId="4D6C0D66">
                  <w:pPr>
                    <w:pStyle w:val="9"/>
                    <w:jc w:val="center"/>
                    <w:rPr>
                      <w:rFonts w:hint="eastAsia" w:ascii="宋体" w:hAnsi="宋体" w:eastAsia="宋体" w:cs="宋体"/>
                      <w:b/>
                      <w:bCs w:val="0"/>
                      <w:color w:val="auto"/>
                      <w:sz w:val="21"/>
                      <w:szCs w:val="21"/>
                      <w:vertAlign w:val="baseline"/>
                    </w:rPr>
                  </w:pPr>
                  <w:r>
                    <w:rPr>
                      <w:rFonts w:hint="eastAsia" w:ascii="宋体" w:hAnsi="宋体" w:eastAsia="宋体" w:cs="宋体"/>
                      <w:b/>
                      <w:bCs w:val="0"/>
                      <w:i w:val="0"/>
                      <w:iCs w:val="0"/>
                      <w:color w:val="auto"/>
                      <w:kern w:val="0"/>
                      <w:sz w:val="21"/>
                      <w:szCs w:val="21"/>
                      <w:highlight w:val="none"/>
                      <w:u w:val="none"/>
                      <w:lang w:val="en-US" w:eastAsia="zh-CN" w:bidi="ar"/>
                    </w:rPr>
                    <w:t>坐标/m</w:t>
                  </w:r>
                </w:p>
              </w:tc>
              <w:tc>
                <w:tcPr>
                  <w:tcW w:w="804" w:type="dxa"/>
                  <w:vMerge w:val="restart"/>
                  <w:vAlign w:val="center"/>
                </w:tcPr>
                <w:p w14:paraId="0A43A104">
                  <w:pPr>
                    <w:pStyle w:val="9"/>
                    <w:jc w:val="center"/>
                    <w:rPr>
                      <w:rFonts w:hint="eastAsia" w:ascii="宋体" w:hAnsi="宋体" w:eastAsia="宋体" w:cs="宋体"/>
                      <w:b/>
                      <w:bCs w:val="0"/>
                      <w:color w:val="auto"/>
                      <w:sz w:val="21"/>
                      <w:szCs w:val="21"/>
                      <w:vertAlign w:val="baseline"/>
                    </w:rPr>
                  </w:pPr>
                  <w:r>
                    <w:rPr>
                      <w:rFonts w:hint="eastAsia" w:ascii="宋体" w:hAnsi="宋体" w:eastAsia="宋体" w:cs="宋体"/>
                      <w:b/>
                      <w:bCs w:val="0"/>
                      <w:i w:val="0"/>
                      <w:iCs w:val="0"/>
                      <w:color w:val="auto"/>
                      <w:kern w:val="0"/>
                      <w:sz w:val="21"/>
                      <w:szCs w:val="21"/>
                      <w:highlight w:val="none"/>
                      <w:u w:val="none"/>
                      <w:lang w:val="en-US" w:eastAsia="zh-CN" w:bidi="ar"/>
                    </w:rPr>
                    <w:t>方位</w:t>
                  </w:r>
                </w:p>
              </w:tc>
              <w:tc>
                <w:tcPr>
                  <w:tcW w:w="900" w:type="dxa"/>
                  <w:vMerge w:val="restart"/>
                  <w:vAlign w:val="center"/>
                </w:tcPr>
                <w:p w14:paraId="17FA36C8">
                  <w:pPr>
                    <w:pStyle w:val="9"/>
                    <w:jc w:val="center"/>
                    <w:rPr>
                      <w:rFonts w:hint="eastAsia" w:ascii="宋体" w:hAnsi="宋体" w:eastAsia="宋体" w:cs="宋体"/>
                      <w:b/>
                      <w:bCs w:val="0"/>
                      <w:color w:val="auto"/>
                      <w:sz w:val="21"/>
                      <w:szCs w:val="21"/>
                      <w:vertAlign w:val="baseline"/>
                    </w:rPr>
                  </w:pPr>
                  <w:r>
                    <w:rPr>
                      <w:rFonts w:hint="eastAsia" w:ascii="宋体" w:hAnsi="宋体" w:eastAsia="宋体" w:cs="宋体"/>
                      <w:b/>
                      <w:bCs w:val="0"/>
                      <w:i w:val="0"/>
                      <w:iCs w:val="0"/>
                      <w:color w:val="auto"/>
                      <w:kern w:val="0"/>
                      <w:sz w:val="21"/>
                      <w:szCs w:val="21"/>
                      <w:highlight w:val="none"/>
                      <w:u w:val="none"/>
                      <w:lang w:val="en-US" w:eastAsia="zh-CN" w:bidi="ar"/>
                    </w:rPr>
                    <w:t>相对距离/m</w:t>
                  </w:r>
                </w:p>
              </w:tc>
              <w:tc>
                <w:tcPr>
                  <w:tcW w:w="1037" w:type="dxa"/>
                  <w:vMerge w:val="restart"/>
                  <w:vAlign w:val="center"/>
                </w:tcPr>
                <w:p w14:paraId="3793D7CE">
                  <w:pPr>
                    <w:pStyle w:val="9"/>
                    <w:jc w:val="center"/>
                    <w:rPr>
                      <w:rFonts w:hint="eastAsia" w:ascii="宋体" w:hAnsi="宋体" w:eastAsia="宋体" w:cs="宋体"/>
                      <w:b/>
                      <w:bCs w:val="0"/>
                      <w:color w:val="auto"/>
                      <w:sz w:val="21"/>
                      <w:szCs w:val="21"/>
                      <w:vertAlign w:val="baseline"/>
                    </w:rPr>
                  </w:pPr>
                  <w:r>
                    <w:rPr>
                      <w:rFonts w:hint="eastAsia" w:ascii="宋体" w:hAnsi="宋体" w:eastAsia="宋体" w:cs="宋体"/>
                      <w:b/>
                      <w:bCs w:val="0"/>
                      <w:i w:val="0"/>
                      <w:iCs w:val="0"/>
                      <w:color w:val="auto"/>
                      <w:kern w:val="0"/>
                      <w:sz w:val="21"/>
                      <w:szCs w:val="21"/>
                      <w:highlight w:val="none"/>
                      <w:u w:val="none"/>
                      <w:lang w:val="en-US" w:eastAsia="zh-CN" w:bidi="ar"/>
                    </w:rPr>
                    <w:t>执行标准/功能区类别</w:t>
                  </w:r>
                </w:p>
              </w:tc>
              <w:tc>
                <w:tcPr>
                  <w:tcW w:w="2011" w:type="dxa"/>
                  <w:vMerge w:val="restart"/>
                  <w:vAlign w:val="center"/>
                </w:tcPr>
                <w:p w14:paraId="3BB9BF96">
                  <w:pPr>
                    <w:pStyle w:val="9"/>
                    <w:jc w:val="center"/>
                    <w:rPr>
                      <w:rFonts w:hint="eastAsia" w:ascii="宋体" w:hAnsi="宋体" w:eastAsia="宋体" w:cs="宋体"/>
                      <w:b/>
                      <w:bCs w:val="0"/>
                      <w:color w:val="auto"/>
                      <w:sz w:val="21"/>
                      <w:szCs w:val="21"/>
                      <w:vertAlign w:val="baseline"/>
                    </w:rPr>
                  </w:pPr>
                  <w:r>
                    <w:rPr>
                      <w:rFonts w:hint="eastAsia" w:ascii="宋体" w:hAnsi="宋体" w:eastAsia="宋体" w:cs="宋体"/>
                      <w:b/>
                      <w:bCs w:val="0"/>
                      <w:color w:val="auto"/>
                      <w:sz w:val="21"/>
                      <w:szCs w:val="21"/>
                      <w:vertAlign w:val="baseline"/>
                    </w:rPr>
                    <w:t>声环境保护目标情况说明</w:t>
                  </w:r>
                </w:p>
              </w:tc>
            </w:tr>
            <w:tr w14:paraId="5B9C1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877" w:type="dxa"/>
                  <w:vMerge w:val="continue"/>
                  <w:vAlign w:val="center"/>
                </w:tcPr>
                <w:p w14:paraId="64A43307">
                  <w:pPr>
                    <w:pStyle w:val="9"/>
                    <w:jc w:val="center"/>
                    <w:rPr>
                      <w:rFonts w:hint="eastAsia" w:ascii="宋体" w:hAnsi="宋体" w:eastAsia="宋体" w:cs="宋体"/>
                      <w:color w:val="auto"/>
                      <w:sz w:val="21"/>
                      <w:szCs w:val="21"/>
                      <w:vertAlign w:val="baseline"/>
                    </w:rPr>
                  </w:pPr>
                </w:p>
              </w:tc>
              <w:tc>
                <w:tcPr>
                  <w:tcW w:w="968" w:type="dxa"/>
                  <w:vMerge w:val="continue"/>
                  <w:vAlign w:val="center"/>
                </w:tcPr>
                <w:p w14:paraId="62CF94E4">
                  <w:pPr>
                    <w:pStyle w:val="9"/>
                    <w:jc w:val="center"/>
                    <w:rPr>
                      <w:rFonts w:hint="eastAsia" w:ascii="宋体" w:hAnsi="宋体" w:eastAsia="宋体" w:cs="宋体"/>
                      <w:color w:val="auto"/>
                      <w:sz w:val="21"/>
                      <w:szCs w:val="21"/>
                      <w:vertAlign w:val="baseline"/>
                    </w:rPr>
                  </w:pPr>
                </w:p>
              </w:tc>
              <w:tc>
                <w:tcPr>
                  <w:tcW w:w="627" w:type="dxa"/>
                  <w:vAlign w:val="center"/>
                </w:tcPr>
                <w:p w14:paraId="1C0BF292">
                  <w:pPr>
                    <w:pStyle w:val="9"/>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X</w:t>
                  </w:r>
                </w:p>
              </w:tc>
              <w:tc>
                <w:tcPr>
                  <w:tcW w:w="628" w:type="dxa"/>
                  <w:vAlign w:val="center"/>
                </w:tcPr>
                <w:p w14:paraId="7B0A7141">
                  <w:pPr>
                    <w:pStyle w:val="9"/>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Y</w:t>
                  </w:r>
                </w:p>
              </w:tc>
              <w:tc>
                <w:tcPr>
                  <w:tcW w:w="804" w:type="dxa"/>
                  <w:vMerge w:val="continue"/>
                  <w:vAlign w:val="center"/>
                </w:tcPr>
                <w:p w14:paraId="277DE7CB">
                  <w:pPr>
                    <w:pStyle w:val="9"/>
                    <w:jc w:val="center"/>
                    <w:rPr>
                      <w:rFonts w:hint="eastAsia" w:ascii="宋体" w:hAnsi="宋体" w:eastAsia="宋体" w:cs="宋体"/>
                      <w:color w:val="auto"/>
                      <w:sz w:val="21"/>
                      <w:szCs w:val="21"/>
                      <w:vertAlign w:val="baseline"/>
                    </w:rPr>
                  </w:pPr>
                </w:p>
              </w:tc>
              <w:tc>
                <w:tcPr>
                  <w:tcW w:w="900" w:type="dxa"/>
                  <w:vMerge w:val="continue"/>
                  <w:vAlign w:val="center"/>
                </w:tcPr>
                <w:p w14:paraId="2F4732B1">
                  <w:pPr>
                    <w:pStyle w:val="9"/>
                    <w:jc w:val="center"/>
                    <w:rPr>
                      <w:rFonts w:hint="eastAsia" w:ascii="宋体" w:hAnsi="宋体" w:eastAsia="宋体" w:cs="宋体"/>
                      <w:color w:val="auto"/>
                      <w:sz w:val="21"/>
                      <w:szCs w:val="21"/>
                      <w:vertAlign w:val="baseline"/>
                    </w:rPr>
                  </w:pPr>
                </w:p>
              </w:tc>
              <w:tc>
                <w:tcPr>
                  <w:tcW w:w="1037" w:type="dxa"/>
                  <w:vMerge w:val="continue"/>
                  <w:vAlign w:val="center"/>
                </w:tcPr>
                <w:p w14:paraId="505493B9">
                  <w:pPr>
                    <w:pStyle w:val="9"/>
                    <w:jc w:val="center"/>
                    <w:rPr>
                      <w:rFonts w:hint="eastAsia" w:ascii="宋体" w:hAnsi="宋体" w:eastAsia="宋体" w:cs="宋体"/>
                      <w:color w:val="auto"/>
                      <w:sz w:val="21"/>
                      <w:szCs w:val="21"/>
                      <w:vertAlign w:val="baseline"/>
                    </w:rPr>
                  </w:pPr>
                </w:p>
              </w:tc>
              <w:tc>
                <w:tcPr>
                  <w:tcW w:w="2011" w:type="dxa"/>
                  <w:vMerge w:val="continue"/>
                  <w:vAlign w:val="center"/>
                </w:tcPr>
                <w:p w14:paraId="718DB2EE">
                  <w:pPr>
                    <w:pStyle w:val="9"/>
                    <w:jc w:val="center"/>
                    <w:rPr>
                      <w:rFonts w:hint="eastAsia" w:ascii="宋体" w:hAnsi="宋体" w:eastAsia="宋体" w:cs="宋体"/>
                      <w:color w:val="auto"/>
                      <w:sz w:val="21"/>
                      <w:szCs w:val="21"/>
                      <w:vertAlign w:val="baseline"/>
                    </w:rPr>
                  </w:pPr>
                </w:p>
              </w:tc>
            </w:tr>
            <w:tr w14:paraId="56272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vAlign w:val="center"/>
                </w:tcPr>
                <w:p w14:paraId="7A0501E7">
                  <w:pPr>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史圩孜</w:t>
                  </w:r>
                </w:p>
              </w:tc>
              <w:tc>
                <w:tcPr>
                  <w:tcW w:w="968" w:type="dxa"/>
                  <w:vAlign w:val="center"/>
                </w:tcPr>
                <w:p w14:paraId="78A720AD">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号井场</w:t>
                  </w:r>
                  <w:r>
                    <w:rPr>
                      <w:rFonts w:hint="eastAsia" w:ascii="宋体" w:hAnsi="宋体" w:eastAsia="宋体" w:cs="宋体"/>
                      <w:color w:val="auto"/>
                      <w:sz w:val="21"/>
                      <w:szCs w:val="21"/>
                      <w:lang w:val="en-US" w:eastAsia="zh-CN"/>
                    </w:rPr>
                    <w:t>施工场地</w:t>
                  </w:r>
                </w:p>
              </w:tc>
              <w:tc>
                <w:tcPr>
                  <w:tcW w:w="627" w:type="dxa"/>
                  <w:vAlign w:val="center"/>
                </w:tcPr>
                <w:p w14:paraId="28FDA1F7">
                  <w:pPr>
                    <w:keepNext w:val="0"/>
                    <w:keepLines w:val="0"/>
                    <w:widowControl/>
                    <w:suppressLineNumbers w:val="0"/>
                    <w:jc w:val="center"/>
                    <w:textAlignment w:val="center"/>
                    <w:rPr>
                      <w:rFonts w:hint="eastAsia" w:ascii="宋体" w:hAnsi="宋体" w:eastAsia="宋体" w:cs="宋体"/>
                      <w:color w:val="auto"/>
                      <w:sz w:val="21"/>
                      <w:szCs w:val="21"/>
                      <w:vertAlign w:val="baseline"/>
                    </w:rPr>
                  </w:pPr>
                  <w:r>
                    <w:rPr>
                      <w:rFonts w:hint="eastAsia" w:ascii="宋体" w:hAnsi="宋体" w:eastAsia="宋体" w:cs="宋体"/>
                      <w:i w:val="0"/>
                      <w:iCs w:val="0"/>
                      <w:color w:val="auto"/>
                      <w:kern w:val="0"/>
                      <w:sz w:val="21"/>
                      <w:szCs w:val="21"/>
                      <w:u w:val="none"/>
                      <w:lang w:val="en-US" w:eastAsia="zh-CN" w:bidi="ar"/>
                    </w:rPr>
                    <w:t>173</w:t>
                  </w:r>
                </w:p>
              </w:tc>
              <w:tc>
                <w:tcPr>
                  <w:tcW w:w="628" w:type="dxa"/>
                  <w:vAlign w:val="center"/>
                </w:tcPr>
                <w:p w14:paraId="424D20A8">
                  <w:pPr>
                    <w:keepNext w:val="0"/>
                    <w:keepLines w:val="0"/>
                    <w:widowControl/>
                    <w:suppressLineNumbers w:val="0"/>
                    <w:jc w:val="center"/>
                    <w:textAlignment w:val="center"/>
                    <w:rPr>
                      <w:rFonts w:hint="eastAsia" w:ascii="宋体" w:hAnsi="宋体" w:eastAsia="宋体" w:cs="宋体"/>
                      <w:color w:val="auto"/>
                      <w:sz w:val="21"/>
                      <w:szCs w:val="21"/>
                      <w:vertAlign w:val="baseline"/>
                    </w:rPr>
                  </w:pPr>
                  <w:r>
                    <w:rPr>
                      <w:rFonts w:hint="eastAsia" w:ascii="宋体" w:hAnsi="宋体" w:eastAsia="宋体" w:cs="宋体"/>
                      <w:i w:val="0"/>
                      <w:iCs w:val="0"/>
                      <w:color w:val="auto"/>
                      <w:kern w:val="0"/>
                      <w:sz w:val="21"/>
                      <w:szCs w:val="21"/>
                      <w:u w:val="none"/>
                      <w:lang w:val="en-US" w:eastAsia="zh-CN" w:bidi="ar"/>
                    </w:rPr>
                    <w:t>65</w:t>
                  </w:r>
                </w:p>
              </w:tc>
              <w:tc>
                <w:tcPr>
                  <w:tcW w:w="804" w:type="dxa"/>
                  <w:vAlign w:val="center"/>
                </w:tcPr>
                <w:p w14:paraId="0A8B5EE8">
                  <w:pPr>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lang w:val="en-US" w:eastAsia="zh-CN"/>
                    </w:rPr>
                    <w:t>NE</w:t>
                  </w:r>
                </w:p>
              </w:tc>
              <w:tc>
                <w:tcPr>
                  <w:tcW w:w="900" w:type="dxa"/>
                  <w:vAlign w:val="center"/>
                </w:tcPr>
                <w:p w14:paraId="0007DDF1">
                  <w:pPr>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lang w:val="en-US" w:eastAsia="zh-CN"/>
                    </w:rPr>
                    <w:t>170</w:t>
                  </w:r>
                </w:p>
              </w:tc>
              <w:tc>
                <w:tcPr>
                  <w:tcW w:w="1037" w:type="dxa"/>
                  <w:vAlign w:val="center"/>
                </w:tcPr>
                <w:p w14:paraId="4721A611">
                  <w:pPr>
                    <w:pStyle w:val="9"/>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1类</w:t>
                  </w:r>
                </w:p>
              </w:tc>
              <w:tc>
                <w:tcPr>
                  <w:tcW w:w="2011" w:type="dxa"/>
                  <w:vAlign w:val="center"/>
                </w:tcPr>
                <w:p w14:paraId="0EA9F3A8">
                  <w:pPr>
                    <w:pStyle w:val="9"/>
                    <w:jc w:val="center"/>
                    <w:rPr>
                      <w:rFonts w:hint="eastAsia" w:ascii="宋体" w:hAnsi="宋体" w:eastAsia="宋体" w:cs="宋体"/>
                      <w:color w:val="auto"/>
                      <w:sz w:val="21"/>
                      <w:szCs w:val="21"/>
                      <w:vertAlign w:val="baseline"/>
                    </w:rPr>
                  </w:pPr>
                  <w:r>
                    <w:rPr>
                      <w:rFonts w:hint="eastAsia" w:ascii="宋体" w:hAnsi="宋体" w:eastAsia="宋体" w:cs="宋体"/>
                      <w:bCs/>
                      <w:color w:val="auto"/>
                      <w:sz w:val="21"/>
                      <w:szCs w:val="21"/>
                      <w:highlight w:val="none"/>
                      <w:vertAlign w:val="baseline"/>
                      <w:lang w:val="en-US" w:eastAsia="zh-CN"/>
                    </w:rPr>
                    <w:t>村庄居民，一层/二层，尖顶/平顶，砖混建筑</w:t>
                  </w:r>
                </w:p>
              </w:tc>
            </w:tr>
            <w:tr w14:paraId="5F33B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vAlign w:val="center"/>
                </w:tcPr>
                <w:p w14:paraId="7224D10D">
                  <w:pPr>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史圩孜</w:t>
                  </w:r>
                </w:p>
              </w:tc>
              <w:tc>
                <w:tcPr>
                  <w:tcW w:w="968" w:type="dxa"/>
                  <w:vAlign w:val="center"/>
                </w:tcPr>
                <w:p w14:paraId="7674FCF7">
                  <w:pPr>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号井场</w:t>
                  </w:r>
                  <w:r>
                    <w:rPr>
                      <w:rFonts w:hint="eastAsia" w:ascii="宋体" w:hAnsi="宋体" w:eastAsia="宋体" w:cs="宋体"/>
                      <w:color w:val="auto"/>
                      <w:sz w:val="21"/>
                      <w:szCs w:val="21"/>
                      <w:lang w:val="en-US" w:eastAsia="zh-CN"/>
                    </w:rPr>
                    <w:t>施工场地</w:t>
                  </w:r>
                </w:p>
              </w:tc>
              <w:tc>
                <w:tcPr>
                  <w:tcW w:w="627" w:type="dxa"/>
                  <w:vAlign w:val="center"/>
                </w:tcPr>
                <w:p w14:paraId="3398FFD9">
                  <w:pPr>
                    <w:keepNext w:val="0"/>
                    <w:keepLines w:val="0"/>
                    <w:widowControl/>
                    <w:suppressLineNumbers w:val="0"/>
                    <w:jc w:val="center"/>
                    <w:textAlignment w:val="center"/>
                    <w:rPr>
                      <w:rFonts w:hint="eastAsia" w:ascii="宋体" w:hAnsi="宋体" w:eastAsia="宋体" w:cs="宋体"/>
                      <w:color w:val="auto"/>
                      <w:sz w:val="21"/>
                      <w:szCs w:val="21"/>
                      <w:vertAlign w:val="baseline"/>
                    </w:rPr>
                  </w:pPr>
                  <w:r>
                    <w:rPr>
                      <w:rFonts w:hint="eastAsia" w:ascii="宋体" w:hAnsi="宋体" w:eastAsia="宋体" w:cs="宋体"/>
                      <w:i w:val="0"/>
                      <w:iCs w:val="0"/>
                      <w:color w:val="auto"/>
                      <w:kern w:val="0"/>
                      <w:sz w:val="21"/>
                      <w:szCs w:val="21"/>
                      <w:u w:val="none"/>
                      <w:lang w:val="en-US" w:eastAsia="zh-CN" w:bidi="ar"/>
                    </w:rPr>
                    <w:t>60</w:t>
                  </w:r>
                </w:p>
              </w:tc>
              <w:tc>
                <w:tcPr>
                  <w:tcW w:w="628" w:type="dxa"/>
                  <w:vAlign w:val="center"/>
                </w:tcPr>
                <w:p w14:paraId="3DC6305D">
                  <w:pPr>
                    <w:keepNext w:val="0"/>
                    <w:keepLines w:val="0"/>
                    <w:widowControl/>
                    <w:suppressLineNumbers w:val="0"/>
                    <w:jc w:val="center"/>
                    <w:textAlignment w:val="center"/>
                    <w:rPr>
                      <w:rFonts w:hint="eastAsia" w:ascii="宋体" w:hAnsi="宋体" w:eastAsia="宋体" w:cs="宋体"/>
                      <w:color w:val="auto"/>
                      <w:sz w:val="21"/>
                      <w:szCs w:val="21"/>
                      <w:vertAlign w:val="baseline"/>
                    </w:rPr>
                  </w:pPr>
                  <w:r>
                    <w:rPr>
                      <w:rFonts w:hint="eastAsia" w:ascii="宋体" w:hAnsi="宋体" w:eastAsia="宋体" w:cs="宋体"/>
                      <w:i w:val="0"/>
                      <w:iCs w:val="0"/>
                      <w:color w:val="auto"/>
                      <w:kern w:val="0"/>
                      <w:sz w:val="21"/>
                      <w:szCs w:val="21"/>
                      <w:u w:val="none"/>
                      <w:lang w:val="en-US" w:eastAsia="zh-CN" w:bidi="ar"/>
                    </w:rPr>
                    <w:t>0</w:t>
                  </w:r>
                </w:p>
              </w:tc>
              <w:tc>
                <w:tcPr>
                  <w:tcW w:w="804" w:type="dxa"/>
                  <w:vAlign w:val="center"/>
                </w:tcPr>
                <w:p w14:paraId="7AC011E6">
                  <w:pPr>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lang w:val="en-US" w:eastAsia="zh-CN"/>
                    </w:rPr>
                    <w:t>NE</w:t>
                  </w:r>
                </w:p>
              </w:tc>
              <w:tc>
                <w:tcPr>
                  <w:tcW w:w="900" w:type="dxa"/>
                  <w:vAlign w:val="center"/>
                </w:tcPr>
                <w:p w14:paraId="611C32BC">
                  <w:pPr>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lang w:val="en-US" w:eastAsia="zh-CN"/>
                    </w:rPr>
                    <w:t>49</w:t>
                  </w:r>
                </w:p>
              </w:tc>
              <w:tc>
                <w:tcPr>
                  <w:tcW w:w="1037" w:type="dxa"/>
                  <w:vAlign w:val="center"/>
                </w:tcPr>
                <w:p w14:paraId="23ADAEFE">
                  <w:pPr>
                    <w:pStyle w:val="9"/>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1类</w:t>
                  </w:r>
                </w:p>
              </w:tc>
              <w:tc>
                <w:tcPr>
                  <w:tcW w:w="2011" w:type="dxa"/>
                  <w:vAlign w:val="center"/>
                </w:tcPr>
                <w:p w14:paraId="34A73962">
                  <w:pPr>
                    <w:pStyle w:val="9"/>
                    <w:jc w:val="center"/>
                    <w:rPr>
                      <w:rFonts w:hint="eastAsia" w:ascii="宋体" w:hAnsi="宋体" w:eastAsia="宋体" w:cs="宋体"/>
                      <w:color w:val="auto"/>
                      <w:sz w:val="21"/>
                      <w:szCs w:val="21"/>
                      <w:vertAlign w:val="baseline"/>
                    </w:rPr>
                  </w:pPr>
                  <w:r>
                    <w:rPr>
                      <w:rFonts w:hint="eastAsia" w:ascii="宋体" w:hAnsi="宋体" w:eastAsia="宋体" w:cs="宋体"/>
                      <w:bCs/>
                      <w:color w:val="auto"/>
                      <w:sz w:val="21"/>
                      <w:szCs w:val="21"/>
                      <w:highlight w:val="none"/>
                      <w:vertAlign w:val="baseline"/>
                      <w:lang w:val="en-US" w:eastAsia="zh-CN"/>
                    </w:rPr>
                    <w:t>村庄居民，一层/二层，尖顶/平顶，砖混建筑</w:t>
                  </w:r>
                </w:p>
              </w:tc>
            </w:tr>
            <w:tr w14:paraId="278B0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vAlign w:val="center"/>
                </w:tcPr>
                <w:p w14:paraId="6499D7C0">
                  <w:pPr>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史圩孜</w:t>
                  </w:r>
                </w:p>
              </w:tc>
              <w:tc>
                <w:tcPr>
                  <w:tcW w:w="968" w:type="dxa"/>
                  <w:vAlign w:val="center"/>
                </w:tcPr>
                <w:p w14:paraId="5E114869">
                  <w:pPr>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号井场</w:t>
                  </w:r>
                  <w:r>
                    <w:rPr>
                      <w:rFonts w:hint="eastAsia" w:ascii="宋体" w:hAnsi="宋体" w:eastAsia="宋体" w:cs="宋体"/>
                      <w:color w:val="auto"/>
                      <w:sz w:val="21"/>
                      <w:szCs w:val="21"/>
                      <w:lang w:val="en-US" w:eastAsia="zh-CN"/>
                    </w:rPr>
                    <w:t>施工场地</w:t>
                  </w:r>
                </w:p>
              </w:tc>
              <w:tc>
                <w:tcPr>
                  <w:tcW w:w="627" w:type="dxa"/>
                  <w:shd w:val="clear" w:color="auto" w:fill="auto"/>
                  <w:vAlign w:val="center"/>
                </w:tcPr>
                <w:p w14:paraId="353BC1A1">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36</w:t>
                  </w:r>
                </w:p>
              </w:tc>
              <w:tc>
                <w:tcPr>
                  <w:tcW w:w="628" w:type="dxa"/>
                  <w:shd w:val="clear" w:color="auto" w:fill="auto"/>
                  <w:vAlign w:val="center"/>
                </w:tcPr>
                <w:p w14:paraId="69E5E5C9">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0</w:t>
                  </w:r>
                </w:p>
              </w:tc>
              <w:tc>
                <w:tcPr>
                  <w:tcW w:w="804" w:type="dxa"/>
                  <w:vAlign w:val="center"/>
                </w:tcPr>
                <w:p w14:paraId="675C8B4E">
                  <w:pPr>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lang w:val="en-US" w:eastAsia="zh-CN"/>
                    </w:rPr>
                    <w:t>E</w:t>
                  </w:r>
                </w:p>
              </w:tc>
              <w:tc>
                <w:tcPr>
                  <w:tcW w:w="900" w:type="dxa"/>
                  <w:vAlign w:val="center"/>
                </w:tcPr>
                <w:p w14:paraId="6B06EC0C">
                  <w:pPr>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lang w:val="en-US" w:eastAsia="zh-CN"/>
                    </w:rPr>
                    <w:t>36</w:t>
                  </w:r>
                </w:p>
              </w:tc>
              <w:tc>
                <w:tcPr>
                  <w:tcW w:w="1037" w:type="dxa"/>
                  <w:vAlign w:val="center"/>
                </w:tcPr>
                <w:p w14:paraId="7964BCA9">
                  <w:pPr>
                    <w:pStyle w:val="9"/>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4a类</w:t>
                  </w:r>
                </w:p>
              </w:tc>
              <w:tc>
                <w:tcPr>
                  <w:tcW w:w="2011" w:type="dxa"/>
                  <w:vAlign w:val="center"/>
                </w:tcPr>
                <w:p w14:paraId="00C343F6">
                  <w:pPr>
                    <w:pStyle w:val="9"/>
                    <w:jc w:val="center"/>
                    <w:rPr>
                      <w:rFonts w:hint="eastAsia" w:ascii="宋体" w:hAnsi="宋体" w:eastAsia="宋体" w:cs="宋体"/>
                      <w:color w:val="auto"/>
                      <w:sz w:val="21"/>
                      <w:szCs w:val="21"/>
                      <w:vertAlign w:val="baseline"/>
                    </w:rPr>
                  </w:pPr>
                  <w:r>
                    <w:rPr>
                      <w:rFonts w:hint="eastAsia" w:ascii="宋体" w:hAnsi="宋体" w:eastAsia="宋体" w:cs="宋体"/>
                      <w:bCs/>
                      <w:color w:val="auto"/>
                      <w:sz w:val="21"/>
                      <w:szCs w:val="21"/>
                      <w:highlight w:val="none"/>
                      <w:vertAlign w:val="baseline"/>
                      <w:lang w:val="en-US" w:eastAsia="zh-CN"/>
                    </w:rPr>
                    <w:t>村庄居民，一层/二层，尖顶/平顶，砖混建筑</w:t>
                  </w:r>
                </w:p>
              </w:tc>
            </w:tr>
            <w:tr w14:paraId="7EF36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vAlign w:val="center"/>
                </w:tcPr>
                <w:p w14:paraId="733C7AFA">
                  <w:pPr>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史圩孜</w:t>
                  </w:r>
                </w:p>
              </w:tc>
              <w:tc>
                <w:tcPr>
                  <w:tcW w:w="968" w:type="dxa"/>
                  <w:vAlign w:val="center"/>
                </w:tcPr>
                <w:p w14:paraId="644C2160">
                  <w:pPr>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lang w:val="en-US" w:eastAsia="zh-CN"/>
                    </w:rPr>
                    <w:t>4号井场施工场地</w:t>
                  </w:r>
                </w:p>
              </w:tc>
              <w:tc>
                <w:tcPr>
                  <w:tcW w:w="627" w:type="dxa"/>
                  <w:vAlign w:val="center"/>
                </w:tcPr>
                <w:p w14:paraId="4A02CA3F">
                  <w:pPr>
                    <w:keepNext w:val="0"/>
                    <w:keepLines w:val="0"/>
                    <w:widowControl/>
                    <w:suppressLineNumbers w:val="0"/>
                    <w:jc w:val="center"/>
                    <w:textAlignment w:val="center"/>
                    <w:rPr>
                      <w:rFonts w:hint="eastAsia" w:ascii="宋体" w:hAnsi="宋体" w:eastAsia="宋体" w:cs="宋体"/>
                      <w:color w:val="auto"/>
                      <w:sz w:val="21"/>
                      <w:szCs w:val="21"/>
                      <w:vertAlign w:val="baseline"/>
                    </w:rPr>
                  </w:pPr>
                  <w:r>
                    <w:rPr>
                      <w:rFonts w:hint="eastAsia" w:ascii="宋体" w:hAnsi="宋体" w:eastAsia="宋体" w:cs="宋体"/>
                      <w:i w:val="0"/>
                      <w:iCs w:val="0"/>
                      <w:color w:val="auto"/>
                      <w:kern w:val="0"/>
                      <w:sz w:val="21"/>
                      <w:szCs w:val="21"/>
                      <w:u w:val="none"/>
                      <w:lang w:val="en-US" w:eastAsia="zh-CN" w:bidi="ar"/>
                    </w:rPr>
                    <w:t>0</w:t>
                  </w:r>
                </w:p>
              </w:tc>
              <w:tc>
                <w:tcPr>
                  <w:tcW w:w="628" w:type="dxa"/>
                  <w:vAlign w:val="center"/>
                </w:tcPr>
                <w:p w14:paraId="1CEC729C">
                  <w:pPr>
                    <w:keepNext w:val="0"/>
                    <w:keepLines w:val="0"/>
                    <w:widowControl/>
                    <w:suppressLineNumbers w:val="0"/>
                    <w:jc w:val="center"/>
                    <w:textAlignment w:val="center"/>
                    <w:rPr>
                      <w:rFonts w:hint="eastAsia" w:ascii="宋体" w:hAnsi="宋体" w:eastAsia="宋体" w:cs="宋体"/>
                      <w:color w:val="auto"/>
                      <w:sz w:val="21"/>
                      <w:szCs w:val="21"/>
                      <w:vertAlign w:val="baseline"/>
                    </w:rPr>
                  </w:pPr>
                  <w:r>
                    <w:rPr>
                      <w:rFonts w:hint="eastAsia" w:ascii="宋体" w:hAnsi="宋体" w:eastAsia="宋体" w:cs="宋体"/>
                      <w:i w:val="0"/>
                      <w:iCs w:val="0"/>
                      <w:color w:val="auto"/>
                      <w:kern w:val="0"/>
                      <w:sz w:val="21"/>
                      <w:szCs w:val="21"/>
                      <w:u w:val="none"/>
                      <w:lang w:val="en-US" w:eastAsia="zh-CN" w:bidi="ar"/>
                    </w:rPr>
                    <w:t>-10</w:t>
                  </w:r>
                </w:p>
              </w:tc>
              <w:tc>
                <w:tcPr>
                  <w:tcW w:w="804" w:type="dxa"/>
                  <w:vAlign w:val="center"/>
                </w:tcPr>
                <w:p w14:paraId="5DA7FD99">
                  <w:pPr>
                    <w:jc w:val="center"/>
                    <w:rPr>
                      <w:rFonts w:hint="eastAsia" w:ascii="宋体" w:hAnsi="宋体" w:eastAsia="宋体" w:cs="宋体"/>
                      <w:color w:val="auto"/>
                      <w:sz w:val="21"/>
                      <w:szCs w:val="21"/>
                      <w:vertAlign w:val="baseline"/>
                    </w:rPr>
                  </w:pPr>
                  <w:r>
                    <w:rPr>
                      <w:rFonts w:hint="eastAsia" w:ascii="宋体" w:hAnsi="宋体" w:eastAsia="宋体" w:cs="宋体"/>
                      <w:i w:val="0"/>
                      <w:iCs w:val="0"/>
                      <w:color w:val="auto"/>
                      <w:kern w:val="0"/>
                      <w:sz w:val="21"/>
                      <w:szCs w:val="21"/>
                      <w:u w:val="none"/>
                      <w:lang w:val="en-US" w:eastAsia="zh-CN" w:bidi="ar"/>
                    </w:rPr>
                    <w:t>SE</w:t>
                  </w:r>
                </w:p>
              </w:tc>
              <w:tc>
                <w:tcPr>
                  <w:tcW w:w="900" w:type="dxa"/>
                  <w:vAlign w:val="center"/>
                </w:tcPr>
                <w:p w14:paraId="6263AAF3">
                  <w:pPr>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lang w:val="en-US" w:eastAsia="zh-CN"/>
                    </w:rPr>
                    <w:t>10</w:t>
                  </w:r>
                </w:p>
              </w:tc>
              <w:tc>
                <w:tcPr>
                  <w:tcW w:w="1037" w:type="dxa"/>
                  <w:vAlign w:val="center"/>
                </w:tcPr>
                <w:p w14:paraId="4F6C8973">
                  <w:pPr>
                    <w:pStyle w:val="9"/>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lang w:val="en-US" w:eastAsia="zh-CN"/>
                    </w:rPr>
                    <w:t>1类</w:t>
                  </w:r>
                </w:p>
              </w:tc>
              <w:tc>
                <w:tcPr>
                  <w:tcW w:w="2011" w:type="dxa"/>
                  <w:vAlign w:val="center"/>
                </w:tcPr>
                <w:p w14:paraId="0E91F6E4">
                  <w:pPr>
                    <w:pStyle w:val="9"/>
                    <w:jc w:val="center"/>
                    <w:rPr>
                      <w:rFonts w:hint="eastAsia" w:ascii="宋体" w:hAnsi="宋体" w:eastAsia="宋体" w:cs="宋体"/>
                      <w:color w:val="auto"/>
                      <w:sz w:val="21"/>
                      <w:szCs w:val="21"/>
                      <w:vertAlign w:val="baseline"/>
                    </w:rPr>
                  </w:pPr>
                  <w:r>
                    <w:rPr>
                      <w:rFonts w:hint="eastAsia" w:ascii="宋体" w:hAnsi="宋体" w:eastAsia="宋体" w:cs="宋体"/>
                      <w:bCs/>
                      <w:color w:val="auto"/>
                      <w:sz w:val="21"/>
                      <w:szCs w:val="21"/>
                      <w:highlight w:val="none"/>
                      <w:vertAlign w:val="baseline"/>
                      <w:lang w:val="en-US" w:eastAsia="zh-CN"/>
                    </w:rPr>
                    <w:t>村庄居民，一层/二层，尖顶/平顶，砖混建筑</w:t>
                  </w:r>
                </w:p>
              </w:tc>
            </w:tr>
            <w:tr w14:paraId="32B46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vAlign w:val="center"/>
                </w:tcPr>
                <w:p w14:paraId="21847415">
                  <w:pPr>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史圩孜</w:t>
                  </w:r>
                </w:p>
              </w:tc>
              <w:tc>
                <w:tcPr>
                  <w:tcW w:w="968" w:type="dxa"/>
                  <w:vAlign w:val="center"/>
                </w:tcPr>
                <w:p w14:paraId="500A329F">
                  <w:pPr>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lang w:val="en-US" w:eastAsia="zh-CN"/>
                    </w:rPr>
                    <w:t>5号井场施工场地</w:t>
                  </w:r>
                </w:p>
              </w:tc>
              <w:tc>
                <w:tcPr>
                  <w:tcW w:w="627" w:type="dxa"/>
                  <w:vAlign w:val="center"/>
                </w:tcPr>
                <w:p w14:paraId="2A4F49CB">
                  <w:pPr>
                    <w:keepNext w:val="0"/>
                    <w:keepLines w:val="0"/>
                    <w:widowControl/>
                    <w:suppressLineNumbers w:val="0"/>
                    <w:jc w:val="center"/>
                    <w:textAlignment w:val="center"/>
                    <w:rPr>
                      <w:rFonts w:hint="eastAsia" w:ascii="宋体" w:hAnsi="宋体" w:eastAsia="宋体" w:cs="宋体"/>
                      <w:color w:val="auto"/>
                      <w:sz w:val="21"/>
                      <w:szCs w:val="21"/>
                      <w:vertAlign w:val="baseline"/>
                    </w:rPr>
                  </w:pPr>
                  <w:r>
                    <w:rPr>
                      <w:rFonts w:hint="eastAsia" w:ascii="宋体" w:hAnsi="宋体" w:eastAsia="宋体" w:cs="宋体"/>
                      <w:i w:val="0"/>
                      <w:iCs w:val="0"/>
                      <w:color w:val="auto"/>
                      <w:kern w:val="0"/>
                      <w:sz w:val="21"/>
                      <w:szCs w:val="21"/>
                      <w:u w:val="none"/>
                      <w:lang w:val="en-US" w:eastAsia="zh-CN" w:bidi="ar"/>
                    </w:rPr>
                    <w:t>-404</w:t>
                  </w:r>
                </w:p>
              </w:tc>
              <w:tc>
                <w:tcPr>
                  <w:tcW w:w="628" w:type="dxa"/>
                  <w:vAlign w:val="center"/>
                </w:tcPr>
                <w:p w14:paraId="39B0E921">
                  <w:pPr>
                    <w:keepNext w:val="0"/>
                    <w:keepLines w:val="0"/>
                    <w:widowControl/>
                    <w:suppressLineNumbers w:val="0"/>
                    <w:jc w:val="center"/>
                    <w:textAlignment w:val="center"/>
                    <w:rPr>
                      <w:rFonts w:hint="eastAsia" w:ascii="宋体" w:hAnsi="宋体" w:eastAsia="宋体" w:cs="宋体"/>
                      <w:color w:val="auto"/>
                      <w:sz w:val="21"/>
                      <w:szCs w:val="21"/>
                      <w:vertAlign w:val="baseline"/>
                    </w:rPr>
                  </w:pPr>
                  <w:r>
                    <w:rPr>
                      <w:rFonts w:hint="eastAsia" w:ascii="宋体" w:hAnsi="宋体" w:eastAsia="宋体" w:cs="宋体"/>
                      <w:i w:val="0"/>
                      <w:iCs w:val="0"/>
                      <w:color w:val="auto"/>
                      <w:kern w:val="0"/>
                      <w:sz w:val="21"/>
                      <w:szCs w:val="21"/>
                      <w:u w:val="none"/>
                      <w:lang w:val="en-US" w:eastAsia="zh-CN" w:bidi="ar"/>
                    </w:rPr>
                    <w:t>-280</w:t>
                  </w:r>
                </w:p>
              </w:tc>
              <w:tc>
                <w:tcPr>
                  <w:tcW w:w="804" w:type="dxa"/>
                  <w:vAlign w:val="center"/>
                </w:tcPr>
                <w:p w14:paraId="0E0A4368">
                  <w:pPr>
                    <w:jc w:val="center"/>
                    <w:rPr>
                      <w:rFonts w:hint="eastAsia" w:ascii="宋体" w:hAnsi="宋体" w:eastAsia="宋体" w:cs="宋体"/>
                      <w:color w:val="auto"/>
                      <w:sz w:val="21"/>
                      <w:szCs w:val="21"/>
                      <w:vertAlign w:val="baseline"/>
                    </w:rPr>
                  </w:pPr>
                  <w:r>
                    <w:rPr>
                      <w:rFonts w:hint="eastAsia" w:ascii="宋体" w:hAnsi="宋体" w:eastAsia="宋体" w:cs="宋体"/>
                      <w:i w:val="0"/>
                      <w:iCs w:val="0"/>
                      <w:color w:val="auto"/>
                      <w:kern w:val="0"/>
                      <w:sz w:val="21"/>
                      <w:szCs w:val="21"/>
                      <w:u w:val="none"/>
                      <w:lang w:val="en-US" w:eastAsia="zh-CN" w:bidi="ar"/>
                    </w:rPr>
                    <w:t>SE</w:t>
                  </w:r>
                </w:p>
              </w:tc>
              <w:tc>
                <w:tcPr>
                  <w:tcW w:w="900" w:type="dxa"/>
                  <w:vAlign w:val="center"/>
                </w:tcPr>
                <w:p w14:paraId="01690DCD">
                  <w:pPr>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lang w:val="en-US" w:eastAsia="zh-CN"/>
                    </w:rPr>
                    <w:t>110</w:t>
                  </w:r>
                </w:p>
              </w:tc>
              <w:tc>
                <w:tcPr>
                  <w:tcW w:w="1037" w:type="dxa"/>
                  <w:vAlign w:val="center"/>
                </w:tcPr>
                <w:p w14:paraId="2F7584A9">
                  <w:pPr>
                    <w:pStyle w:val="9"/>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lang w:val="en-US" w:eastAsia="zh-CN"/>
                    </w:rPr>
                    <w:t>1类</w:t>
                  </w:r>
                </w:p>
              </w:tc>
              <w:tc>
                <w:tcPr>
                  <w:tcW w:w="2011" w:type="dxa"/>
                  <w:vAlign w:val="center"/>
                </w:tcPr>
                <w:p w14:paraId="69AC6EA3">
                  <w:pPr>
                    <w:pStyle w:val="9"/>
                    <w:jc w:val="center"/>
                    <w:rPr>
                      <w:rFonts w:hint="eastAsia" w:ascii="宋体" w:hAnsi="宋体" w:eastAsia="宋体" w:cs="宋体"/>
                      <w:color w:val="auto"/>
                      <w:sz w:val="21"/>
                      <w:szCs w:val="21"/>
                      <w:vertAlign w:val="baseline"/>
                    </w:rPr>
                  </w:pPr>
                  <w:r>
                    <w:rPr>
                      <w:rFonts w:hint="eastAsia" w:ascii="宋体" w:hAnsi="宋体" w:eastAsia="宋体" w:cs="宋体"/>
                      <w:bCs/>
                      <w:color w:val="auto"/>
                      <w:sz w:val="21"/>
                      <w:szCs w:val="21"/>
                      <w:highlight w:val="none"/>
                      <w:vertAlign w:val="baseline"/>
                      <w:lang w:val="en-US" w:eastAsia="zh-CN"/>
                    </w:rPr>
                    <w:t>村庄居民，一层/二层，尖顶/平顶，砖混建筑</w:t>
                  </w:r>
                </w:p>
              </w:tc>
            </w:tr>
            <w:tr w14:paraId="17047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vAlign w:val="center"/>
                </w:tcPr>
                <w:p w14:paraId="786E9C08">
                  <w:pPr>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史圩孜</w:t>
                  </w:r>
                </w:p>
              </w:tc>
              <w:tc>
                <w:tcPr>
                  <w:tcW w:w="968" w:type="dxa"/>
                  <w:vAlign w:val="center"/>
                </w:tcPr>
                <w:p w14:paraId="5CF17812">
                  <w:pPr>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lang w:val="en-US" w:eastAsia="zh-CN"/>
                    </w:rPr>
                    <w:t>6号井场施工场地</w:t>
                  </w:r>
                </w:p>
              </w:tc>
              <w:tc>
                <w:tcPr>
                  <w:tcW w:w="627" w:type="dxa"/>
                  <w:vAlign w:val="center"/>
                </w:tcPr>
                <w:p w14:paraId="5606C474">
                  <w:pPr>
                    <w:keepNext w:val="0"/>
                    <w:keepLines w:val="0"/>
                    <w:widowControl/>
                    <w:suppressLineNumbers w:val="0"/>
                    <w:jc w:val="center"/>
                    <w:textAlignment w:val="center"/>
                    <w:rPr>
                      <w:rFonts w:hint="eastAsia" w:ascii="宋体" w:hAnsi="宋体" w:eastAsia="宋体" w:cs="宋体"/>
                      <w:color w:val="auto"/>
                      <w:sz w:val="21"/>
                      <w:szCs w:val="21"/>
                      <w:vertAlign w:val="baseline"/>
                    </w:rPr>
                  </w:pPr>
                  <w:r>
                    <w:rPr>
                      <w:rFonts w:hint="eastAsia" w:ascii="宋体" w:hAnsi="宋体" w:eastAsia="宋体" w:cs="宋体"/>
                      <w:i w:val="0"/>
                      <w:iCs w:val="0"/>
                      <w:color w:val="auto"/>
                      <w:kern w:val="0"/>
                      <w:sz w:val="21"/>
                      <w:szCs w:val="21"/>
                      <w:u w:val="none"/>
                      <w:lang w:val="en-US" w:eastAsia="zh-CN" w:bidi="ar"/>
                    </w:rPr>
                    <w:t>64</w:t>
                  </w:r>
                </w:p>
              </w:tc>
              <w:tc>
                <w:tcPr>
                  <w:tcW w:w="628" w:type="dxa"/>
                  <w:vAlign w:val="center"/>
                </w:tcPr>
                <w:p w14:paraId="1774B042">
                  <w:pPr>
                    <w:keepNext w:val="0"/>
                    <w:keepLines w:val="0"/>
                    <w:widowControl/>
                    <w:suppressLineNumbers w:val="0"/>
                    <w:jc w:val="center"/>
                    <w:textAlignment w:val="center"/>
                    <w:rPr>
                      <w:rFonts w:hint="eastAsia" w:ascii="宋体" w:hAnsi="宋体" w:eastAsia="宋体" w:cs="宋体"/>
                      <w:color w:val="auto"/>
                      <w:sz w:val="21"/>
                      <w:szCs w:val="21"/>
                      <w:vertAlign w:val="baseline"/>
                    </w:rPr>
                  </w:pPr>
                  <w:r>
                    <w:rPr>
                      <w:rFonts w:hint="eastAsia" w:ascii="宋体" w:hAnsi="宋体" w:eastAsia="宋体" w:cs="宋体"/>
                      <w:i w:val="0"/>
                      <w:iCs w:val="0"/>
                      <w:color w:val="auto"/>
                      <w:kern w:val="0"/>
                      <w:sz w:val="21"/>
                      <w:szCs w:val="21"/>
                      <w:u w:val="none"/>
                      <w:lang w:val="en-US" w:eastAsia="zh-CN" w:bidi="ar"/>
                    </w:rPr>
                    <w:t>-242</w:t>
                  </w:r>
                </w:p>
              </w:tc>
              <w:tc>
                <w:tcPr>
                  <w:tcW w:w="804" w:type="dxa"/>
                  <w:vAlign w:val="center"/>
                </w:tcPr>
                <w:p w14:paraId="35552131">
                  <w:pPr>
                    <w:jc w:val="center"/>
                    <w:rPr>
                      <w:rFonts w:hint="eastAsia" w:ascii="宋体" w:hAnsi="宋体" w:eastAsia="宋体" w:cs="宋体"/>
                      <w:color w:val="auto"/>
                      <w:sz w:val="21"/>
                      <w:szCs w:val="21"/>
                      <w:vertAlign w:val="baseline"/>
                    </w:rPr>
                  </w:pPr>
                  <w:r>
                    <w:rPr>
                      <w:rFonts w:hint="eastAsia" w:ascii="宋体" w:hAnsi="宋体" w:eastAsia="宋体" w:cs="宋体"/>
                      <w:i w:val="0"/>
                      <w:iCs w:val="0"/>
                      <w:color w:val="auto"/>
                      <w:kern w:val="0"/>
                      <w:sz w:val="21"/>
                      <w:szCs w:val="21"/>
                      <w:u w:val="none"/>
                      <w:lang w:val="en-US" w:eastAsia="zh-CN" w:bidi="ar"/>
                    </w:rPr>
                    <w:t>SE</w:t>
                  </w:r>
                </w:p>
              </w:tc>
              <w:tc>
                <w:tcPr>
                  <w:tcW w:w="900" w:type="dxa"/>
                  <w:vAlign w:val="center"/>
                </w:tcPr>
                <w:p w14:paraId="1D4E229E">
                  <w:pPr>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lang w:val="en-US" w:eastAsia="zh-CN"/>
                    </w:rPr>
                    <w:t>165</w:t>
                  </w:r>
                </w:p>
              </w:tc>
              <w:tc>
                <w:tcPr>
                  <w:tcW w:w="1037" w:type="dxa"/>
                  <w:vAlign w:val="center"/>
                </w:tcPr>
                <w:p w14:paraId="004416CF">
                  <w:pPr>
                    <w:pStyle w:val="9"/>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lang w:val="en-US" w:eastAsia="zh-CN"/>
                    </w:rPr>
                    <w:t>1类</w:t>
                  </w:r>
                </w:p>
              </w:tc>
              <w:tc>
                <w:tcPr>
                  <w:tcW w:w="2011" w:type="dxa"/>
                  <w:vAlign w:val="center"/>
                </w:tcPr>
                <w:p w14:paraId="529EE920">
                  <w:pPr>
                    <w:pStyle w:val="9"/>
                    <w:jc w:val="center"/>
                    <w:rPr>
                      <w:rFonts w:hint="eastAsia" w:ascii="宋体" w:hAnsi="宋体" w:eastAsia="宋体" w:cs="宋体"/>
                      <w:color w:val="auto"/>
                      <w:sz w:val="21"/>
                      <w:szCs w:val="21"/>
                      <w:vertAlign w:val="baseline"/>
                    </w:rPr>
                  </w:pPr>
                  <w:r>
                    <w:rPr>
                      <w:rFonts w:hint="eastAsia" w:ascii="宋体" w:hAnsi="宋体" w:eastAsia="宋体" w:cs="宋体"/>
                      <w:bCs/>
                      <w:color w:val="auto"/>
                      <w:sz w:val="21"/>
                      <w:szCs w:val="21"/>
                      <w:highlight w:val="none"/>
                      <w:vertAlign w:val="baseline"/>
                      <w:lang w:val="en-US" w:eastAsia="zh-CN"/>
                    </w:rPr>
                    <w:t>村庄居民，一层/二层，尖顶/平顶，砖混建筑</w:t>
                  </w:r>
                </w:p>
              </w:tc>
            </w:tr>
            <w:tr w14:paraId="3EB40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2" w:type="dxa"/>
                  <w:gridSpan w:val="8"/>
                  <w:vAlign w:val="center"/>
                </w:tcPr>
                <w:p w14:paraId="63975590">
                  <w:pPr>
                    <w:keepNext w:val="0"/>
                    <w:keepLines w:val="0"/>
                    <w:widowControl/>
                    <w:suppressLineNumbers w:val="0"/>
                    <w:jc w:val="center"/>
                    <w:textAlignment w:val="center"/>
                    <w:rPr>
                      <w:rFonts w:hint="eastAsia" w:ascii="宋体" w:hAnsi="宋体" w:eastAsia="宋体" w:cs="宋体"/>
                      <w:bCs/>
                      <w:color w:val="auto"/>
                      <w:sz w:val="21"/>
                      <w:szCs w:val="21"/>
                      <w:highlight w:val="none"/>
                      <w:vertAlign w:val="baseline"/>
                      <w:lang w:val="en-US" w:eastAsia="zh-CN"/>
                    </w:rPr>
                  </w:pPr>
                  <w:r>
                    <w:rPr>
                      <w:rStyle w:val="40"/>
                      <w:color w:val="auto"/>
                      <w:lang w:val="en-US" w:eastAsia="zh-CN" w:bidi="ar"/>
                    </w:rPr>
                    <w:t>注：本项目以</w:t>
                  </w:r>
                  <w:r>
                    <w:rPr>
                      <w:rStyle w:val="40"/>
                      <w:rFonts w:hint="eastAsia"/>
                      <w:color w:val="auto"/>
                      <w:lang w:val="en-US" w:eastAsia="zh-CN" w:bidi="ar"/>
                    </w:rPr>
                    <w:t>各井场</w:t>
                  </w:r>
                  <w:r>
                    <w:rPr>
                      <w:rStyle w:val="40"/>
                      <w:color w:val="auto"/>
                      <w:lang w:val="en-US" w:eastAsia="zh-CN" w:bidi="ar"/>
                    </w:rPr>
                    <w:t>中心为原点，东侧方向为</w:t>
                  </w:r>
                  <w:r>
                    <w:rPr>
                      <w:rStyle w:val="41"/>
                      <w:rFonts w:eastAsia="宋体"/>
                      <w:color w:val="auto"/>
                      <w:lang w:val="en-US" w:eastAsia="zh-CN" w:bidi="ar"/>
                    </w:rPr>
                    <w:t>X</w:t>
                  </w:r>
                  <w:r>
                    <w:rPr>
                      <w:rStyle w:val="40"/>
                      <w:color w:val="auto"/>
                      <w:lang w:val="en-US" w:eastAsia="zh-CN" w:bidi="ar"/>
                    </w:rPr>
                    <w:t>轴、北侧方向为</w:t>
                  </w:r>
                  <w:r>
                    <w:rPr>
                      <w:rStyle w:val="41"/>
                      <w:rFonts w:eastAsia="宋体"/>
                      <w:color w:val="auto"/>
                      <w:lang w:val="en-US" w:eastAsia="zh-CN" w:bidi="ar"/>
                    </w:rPr>
                    <w:t>Y</w:t>
                  </w:r>
                  <w:r>
                    <w:rPr>
                      <w:rStyle w:val="40"/>
                      <w:color w:val="auto"/>
                      <w:lang w:val="en-US" w:eastAsia="zh-CN" w:bidi="ar"/>
                    </w:rPr>
                    <w:t>轴，建立坐标系。</w:t>
                  </w:r>
                </w:p>
              </w:tc>
            </w:tr>
          </w:tbl>
          <w:p w14:paraId="057297D7">
            <w:pPr>
              <w:spacing w:line="360" w:lineRule="auto"/>
              <w:ind w:firstLine="422" w:firstLineChars="200"/>
              <w:jc w:val="center"/>
              <w:rPr>
                <w:rFonts w:ascii="Times New Roman" w:hAnsi="Times New Roman"/>
                <w:b/>
                <w:bCs/>
                <w:color w:val="auto"/>
                <w:szCs w:val="21"/>
              </w:rPr>
            </w:pPr>
            <w:r>
              <w:rPr>
                <w:rFonts w:ascii="Times New Roman" w:hAnsi="Times New Roman"/>
                <w:b/>
                <w:bCs/>
                <w:color w:val="auto"/>
                <w:szCs w:val="21"/>
              </w:rPr>
              <w:t>表3-8 地下水、土壤环境保护目标情况一览表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4778"/>
              <w:gridCol w:w="2259"/>
            </w:tblGrid>
            <w:tr w14:paraId="07D4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775" w:type="dxa"/>
                  <w:noWrap w:val="0"/>
                  <w:vAlign w:val="center"/>
                </w:tcPr>
                <w:p w14:paraId="6DBD2670">
                  <w:pPr>
                    <w:tabs>
                      <w:tab w:val="left" w:pos="2940"/>
                    </w:tabs>
                    <w:jc w:val="center"/>
                    <w:rPr>
                      <w:rFonts w:ascii="Times New Roman" w:hAnsi="Times New Roman"/>
                      <w:color w:val="auto"/>
                    </w:rPr>
                  </w:pPr>
                  <w:r>
                    <w:rPr>
                      <w:rFonts w:ascii="Times New Roman" w:hAnsi="Times New Roman"/>
                      <w:color w:val="auto"/>
                    </w:rPr>
                    <w:t>环境</w:t>
                  </w:r>
                </w:p>
                <w:p w14:paraId="08E946F1">
                  <w:pPr>
                    <w:tabs>
                      <w:tab w:val="left" w:pos="2940"/>
                    </w:tabs>
                    <w:jc w:val="center"/>
                    <w:rPr>
                      <w:rFonts w:ascii="Times New Roman" w:hAnsi="Times New Roman"/>
                      <w:color w:val="auto"/>
                    </w:rPr>
                  </w:pPr>
                  <w:r>
                    <w:rPr>
                      <w:rFonts w:ascii="Times New Roman" w:hAnsi="Times New Roman"/>
                      <w:color w:val="auto"/>
                    </w:rPr>
                    <w:t>要素</w:t>
                  </w:r>
                </w:p>
              </w:tc>
              <w:tc>
                <w:tcPr>
                  <w:tcW w:w="4778" w:type="dxa"/>
                  <w:noWrap w:val="0"/>
                  <w:vAlign w:val="center"/>
                </w:tcPr>
                <w:p w14:paraId="63F24BD7">
                  <w:pPr>
                    <w:tabs>
                      <w:tab w:val="left" w:pos="2940"/>
                    </w:tabs>
                    <w:jc w:val="center"/>
                    <w:rPr>
                      <w:rFonts w:ascii="Times New Roman" w:hAnsi="Times New Roman"/>
                      <w:color w:val="auto"/>
                    </w:rPr>
                  </w:pPr>
                  <w:r>
                    <w:rPr>
                      <w:rFonts w:ascii="Times New Roman" w:hAnsi="Times New Roman"/>
                      <w:color w:val="auto"/>
                    </w:rPr>
                    <w:t>环境保护目标</w:t>
                  </w:r>
                </w:p>
              </w:tc>
              <w:tc>
                <w:tcPr>
                  <w:tcW w:w="2259" w:type="dxa"/>
                  <w:noWrap w:val="0"/>
                  <w:vAlign w:val="center"/>
                </w:tcPr>
                <w:p w14:paraId="7478491D">
                  <w:pPr>
                    <w:tabs>
                      <w:tab w:val="left" w:pos="2940"/>
                    </w:tabs>
                    <w:jc w:val="center"/>
                    <w:rPr>
                      <w:rFonts w:ascii="Times New Roman" w:hAnsi="Times New Roman"/>
                      <w:color w:val="auto"/>
                    </w:rPr>
                  </w:pPr>
                  <w:r>
                    <w:rPr>
                      <w:rFonts w:ascii="Times New Roman" w:hAnsi="Times New Roman"/>
                      <w:color w:val="auto"/>
                    </w:rPr>
                    <w:t>环境功能及保护级别</w:t>
                  </w:r>
                </w:p>
              </w:tc>
            </w:tr>
            <w:tr w14:paraId="115DD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75" w:type="dxa"/>
                  <w:noWrap w:val="0"/>
                  <w:vAlign w:val="center"/>
                </w:tcPr>
                <w:p w14:paraId="03538030">
                  <w:pPr>
                    <w:jc w:val="center"/>
                    <w:rPr>
                      <w:rFonts w:ascii="Times New Roman" w:hAnsi="Times New Roman"/>
                      <w:color w:val="auto"/>
                      <w:szCs w:val="21"/>
                    </w:rPr>
                  </w:pPr>
                  <w:r>
                    <w:rPr>
                      <w:rFonts w:ascii="Times New Roman" w:hAnsi="Times New Roman"/>
                      <w:color w:val="auto"/>
                      <w:szCs w:val="21"/>
                    </w:rPr>
                    <w:t>地下水、土壤环境</w:t>
                  </w:r>
                </w:p>
              </w:tc>
              <w:tc>
                <w:tcPr>
                  <w:tcW w:w="4778" w:type="dxa"/>
                  <w:noWrap w:val="0"/>
                  <w:vAlign w:val="center"/>
                </w:tcPr>
                <w:p w14:paraId="34DE2746">
                  <w:pPr>
                    <w:jc w:val="center"/>
                    <w:rPr>
                      <w:rFonts w:ascii="Times New Roman" w:hAnsi="Times New Roman"/>
                      <w:color w:val="auto"/>
                      <w:szCs w:val="21"/>
                    </w:rPr>
                  </w:pPr>
                  <w:r>
                    <w:rPr>
                      <w:rFonts w:ascii="Times New Roman" w:hAnsi="Times New Roman"/>
                      <w:color w:val="auto"/>
                      <w:szCs w:val="21"/>
                    </w:rPr>
                    <w:t>本项目地下水环境保护目标主要为井场附近潜层含水层和浅层承压含水层，其中潜层含水层主要为灌溉用水取水含水层，浅层承压含水层为分散居民饮用水的取用含水层。根据调查结果，项目井场外500米范围内无地下水集中式饮用水水源和热水、矿泉水、温泉等特殊地下水资源</w:t>
                  </w:r>
                </w:p>
              </w:tc>
              <w:tc>
                <w:tcPr>
                  <w:tcW w:w="2259" w:type="dxa"/>
                  <w:noWrap w:val="0"/>
                  <w:vAlign w:val="center"/>
                </w:tcPr>
                <w:p w14:paraId="5C24ADCB">
                  <w:pPr>
                    <w:rPr>
                      <w:rFonts w:ascii="Times New Roman" w:hAnsi="Times New Roman"/>
                      <w:color w:val="auto"/>
                      <w:szCs w:val="21"/>
                    </w:rPr>
                  </w:pPr>
                  <w:r>
                    <w:rPr>
                      <w:rFonts w:ascii="Times New Roman" w:hAnsi="Times New Roman"/>
                      <w:color w:val="auto"/>
                      <w:szCs w:val="21"/>
                    </w:rPr>
                    <w:t>《地下水质量标准》（GB/T14848-2017）中Ⅲ类标准，周边农用地土壤执行《土壤环境质量农用地土壤污染风险管控标准（试行）》（GB15618-2018）中风险筛选值</w:t>
                  </w:r>
                </w:p>
              </w:tc>
            </w:tr>
          </w:tbl>
          <w:p w14:paraId="7860FB76">
            <w:pPr>
              <w:spacing w:line="360" w:lineRule="auto"/>
              <w:ind w:firstLine="480" w:firstLineChars="200"/>
              <w:jc w:val="both"/>
              <w:rPr>
                <w:rFonts w:hint="default" w:ascii="Times New Roman" w:hAnsi="Times New Roman" w:eastAsia="宋体"/>
                <w:color w:val="auto"/>
                <w:lang w:val="en-US" w:eastAsia="zh-CN"/>
              </w:rPr>
            </w:pPr>
            <w:r>
              <w:rPr>
                <w:rFonts w:hint="eastAsia" w:ascii="Times New Roman" w:eastAsia="宋体" w:cs="Times New Roman"/>
                <w:snapToGrid w:val="0"/>
                <w:color w:val="auto"/>
                <w:kern w:val="0"/>
                <w:sz w:val="24"/>
                <w:szCs w:val="28"/>
                <w:lang w:val="en-US" w:eastAsia="zh-CN"/>
              </w:rPr>
              <w:t>生态环境保护目标：项目边界300m范围内的永久基本农田属于生态环境保护目标。</w:t>
            </w:r>
          </w:p>
        </w:tc>
      </w:tr>
      <w:tr w14:paraId="57198A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454" w:type="dxa"/>
            <w:noWrap w:val="0"/>
            <w:vAlign w:val="center"/>
          </w:tcPr>
          <w:p w14:paraId="2FF052F1">
            <w:pPr>
              <w:adjustRightInd w:val="0"/>
              <w:snapToGrid w:val="0"/>
              <w:jc w:val="center"/>
              <w:rPr>
                <w:rFonts w:ascii="Times New Roman" w:hAnsi="Times New Roman"/>
                <w:color w:val="auto"/>
                <w:kern w:val="0"/>
                <w:sz w:val="24"/>
              </w:rPr>
            </w:pPr>
            <w:r>
              <w:rPr>
                <w:rFonts w:ascii="Times New Roman" w:hAnsi="Times New Roman"/>
                <w:color w:val="auto"/>
                <w:kern w:val="0"/>
                <w:sz w:val="24"/>
              </w:rPr>
              <w:t>评价</w:t>
            </w:r>
          </w:p>
          <w:p w14:paraId="1F5C912E">
            <w:pPr>
              <w:adjustRightInd w:val="0"/>
              <w:snapToGrid w:val="0"/>
              <w:jc w:val="center"/>
              <w:rPr>
                <w:rFonts w:ascii="Times New Roman" w:hAnsi="Times New Roman"/>
                <w:color w:val="auto"/>
                <w:kern w:val="0"/>
                <w:szCs w:val="21"/>
              </w:rPr>
            </w:pPr>
            <w:r>
              <w:rPr>
                <w:rFonts w:ascii="Times New Roman" w:hAnsi="Times New Roman"/>
                <w:color w:val="auto"/>
                <w:kern w:val="0"/>
                <w:sz w:val="24"/>
              </w:rPr>
              <w:t>标准</w:t>
            </w:r>
          </w:p>
        </w:tc>
        <w:tc>
          <w:tcPr>
            <w:tcW w:w="8068" w:type="dxa"/>
            <w:noWrap w:val="0"/>
            <w:vAlign w:val="center"/>
          </w:tcPr>
          <w:p w14:paraId="3F801FC9">
            <w:pPr>
              <w:widowControl/>
              <w:spacing w:line="360" w:lineRule="auto"/>
              <w:jc w:val="left"/>
              <w:rPr>
                <w:rFonts w:ascii="Times New Roman" w:hAnsi="Times New Roman"/>
                <w:color w:val="auto"/>
              </w:rPr>
            </w:pPr>
            <w:r>
              <w:rPr>
                <w:rFonts w:ascii="Times New Roman" w:hAnsi="Times New Roman"/>
                <w:b/>
                <w:bCs/>
                <w:color w:val="auto"/>
                <w:kern w:val="0"/>
                <w:sz w:val="24"/>
                <w:lang w:bidi="ar"/>
              </w:rPr>
              <w:t>一、环境质量标准</w:t>
            </w:r>
          </w:p>
          <w:p w14:paraId="522206EF">
            <w:pPr>
              <w:spacing w:line="360" w:lineRule="auto"/>
              <w:ind w:firstLine="480" w:firstLineChars="200"/>
              <w:rPr>
                <w:rFonts w:ascii="Times New Roman" w:hAnsi="Times New Roman"/>
                <w:snapToGrid w:val="0"/>
                <w:color w:val="auto"/>
                <w:kern w:val="0"/>
                <w:sz w:val="24"/>
              </w:rPr>
            </w:pPr>
            <w:r>
              <w:rPr>
                <w:rFonts w:ascii="Times New Roman" w:hAnsi="Times New Roman"/>
                <w:color w:val="auto"/>
                <w:sz w:val="24"/>
              </w:rPr>
              <w:t>1、</w:t>
            </w:r>
            <w:r>
              <w:rPr>
                <w:rFonts w:ascii="Times New Roman"/>
                <w:snapToGrid w:val="0"/>
                <w:color w:val="auto"/>
                <w:kern w:val="0"/>
                <w:sz w:val="24"/>
                <w:szCs w:val="28"/>
              </w:rPr>
              <w:t>评价区域地表水淮河、茨淮新河、泥河</w:t>
            </w:r>
            <w:r>
              <w:rPr>
                <w:rFonts w:hint="eastAsia" w:ascii="Times New Roman"/>
                <w:snapToGrid w:val="0"/>
                <w:color w:val="auto"/>
                <w:kern w:val="0"/>
                <w:sz w:val="24"/>
                <w:szCs w:val="28"/>
                <w:lang w:val="en-US" w:eastAsia="zh-CN"/>
              </w:rPr>
              <w:t>、利民新河</w:t>
            </w:r>
            <w:r>
              <w:rPr>
                <w:rFonts w:ascii="Times New Roman"/>
                <w:snapToGrid w:val="0"/>
                <w:color w:val="auto"/>
                <w:kern w:val="0"/>
                <w:sz w:val="24"/>
                <w:szCs w:val="28"/>
              </w:rPr>
              <w:t>执行《地表水环境质量标准》（</w:t>
            </w:r>
            <w:r>
              <w:rPr>
                <w:rFonts w:ascii="Times New Roman" w:hAnsi="Times New Roman"/>
                <w:snapToGrid w:val="0"/>
                <w:color w:val="auto"/>
                <w:kern w:val="0"/>
                <w:sz w:val="24"/>
                <w:szCs w:val="28"/>
              </w:rPr>
              <w:t>GB3838-2002</w:t>
            </w:r>
            <w:r>
              <w:rPr>
                <w:rFonts w:ascii="Times New Roman"/>
                <w:snapToGrid w:val="0"/>
                <w:color w:val="auto"/>
                <w:kern w:val="0"/>
                <w:sz w:val="24"/>
                <w:szCs w:val="28"/>
              </w:rPr>
              <w:t>）</w:t>
            </w:r>
            <w:r>
              <w:rPr>
                <w:rFonts w:ascii="Times New Roman" w:hAnsi="Times New Roman"/>
                <w:snapToGrid w:val="0"/>
                <w:color w:val="auto"/>
                <w:kern w:val="0"/>
                <w:sz w:val="24"/>
                <w:szCs w:val="28"/>
              </w:rPr>
              <w:t>Ⅲ</w:t>
            </w:r>
            <w:r>
              <w:rPr>
                <w:rFonts w:ascii="Times New Roman"/>
                <w:snapToGrid w:val="0"/>
                <w:color w:val="auto"/>
                <w:kern w:val="0"/>
                <w:sz w:val="24"/>
                <w:szCs w:val="28"/>
              </w:rPr>
              <w:t>类标准。</w:t>
            </w:r>
          </w:p>
          <w:p w14:paraId="27325CDC">
            <w:pPr>
              <w:spacing w:line="360" w:lineRule="auto"/>
              <w:jc w:val="center"/>
              <w:rPr>
                <w:rFonts w:ascii="Times New Roman" w:hAnsi="Times New Roman"/>
                <w:b/>
                <w:snapToGrid w:val="0"/>
                <w:color w:val="auto"/>
                <w:kern w:val="0"/>
                <w:szCs w:val="21"/>
              </w:rPr>
            </w:pPr>
            <w:r>
              <w:rPr>
                <w:rFonts w:ascii="Times New Roman" w:hAnsi="Times New Roman"/>
                <w:b/>
                <w:snapToGrid w:val="0"/>
                <w:color w:val="auto"/>
                <w:kern w:val="0"/>
                <w:szCs w:val="21"/>
              </w:rPr>
              <w:t>表3-</w:t>
            </w:r>
            <w:r>
              <w:rPr>
                <w:rFonts w:hint="eastAsia" w:ascii="Times New Roman" w:hAnsi="Times New Roman"/>
                <w:b/>
                <w:snapToGrid w:val="0"/>
                <w:color w:val="auto"/>
                <w:kern w:val="0"/>
                <w:szCs w:val="21"/>
              </w:rPr>
              <w:t xml:space="preserve">9    </w:t>
            </w:r>
            <w:r>
              <w:rPr>
                <w:rFonts w:ascii="Times New Roman" w:hAnsi="Times New Roman"/>
                <w:b/>
                <w:snapToGrid w:val="0"/>
                <w:color w:val="auto"/>
                <w:kern w:val="0"/>
                <w:szCs w:val="21"/>
              </w:rPr>
              <w:t xml:space="preserve"> 水环境质量标准          单位：mg/L(pH除外)</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2180"/>
              <w:gridCol w:w="755"/>
              <w:gridCol w:w="957"/>
              <w:gridCol w:w="997"/>
              <w:gridCol w:w="1042"/>
              <w:gridCol w:w="902"/>
            </w:tblGrid>
            <w:tr w14:paraId="7BDB6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exact"/>
                <w:jc w:val="center"/>
              </w:trPr>
              <w:tc>
                <w:tcPr>
                  <w:tcW w:w="643" w:type="pct"/>
                  <w:noWrap w:val="0"/>
                  <w:vAlign w:val="center"/>
                </w:tcPr>
                <w:p w14:paraId="4DC3F392">
                  <w:pPr>
                    <w:widowControl/>
                    <w:jc w:val="center"/>
                    <w:rPr>
                      <w:rFonts w:ascii="Times New Roman" w:hAnsi="Times New Roman"/>
                      <w:color w:val="auto"/>
                      <w:szCs w:val="21"/>
                    </w:rPr>
                  </w:pPr>
                  <w:r>
                    <w:rPr>
                      <w:rFonts w:ascii="Times New Roman"/>
                      <w:color w:val="auto"/>
                      <w:szCs w:val="21"/>
                    </w:rPr>
                    <w:t>评价</w:t>
                  </w:r>
                </w:p>
                <w:p w14:paraId="571F4BC1">
                  <w:pPr>
                    <w:widowControl/>
                    <w:jc w:val="center"/>
                    <w:rPr>
                      <w:rFonts w:ascii="Times New Roman" w:hAnsi="Times New Roman"/>
                      <w:color w:val="auto"/>
                      <w:szCs w:val="21"/>
                    </w:rPr>
                  </w:pPr>
                  <w:r>
                    <w:rPr>
                      <w:rFonts w:ascii="Times New Roman"/>
                      <w:color w:val="auto"/>
                      <w:szCs w:val="21"/>
                    </w:rPr>
                    <w:t>水体</w:t>
                  </w:r>
                </w:p>
              </w:tc>
              <w:tc>
                <w:tcPr>
                  <w:tcW w:w="1389" w:type="pct"/>
                  <w:noWrap w:val="0"/>
                  <w:vAlign w:val="center"/>
                </w:tcPr>
                <w:p w14:paraId="79D943AE">
                  <w:pPr>
                    <w:widowControl/>
                    <w:jc w:val="center"/>
                    <w:rPr>
                      <w:rFonts w:ascii="Times New Roman" w:hAnsi="Times New Roman"/>
                      <w:color w:val="auto"/>
                      <w:szCs w:val="21"/>
                    </w:rPr>
                  </w:pPr>
                  <w:r>
                    <w:rPr>
                      <w:rFonts w:ascii="Times New Roman"/>
                      <w:color w:val="auto"/>
                      <w:szCs w:val="21"/>
                    </w:rPr>
                    <w:t>标准</w:t>
                  </w:r>
                </w:p>
              </w:tc>
              <w:tc>
                <w:tcPr>
                  <w:tcW w:w="481" w:type="pct"/>
                  <w:noWrap w:val="0"/>
                  <w:vAlign w:val="center"/>
                </w:tcPr>
                <w:p w14:paraId="00F128E0">
                  <w:pPr>
                    <w:widowControl/>
                    <w:jc w:val="center"/>
                    <w:rPr>
                      <w:rFonts w:ascii="Times New Roman" w:hAnsi="Times New Roman"/>
                      <w:color w:val="auto"/>
                      <w:szCs w:val="21"/>
                    </w:rPr>
                  </w:pPr>
                  <w:r>
                    <w:rPr>
                      <w:rFonts w:ascii="Times New Roman" w:hAnsi="Times New Roman"/>
                      <w:color w:val="auto"/>
                      <w:szCs w:val="21"/>
                    </w:rPr>
                    <w:t>pH</w:t>
                  </w:r>
                </w:p>
              </w:tc>
              <w:tc>
                <w:tcPr>
                  <w:tcW w:w="610" w:type="pct"/>
                  <w:noWrap w:val="0"/>
                  <w:vAlign w:val="center"/>
                </w:tcPr>
                <w:p w14:paraId="10CC3600">
                  <w:pPr>
                    <w:widowControl/>
                    <w:jc w:val="center"/>
                    <w:rPr>
                      <w:rFonts w:ascii="Times New Roman" w:hAnsi="Times New Roman"/>
                      <w:color w:val="auto"/>
                      <w:szCs w:val="21"/>
                    </w:rPr>
                  </w:pPr>
                  <w:r>
                    <w:rPr>
                      <w:rFonts w:ascii="Times New Roman" w:hAnsi="Times New Roman"/>
                      <w:color w:val="auto"/>
                      <w:szCs w:val="21"/>
                    </w:rPr>
                    <w:t>COD</w:t>
                  </w:r>
                </w:p>
              </w:tc>
              <w:tc>
                <w:tcPr>
                  <w:tcW w:w="635" w:type="pct"/>
                  <w:noWrap w:val="0"/>
                  <w:vAlign w:val="center"/>
                </w:tcPr>
                <w:p w14:paraId="6589559B">
                  <w:pPr>
                    <w:widowControl/>
                    <w:jc w:val="center"/>
                    <w:rPr>
                      <w:rFonts w:ascii="Times New Roman" w:hAnsi="Times New Roman"/>
                      <w:color w:val="auto"/>
                      <w:szCs w:val="21"/>
                    </w:rPr>
                  </w:pPr>
                  <w:r>
                    <w:rPr>
                      <w:rFonts w:ascii="Times New Roman" w:hAnsi="Times New Roman"/>
                      <w:color w:val="auto"/>
                      <w:szCs w:val="21"/>
                    </w:rPr>
                    <w:t>BOD</w:t>
                  </w:r>
                  <w:r>
                    <w:rPr>
                      <w:rFonts w:ascii="Times New Roman" w:hAnsi="Times New Roman"/>
                      <w:color w:val="auto"/>
                      <w:szCs w:val="21"/>
                      <w:vertAlign w:val="subscript"/>
                    </w:rPr>
                    <w:t>5</w:t>
                  </w:r>
                </w:p>
              </w:tc>
              <w:tc>
                <w:tcPr>
                  <w:tcW w:w="664" w:type="pct"/>
                  <w:noWrap w:val="0"/>
                  <w:vAlign w:val="center"/>
                </w:tcPr>
                <w:p w14:paraId="54910780">
                  <w:pPr>
                    <w:widowControl/>
                    <w:jc w:val="center"/>
                    <w:rPr>
                      <w:rFonts w:ascii="Times New Roman" w:hAnsi="Times New Roman"/>
                      <w:color w:val="auto"/>
                      <w:szCs w:val="21"/>
                    </w:rPr>
                  </w:pPr>
                  <w:bookmarkStart w:id="5" w:name="_Toc225846357"/>
                  <w:bookmarkStart w:id="6" w:name="_Toc31879"/>
                  <w:bookmarkStart w:id="7" w:name="_Toc4092"/>
                  <w:bookmarkStart w:id="8" w:name="_Toc226167590"/>
                  <w:bookmarkStart w:id="9" w:name="_Toc183433375"/>
                  <w:r>
                    <w:rPr>
                      <w:rFonts w:ascii="Times New Roman" w:hAnsi="Times New Roman"/>
                      <w:color w:val="auto"/>
                      <w:szCs w:val="21"/>
                    </w:rPr>
                    <w:t>NH</w:t>
                  </w:r>
                  <w:r>
                    <w:rPr>
                      <w:rFonts w:ascii="Times New Roman" w:hAnsi="Times New Roman"/>
                      <w:color w:val="auto"/>
                      <w:szCs w:val="21"/>
                      <w:vertAlign w:val="subscript"/>
                    </w:rPr>
                    <w:t>3</w:t>
                  </w:r>
                  <w:r>
                    <w:rPr>
                      <w:rFonts w:ascii="Times New Roman" w:hAnsi="Times New Roman"/>
                      <w:color w:val="auto"/>
                      <w:szCs w:val="21"/>
                    </w:rPr>
                    <w:t>-N</w:t>
                  </w:r>
                  <w:bookmarkEnd w:id="5"/>
                  <w:bookmarkEnd w:id="6"/>
                  <w:bookmarkEnd w:id="7"/>
                  <w:bookmarkEnd w:id="8"/>
                  <w:bookmarkEnd w:id="9"/>
                </w:p>
              </w:tc>
              <w:tc>
                <w:tcPr>
                  <w:tcW w:w="574" w:type="pct"/>
                  <w:noWrap w:val="0"/>
                  <w:vAlign w:val="center"/>
                </w:tcPr>
                <w:p w14:paraId="7EE23F63">
                  <w:pPr>
                    <w:widowControl/>
                    <w:jc w:val="center"/>
                    <w:rPr>
                      <w:rFonts w:ascii="Times New Roman" w:hAnsi="Times New Roman"/>
                      <w:color w:val="auto"/>
                      <w:szCs w:val="21"/>
                    </w:rPr>
                  </w:pPr>
                  <w:r>
                    <w:rPr>
                      <w:rFonts w:ascii="Times New Roman"/>
                      <w:color w:val="auto"/>
                      <w:szCs w:val="21"/>
                    </w:rPr>
                    <w:t>石油类</w:t>
                  </w:r>
                </w:p>
              </w:tc>
            </w:tr>
            <w:tr w14:paraId="44750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exact"/>
                <w:jc w:val="center"/>
              </w:trPr>
              <w:tc>
                <w:tcPr>
                  <w:tcW w:w="643" w:type="pct"/>
                  <w:noWrap w:val="0"/>
                  <w:vAlign w:val="center"/>
                </w:tcPr>
                <w:p w14:paraId="611DEE9F">
                  <w:pPr>
                    <w:widowControl/>
                    <w:jc w:val="center"/>
                    <w:rPr>
                      <w:rFonts w:hint="default" w:ascii="Times New Roman" w:hAnsi="Times New Roman" w:eastAsia="宋体"/>
                      <w:color w:val="auto"/>
                      <w:szCs w:val="21"/>
                      <w:lang w:val="en-US" w:eastAsia="zh-CN"/>
                    </w:rPr>
                  </w:pPr>
                  <w:r>
                    <w:rPr>
                      <w:rFonts w:ascii="Times New Roman"/>
                      <w:color w:val="auto"/>
                      <w:szCs w:val="21"/>
                    </w:rPr>
                    <w:t>淮河、茨淮新河、泥河</w:t>
                  </w:r>
                  <w:r>
                    <w:rPr>
                      <w:rFonts w:hint="eastAsia"/>
                      <w:color w:val="auto"/>
                      <w:lang w:eastAsia="zh-CN"/>
                    </w:rPr>
                    <w:t>、</w:t>
                  </w:r>
                  <w:r>
                    <w:rPr>
                      <w:rFonts w:hint="eastAsia"/>
                      <w:color w:val="auto"/>
                      <w:lang w:val="en-US" w:eastAsia="zh-CN"/>
                    </w:rPr>
                    <w:t>利民新河</w:t>
                  </w:r>
                </w:p>
              </w:tc>
              <w:tc>
                <w:tcPr>
                  <w:tcW w:w="1389" w:type="pct"/>
                  <w:noWrap w:val="0"/>
                  <w:vAlign w:val="center"/>
                </w:tcPr>
                <w:p w14:paraId="45513A17">
                  <w:pPr>
                    <w:widowControl/>
                    <w:jc w:val="center"/>
                    <w:rPr>
                      <w:rFonts w:ascii="Times New Roman" w:hAnsi="Times New Roman"/>
                      <w:color w:val="auto"/>
                      <w:szCs w:val="21"/>
                    </w:rPr>
                  </w:pPr>
                  <w:r>
                    <w:rPr>
                      <w:rFonts w:ascii="Times New Roman"/>
                      <w:snapToGrid w:val="0"/>
                      <w:color w:val="auto"/>
                      <w:kern w:val="0"/>
                      <w:szCs w:val="21"/>
                    </w:rPr>
                    <w:t>《地表水环境质量标准》（</w:t>
                  </w:r>
                  <w:r>
                    <w:rPr>
                      <w:rFonts w:ascii="Times New Roman" w:hAnsi="Times New Roman"/>
                      <w:snapToGrid w:val="0"/>
                      <w:color w:val="auto"/>
                      <w:kern w:val="0"/>
                      <w:szCs w:val="21"/>
                    </w:rPr>
                    <w:t>GB3838-2002</w:t>
                  </w:r>
                  <w:r>
                    <w:rPr>
                      <w:rFonts w:ascii="Times New Roman"/>
                      <w:snapToGrid w:val="0"/>
                      <w:color w:val="auto"/>
                      <w:kern w:val="0"/>
                      <w:szCs w:val="21"/>
                    </w:rPr>
                    <w:t>）</w:t>
                  </w:r>
                  <w:r>
                    <w:rPr>
                      <w:rFonts w:ascii="Times New Roman" w:hAnsi="Times New Roman"/>
                      <w:snapToGrid w:val="0"/>
                      <w:color w:val="auto"/>
                      <w:kern w:val="0"/>
                      <w:szCs w:val="21"/>
                    </w:rPr>
                    <w:t>Ⅲ</w:t>
                  </w:r>
                  <w:r>
                    <w:rPr>
                      <w:rFonts w:ascii="Times New Roman"/>
                      <w:snapToGrid w:val="0"/>
                      <w:color w:val="auto"/>
                      <w:kern w:val="0"/>
                      <w:szCs w:val="21"/>
                    </w:rPr>
                    <w:t>类标准</w:t>
                  </w:r>
                </w:p>
              </w:tc>
              <w:tc>
                <w:tcPr>
                  <w:tcW w:w="481" w:type="pct"/>
                  <w:noWrap w:val="0"/>
                  <w:vAlign w:val="center"/>
                </w:tcPr>
                <w:p w14:paraId="7C497E1D">
                  <w:pPr>
                    <w:widowControl/>
                    <w:jc w:val="center"/>
                    <w:rPr>
                      <w:rFonts w:ascii="Times New Roman" w:hAnsi="Times New Roman"/>
                      <w:color w:val="auto"/>
                      <w:szCs w:val="21"/>
                    </w:rPr>
                  </w:pPr>
                  <w:r>
                    <w:rPr>
                      <w:rFonts w:ascii="Times New Roman" w:hAnsi="Times New Roman"/>
                      <w:color w:val="auto"/>
                      <w:szCs w:val="21"/>
                    </w:rPr>
                    <w:t>6-9</w:t>
                  </w:r>
                </w:p>
              </w:tc>
              <w:tc>
                <w:tcPr>
                  <w:tcW w:w="610" w:type="pct"/>
                  <w:noWrap w:val="0"/>
                  <w:vAlign w:val="center"/>
                </w:tcPr>
                <w:p w14:paraId="473D38F4">
                  <w:pPr>
                    <w:widowControl/>
                    <w:jc w:val="center"/>
                    <w:rPr>
                      <w:rFonts w:ascii="Times New Roman" w:hAnsi="Times New Roman"/>
                      <w:color w:val="auto"/>
                      <w:szCs w:val="21"/>
                    </w:rPr>
                  </w:pPr>
                  <w:r>
                    <w:rPr>
                      <w:rFonts w:ascii="Times New Roman" w:hAnsi="Times New Roman"/>
                      <w:color w:val="auto"/>
                      <w:szCs w:val="21"/>
                    </w:rPr>
                    <w:t>20</w:t>
                  </w:r>
                </w:p>
              </w:tc>
              <w:tc>
                <w:tcPr>
                  <w:tcW w:w="635" w:type="pct"/>
                  <w:noWrap w:val="0"/>
                  <w:vAlign w:val="center"/>
                </w:tcPr>
                <w:p w14:paraId="74DE5DC7">
                  <w:pPr>
                    <w:widowControl/>
                    <w:jc w:val="center"/>
                    <w:rPr>
                      <w:rFonts w:ascii="Times New Roman" w:hAnsi="Times New Roman"/>
                      <w:color w:val="auto"/>
                      <w:szCs w:val="21"/>
                    </w:rPr>
                  </w:pPr>
                  <w:r>
                    <w:rPr>
                      <w:rFonts w:ascii="Times New Roman" w:hAnsi="Times New Roman"/>
                      <w:color w:val="auto"/>
                      <w:szCs w:val="21"/>
                    </w:rPr>
                    <w:t>4</w:t>
                  </w:r>
                </w:p>
              </w:tc>
              <w:tc>
                <w:tcPr>
                  <w:tcW w:w="664" w:type="pct"/>
                  <w:noWrap w:val="0"/>
                  <w:vAlign w:val="center"/>
                </w:tcPr>
                <w:p w14:paraId="549AF4C3">
                  <w:pPr>
                    <w:widowControl/>
                    <w:jc w:val="center"/>
                    <w:rPr>
                      <w:rFonts w:ascii="Times New Roman" w:hAnsi="Times New Roman"/>
                      <w:color w:val="auto"/>
                      <w:szCs w:val="21"/>
                    </w:rPr>
                  </w:pPr>
                  <w:r>
                    <w:rPr>
                      <w:rFonts w:ascii="Times New Roman" w:hAnsi="Times New Roman"/>
                      <w:color w:val="auto"/>
                      <w:szCs w:val="21"/>
                    </w:rPr>
                    <w:t>1</w:t>
                  </w:r>
                </w:p>
              </w:tc>
              <w:tc>
                <w:tcPr>
                  <w:tcW w:w="574" w:type="pct"/>
                  <w:noWrap w:val="0"/>
                  <w:vAlign w:val="center"/>
                </w:tcPr>
                <w:p w14:paraId="218879F7">
                  <w:pPr>
                    <w:widowControl/>
                    <w:jc w:val="center"/>
                    <w:rPr>
                      <w:rFonts w:ascii="Times New Roman" w:hAnsi="Times New Roman"/>
                      <w:color w:val="auto"/>
                      <w:szCs w:val="21"/>
                    </w:rPr>
                  </w:pPr>
                  <w:r>
                    <w:rPr>
                      <w:rFonts w:ascii="Times New Roman" w:hAnsi="Times New Roman"/>
                      <w:color w:val="auto"/>
                      <w:szCs w:val="21"/>
                    </w:rPr>
                    <w:t>0.05</w:t>
                  </w:r>
                </w:p>
              </w:tc>
            </w:tr>
          </w:tbl>
          <w:p w14:paraId="2DFC3EAC">
            <w:pPr>
              <w:spacing w:line="360" w:lineRule="auto"/>
              <w:ind w:firstLine="480" w:firstLineChars="200"/>
              <w:rPr>
                <w:rFonts w:ascii="Times New Roman" w:hAnsi="Times New Roman"/>
                <w:color w:val="auto"/>
                <w:sz w:val="24"/>
              </w:rPr>
            </w:pPr>
            <w:r>
              <w:rPr>
                <w:rFonts w:ascii="Times New Roman" w:hAnsi="Times New Roman"/>
                <w:color w:val="auto"/>
                <w:sz w:val="24"/>
              </w:rPr>
              <w:t>2、建设项目环境空气评价范围内的区域属于空气质量二类功能区。SO</w:t>
            </w:r>
            <w:r>
              <w:rPr>
                <w:rFonts w:ascii="Times New Roman" w:hAnsi="Times New Roman"/>
                <w:color w:val="auto"/>
                <w:sz w:val="24"/>
                <w:vertAlign w:val="subscript"/>
              </w:rPr>
              <w:t>2</w:t>
            </w:r>
            <w:r>
              <w:rPr>
                <w:rFonts w:ascii="Times New Roman" w:hAnsi="Times New Roman"/>
                <w:color w:val="auto"/>
                <w:sz w:val="24"/>
              </w:rPr>
              <w:t>、NO</w:t>
            </w:r>
            <w:r>
              <w:rPr>
                <w:rFonts w:ascii="Times New Roman" w:hAnsi="Times New Roman"/>
                <w:color w:val="auto"/>
                <w:sz w:val="24"/>
                <w:vertAlign w:val="subscript"/>
              </w:rPr>
              <w:t>2</w:t>
            </w:r>
            <w:r>
              <w:rPr>
                <w:rFonts w:ascii="Times New Roman" w:hAnsi="Times New Roman"/>
                <w:color w:val="auto"/>
                <w:sz w:val="24"/>
              </w:rPr>
              <w:t>、PM</w:t>
            </w:r>
            <w:r>
              <w:rPr>
                <w:rFonts w:ascii="Times New Roman" w:hAnsi="Times New Roman"/>
                <w:color w:val="auto"/>
                <w:sz w:val="24"/>
                <w:vertAlign w:val="subscript"/>
              </w:rPr>
              <w:t>10</w:t>
            </w:r>
            <w:r>
              <w:rPr>
                <w:rFonts w:ascii="Times New Roman" w:hAnsi="Times New Roman"/>
                <w:color w:val="auto"/>
                <w:sz w:val="24"/>
              </w:rPr>
              <w:t>、PM</w:t>
            </w:r>
            <w:r>
              <w:rPr>
                <w:rFonts w:ascii="Times New Roman" w:hAnsi="Times New Roman"/>
                <w:color w:val="auto"/>
                <w:sz w:val="24"/>
                <w:vertAlign w:val="subscript"/>
              </w:rPr>
              <w:t xml:space="preserve"> 2.5</w:t>
            </w:r>
            <w:r>
              <w:rPr>
                <w:rFonts w:ascii="Times New Roman" w:hAnsi="Times New Roman"/>
                <w:color w:val="auto"/>
                <w:sz w:val="24"/>
              </w:rPr>
              <w:t>、CO、O</w:t>
            </w:r>
            <w:r>
              <w:rPr>
                <w:rFonts w:ascii="Times New Roman" w:hAnsi="Times New Roman"/>
                <w:color w:val="auto"/>
                <w:sz w:val="24"/>
                <w:vertAlign w:val="subscript"/>
              </w:rPr>
              <w:t>3</w:t>
            </w:r>
            <w:r>
              <w:rPr>
                <w:rFonts w:ascii="Times New Roman" w:hAnsi="Times New Roman"/>
                <w:color w:val="auto"/>
                <w:sz w:val="24"/>
              </w:rPr>
              <w:t>执行《环境空气质量标准》（GB3095-2012）中的二级标准，具体标准值详见下表：</w:t>
            </w:r>
          </w:p>
          <w:p w14:paraId="7F2B1ED7">
            <w:pPr>
              <w:spacing w:line="360" w:lineRule="auto"/>
              <w:jc w:val="center"/>
              <w:rPr>
                <w:rFonts w:ascii="Times New Roman" w:hAnsi="Times New Roman"/>
                <w:b/>
                <w:color w:val="auto"/>
                <w:szCs w:val="21"/>
              </w:rPr>
            </w:pPr>
            <w:r>
              <w:rPr>
                <w:rFonts w:ascii="Times New Roman" w:hAnsi="Times New Roman"/>
                <w:b/>
                <w:color w:val="auto"/>
                <w:szCs w:val="21"/>
              </w:rPr>
              <w:t xml:space="preserve">表3-10  环境空气质量标准 </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1205"/>
              <w:gridCol w:w="1134"/>
              <w:gridCol w:w="994"/>
              <w:gridCol w:w="3322"/>
            </w:tblGrid>
            <w:tr w14:paraId="0078E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157" w:type="dxa"/>
                  <w:noWrap w:val="0"/>
                  <w:vAlign w:val="center"/>
                </w:tcPr>
                <w:p w14:paraId="54EDF8DE">
                  <w:pPr>
                    <w:jc w:val="center"/>
                    <w:rPr>
                      <w:rFonts w:ascii="Times New Roman" w:hAnsi="Times New Roman"/>
                      <w:color w:val="auto"/>
                      <w:szCs w:val="21"/>
                    </w:rPr>
                  </w:pPr>
                  <w:r>
                    <w:rPr>
                      <w:rFonts w:ascii="Times New Roman" w:hAnsi="Times New Roman"/>
                      <w:color w:val="auto"/>
                      <w:szCs w:val="21"/>
                    </w:rPr>
                    <w:t>污染物名称</w:t>
                  </w:r>
                </w:p>
              </w:tc>
              <w:tc>
                <w:tcPr>
                  <w:tcW w:w="1205" w:type="dxa"/>
                  <w:noWrap w:val="0"/>
                  <w:vAlign w:val="center"/>
                </w:tcPr>
                <w:p w14:paraId="066AFD75">
                  <w:pPr>
                    <w:jc w:val="center"/>
                    <w:rPr>
                      <w:rFonts w:ascii="Times New Roman" w:hAnsi="Times New Roman"/>
                      <w:color w:val="auto"/>
                      <w:szCs w:val="21"/>
                    </w:rPr>
                  </w:pPr>
                  <w:r>
                    <w:rPr>
                      <w:rFonts w:ascii="Times New Roman" w:hAnsi="Times New Roman"/>
                      <w:color w:val="auto"/>
                      <w:szCs w:val="21"/>
                    </w:rPr>
                    <w:t>取值时间</w:t>
                  </w:r>
                </w:p>
              </w:tc>
              <w:tc>
                <w:tcPr>
                  <w:tcW w:w="1134" w:type="dxa"/>
                  <w:noWrap w:val="0"/>
                  <w:vAlign w:val="center"/>
                </w:tcPr>
                <w:p w14:paraId="0082BA2D">
                  <w:pPr>
                    <w:jc w:val="center"/>
                    <w:rPr>
                      <w:rFonts w:ascii="Times New Roman" w:hAnsi="Times New Roman"/>
                      <w:color w:val="auto"/>
                      <w:szCs w:val="21"/>
                    </w:rPr>
                  </w:pPr>
                  <w:r>
                    <w:rPr>
                      <w:rFonts w:ascii="Times New Roman" w:hAnsi="Times New Roman"/>
                      <w:color w:val="auto"/>
                      <w:szCs w:val="21"/>
                    </w:rPr>
                    <w:t>浓度限值</w:t>
                  </w:r>
                </w:p>
              </w:tc>
              <w:tc>
                <w:tcPr>
                  <w:tcW w:w="994" w:type="dxa"/>
                  <w:noWrap w:val="0"/>
                  <w:vAlign w:val="center"/>
                </w:tcPr>
                <w:p w14:paraId="0A99EEF8">
                  <w:pPr>
                    <w:jc w:val="center"/>
                    <w:rPr>
                      <w:rFonts w:ascii="Times New Roman" w:hAnsi="Times New Roman"/>
                      <w:color w:val="auto"/>
                      <w:szCs w:val="21"/>
                    </w:rPr>
                  </w:pPr>
                  <w:r>
                    <w:rPr>
                      <w:rFonts w:ascii="Times New Roman" w:hAnsi="Times New Roman"/>
                      <w:color w:val="auto"/>
                      <w:szCs w:val="21"/>
                    </w:rPr>
                    <w:t>单位</w:t>
                  </w:r>
                </w:p>
              </w:tc>
              <w:tc>
                <w:tcPr>
                  <w:tcW w:w="3322" w:type="dxa"/>
                  <w:noWrap w:val="0"/>
                  <w:vAlign w:val="center"/>
                </w:tcPr>
                <w:p w14:paraId="4DC440F2">
                  <w:pPr>
                    <w:jc w:val="center"/>
                    <w:rPr>
                      <w:rFonts w:ascii="Times New Roman" w:hAnsi="Times New Roman"/>
                      <w:color w:val="auto"/>
                      <w:szCs w:val="21"/>
                    </w:rPr>
                  </w:pPr>
                  <w:r>
                    <w:rPr>
                      <w:rFonts w:ascii="Times New Roman" w:hAnsi="Times New Roman"/>
                      <w:color w:val="auto"/>
                      <w:szCs w:val="21"/>
                    </w:rPr>
                    <w:t>标准来源</w:t>
                  </w:r>
                </w:p>
              </w:tc>
            </w:tr>
            <w:tr w14:paraId="7A99E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1157" w:type="dxa"/>
                  <w:vMerge w:val="restart"/>
                  <w:noWrap w:val="0"/>
                  <w:vAlign w:val="center"/>
                </w:tcPr>
                <w:p w14:paraId="313223BC">
                  <w:pPr>
                    <w:jc w:val="center"/>
                    <w:rPr>
                      <w:rFonts w:ascii="Times New Roman" w:hAnsi="Times New Roman"/>
                      <w:color w:val="auto"/>
                      <w:szCs w:val="21"/>
                      <w:vertAlign w:val="subscript"/>
                    </w:rPr>
                  </w:pPr>
                  <w:r>
                    <w:rPr>
                      <w:rFonts w:ascii="Times New Roman" w:hAnsi="Times New Roman"/>
                      <w:color w:val="auto"/>
                      <w:szCs w:val="21"/>
                    </w:rPr>
                    <w:t>SO</w:t>
                  </w:r>
                  <w:r>
                    <w:rPr>
                      <w:rFonts w:ascii="Times New Roman" w:hAnsi="Times New Roman"/>
                      <w:color w:val="auto"/>
                      <w:szCs w:val="21"/>
                      <w:vertAlign w:val="subscript"/>
                    </w:rPr>
                    <w:t>2</w:t>
                  </w:r>
                </w:p>
              </w:tc>
              <w:tc>
                <w:tcPr>
                  <w:tcW w:w="1205" w:type="dxa"/>
                  <w:noWrap w:val="0"/>
                  <w:vAlign w:val="center"/>
                </w:tcPr>
                <w:p w14:paraId="4B7F3F19">
                  <w:pPr>
                    <w:spacing w:line="240" w:lineRule="exact"/>
                    <w:jc w:val="center"/>
                    <w:rPr>
                      <w:rFonts w:ascii="Times New Roman" w:hAnsi="Times New Roman"/>
                      <w:color w:val="auto"/>
                      <w:szCs w:val="21"/>
                    </w:rPr>
                  </w:pPr>
                  <w:r>
                    <w:rPr>
                      <w:rFonts w:ascii="Times New Roman" w:hAnsi="Times New Roman"/>
                      <w:color w:val="auto"/>
                      <w:szCs w:val="21"/>
                    </w:rPr>
                    <w:t>日平均</w:t>
                  </w:r>
                </w:p>
              </w:tc>
              <w:tc>
                <w:tcPr>
                  <w:tcW w:w="1134" w:type="dxa"/>
                  <w:noWrap w:val="0"/>
                  <w:vAlign w:val="center"/>
                </w:tcPr>
                <w:p w14:paraId="1780CF83">
                  <w:pPr>
                    <w:spacing w:line="240" w:lineRule="exact"/>
                    <w:jc w:val="center"/>
                    <w:rPr>
                      <w:rFonts w:ascii="Times New Roman" w:hAnsi="Times New Roman"/>
                      <w:color w:val="auto"/>
                      <w:szCs w:val="21"/>
                    </w:rPr>
                  </w:pPr>
                  <w:r>
                    <w:rPr>
                      <w:rFonts w:ascii="Times New Roman" w:hAnsi="Times New Roman"/>
                      <w:color w:val="auto"/>
                      <w:szCs w:val="21"/>
                    </w:rPr>
                    <w:t>150</w:t>
                  </w:r>
                </w:p>
              </w:tc>
              <w:tc>
                <w:tcPr>
                  <w:tcW w:w="994" w:type="dxa"/>
                  <w:vMerge w:val="restart"/>
                  <w:noWrap w:val="0"/>
                  <w:vAlign w:val="center"/>
                </w:tcPr>
                <w:p w14:paraId="55534AF3">
                  <w:pPr>
                    <w:jc w:val="center"/>
                    <w:rPr>
                      <w:rFonts w:ascii="Times New Roman" w:hAnsi="Times New Roman"/>
                      <w:color w:val="auto"/>
                      <w:szCs w:val="21"/>
                    </w:rPr>
                  </w:pPr>
                  <w:r>
                    <w:rPr>
                      <w:rFonts w:ascii="Times New Roman" w:hAnsi="Times New Roman"/>
                      <w:bCs/>
                      <w:color w:val="auto"/>
                      <w:szCs w:val="21"/>
                    </w:rPr>
                    <w:t>ug/m</w:t>
                  </w:r>
                  <w:r>
                    <w:rPr>
                      <w:rFonts w:ascii="Times New Roman" w:hAnsi="Times New Roman"/>
                      <w:bCs/>
                      <w:color w:val="auto"/>
                      <w:szCs w:val="21"/>
                      <w:vertAlign w:val="superscript"/>
                    </w:rPr>
                    <w:t>3</w:t>
                  </w:r>
                </w:p>
              </w:tc>
              <w:tc>
                <w:tcPr>
                  <w:tcW w:w="3322" w:type="dxa"/>
                  <w:vMerge w:val="restart"/>
                  <w:noWrap w:val="0"/>
                  <w:vAlign w:val="center"/>
                </w:tcPr>
                <w:p w14:paraId="730D4385">
                  <w:pPr>
                    <w:jc w:val="center"/>
                    <w:rPr>
                      <w:rFonts w:ascii="Times New Roman" w:hAnsi="Times New Roman"/>
                      <w:color w:val="auto"/>
                      <w:szCs w:val="21"/>
                    </w:rPr>
                  </w:pPr>
                  <w:r>
                    <w:rPr>
                      <w:rFonts w:ascii="Times New Roman" w:hAnsi="Times New Roman"/>
                      <w:color w:val="auto"/>
                      <w:szCs w:val="21"/>
                    </w:rPr>
                    <w:t>GB30952012</w:t>
                  </w:r>
                </w:p>
                <w:p w14:paraId="5F329F9D">
                  <w:pPr>
                    <w:jc w:val="center"/>
                    <w:rPr>
                      <w:rFonts w:ascii="Times New Roman" w:hAnsi="Times New Roman"/>
                      <w:color w:val="auto"/>
                      <w:szCs w:val="21"/>
                    </w:rPr>
                  </w:pPr>
                  <w:r>
                    <w:rPr>
                      <w:rFonts w:ascii="Times New Roman" w:hAnsi="Times New Roman"/>
                      <w:color w:val="auto"/>
                      <w:szCs w:val="21"/>
                    </w:rPr>
                    <w:t>《环境空气质量标准》中二级标准限值</w:t>
                  </w:r>
                </w:p>
              </w:tc>
            </w:tr>
            <w:tr w14:paraId="2BF8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1157" w:type="dxa"/>
                  <w:vMerge w:val="continue"/>
                  <w:noWrap w:val="0"/>
                  <w:vAlign w:val="center"/>
                </w:tcPr>
                <w:p w14:paraId="2FCB0047">
                  <w:pPr>
                    <w:jc w:val="center"/>
                    <w:rPr>
                      <w:rFonts w:ascii="Times New Roman" w:hAnsi="Times New Roman"/>
                      <w:color w:val="auto"/>
                      <w:szCs w:val="21"/>
                    </w:rPr>
                  </w:pPr>
                </w:p>
              </w:tc>
              <w:tc>
                <w:tcPr>
                  <w:tcW w:w="1205" w:type="dxa"/>
                  <w:noWrap w:val="0"/>
                  <w:vAlign w:val="center"/>
                </w:tcPr>
                <w:p w14:paraId="21B24ABF">
                  <w:pPr>
                    <w:spacing w:line="240" w:lineRule="exact"/>
                    <w:jc w:val="center"/>
                    <w:rPr>
                      <w:rFonts w:ascii="Times New Roman" w:hAnsi="Times New Roman"/>
                      <w:color w:val="auto"/>
                      <w:szCs w:val="21"/>
                    </w:rPr>
                  </w:pPr>
                  <w:r>
                    <w:rPr>
                      <w:rFonts w:ascii="Times New Roman" w:hAnsi="Times New Roman"/>
                      <w:color w:val="auto"/>
                      <w:szCs w:val="21"/>
                    </w:rPr>
                    <w:t>1小时平均</w:t>
                  </w:r>
                </w:p>
              </w:tc>
              <w:tc>
                <w:tcPr>
                  <w:tcW w:w="1134" w:type="dxa"/>
                  <w:noWrap w:val="0"/>
                  <w:vAlign w:val="center"/>
                </w:tcPr>
                <w:p w14:paraId="16476290">
                  <w:pPr>
                    <w:spacing w:line="240" w:lineRule="exact"/>
                    <w:jc w:val="center"/>
                    <w:rPr>
                      <w:rFonts w:ascii="Times New Roman" w:hAnsi="Times New Roman"/>
                      <w:color w:val="auto"/>
                      <w:szCs w:val="21"/>
                    </w:rPr>
                  </w:pPr>
                  <w:r>
                    <w:rPr>
                      <w:rFonts w:ascii="Times New Roman" w:hAnsi="Times New Roman"/>
                      <w:color w:val="auto"/>
                      <w:szCs w:val="21"/>
                    </w:rPr>
                    <w:t>500</w:t>
                  </w:r>
                </w:p>
              </w:tc>
              <w:tc>
                <w:tcPr>
                  <w:tcW w:w="994" w:type="dxa"/>
                  <w:vMerge w:val="continue"/>
                  <w:noWrap w:val="0"/>
                  <w:vAlign w:val="center"/>
                </w:tcPr>
                <w:p w14:paraId="1D4BEA8B">
                  <w:pPr>
                    <w:jc w:val="center"/>
                    <w:rPr>
                      <w:rFonts w:ascii="Times New Roman" w:hAnsi="Times New Roman"/>
                      <w:color w:val="auto"/>
                      <w:szCs w:val="21"/>
                    </w:rPr>
                  </w:pPr>
                </w:p>
              </w:tc>
              <w:tc>
                <w:tcPr>
                  <w:tcW w:w="3322" w:type="dxa"/>
                  <w:vMerge w:val="continue"/>
                  <w:noWrap w:val="0"/>
                  <w:vAlign w:val="center"/>
                </w:tcPr>
                <w:p w14:paraId="24C68365">
                  <w:pPr>
                    <w:jc w:val="center"/>
                    <w:rPr>
                      <w:rFonts w:ascii="Times New Roman" w:hAnsi="Times New Roman"/>
                      <w:color w:val="auto"/>
                      <w:szCs w:val="21"/>
                    </w:rPr>
                  </w:pPr>
                </w:p>
              </w:tc>
            </w:tr>
            <w:tr w14:paraId="1728E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1157" w:type="dxa"/>
                  <w:vMerge w:val="restart"/>
                  <w:noWrap w:val="0"/>
                  <w:vAlign w:val="center"/>
                </w:tcPr>
                <w:p w14:paraId="0BBD50C0">
                  <w:pPr>
                    <w:jc w:val="center"/>
                    <w:rPr>
                      <w:rFonts w:ascii="Times New Roman" w:hAnsi="Times New Roman"/>
                      <w:color w:val="auto"/>
                      <w:szCs w:val="21"/>
                      <w:vertAlign w:val="subscript"/>
                    </w:rPr>
                  </w:pPr>
                  <w:r>
                    <w:rPr>
                      <w:rFonts w:ascii="Times New Roman" w:hAnsi="Times New Roman"/>
                      <w:color w:val="auto"/>
                      <w:szCs w:val="21"/>
                    </w:rPr>
                    <w:t>NO</w:t>
                  </w:r>
                  <w:r>
                    <w:rPr>
                      <w:rFonts w:ascii="Times New Roman" w:hAnsi="Times New Roman"/>
                      <w:color w:val="auto"/>
                      <w:szCs w:val="21"/>
                      <w:vertAlign w:val="subscript"/>
                    </w:rPr>
                    <w:t>2</w:t>
                  </w:r>
                </w:p>
              </w:tc>
              <w:tc>
                <w:tcPr>
                  <w:tcW w:w="1205" w:type="dxa"/>
                  <w:noWrap w:val="0"/>
                  <w:vAlign w:val="center"/>
                </w:tcPr>
                <w:p w14:paraId="19F136C8">
                  <w:pPr>
                    <w:spacing w:line="240" w:lineRule="exact"/>
                    <w:jc w:val="center"/>
                    <w:rPr>
                      <w:rFonts w:ascii="Times New Roman" w:hAnsi="Times New Roman"/>
                      <w:color w:val="auto"/>
                      <w:szCs w:val="21"/>
                    </w:rPr>
                  </w:pPr>
                  <w:r>
                    <w:rPr>
                      <w:rFonts w:ascii="Times New Roman" w:hAnsi="Times New Roman"/>
                      <w:color w:val="auto"/>
                      <w:szCs w:val="21"/>
                    </w:rPr>
                    <w:t>日平均</w:t>
                  </w:r>
                </w:p>
              </w:tc>
              <w:tc>
                <w:tcPr>
                  <w:tcW w:w="1134" w:type="dxa"/>
                  <w:noWrap w:val="0"/>
                  <w:vAlign w:val="center"/>
                </w:tcPr>
                <w:p w14:paraId="70E3FE77">
                  <w:pPr>
                    <w:spacing w:line="240" w:lineRule="exact"/>
                    <w:jc w:val="center"/>
                    <w:rPr>
                      <w:rFonts w:ascii="Times New Roman" w:hAnsi="Times New Roman"/>
                      <w:color w:val="auto"/>
                      <w:szCs w:val="21"/>
                    </w:rPr>
                  </w:pPr>
                  <w:r>
                    <w:rPr>
                      <w:rFonts w:ascii="Times New Roman" w:hAnsi="Times New Roman"/>
                      <w:color w:val="auto"/>
                      <w:szCs w:val="21"/>
                    </w:rPr>
                    <w:t>80</w:t>
                  </w:r>
                </w:p>
              </w:tc>
              <w:tc>
                <w:tcPr>
                  <w:tcW w:w="994" w:type="dxa"/>
                  <w:vMerge w:val="continue"/>
                  <w:noWrap w:val="0"/>
                  <w:vAlign w:val="center"/>
                </w:tcPr>
                <w:p w14:paraId="73CF4F2B">
                  <w:pPr>
                    <w:jc w:val="center"/>
                    <w:rPr>
                      <w:rFonts w:ascii="Times New Roman" w:hAnsi="Times New Roman"/>
                      <w:color w:val="auto"/>
                      <w:szCs w:val="21"/>
                    </w:rPr>
                  </w:pPr>
                </w:p>
              </w:tc>
              <w:tc>
                <w:tcPr>
                  <w:tcW w:w="3322" w:type="dxa"/>
                  <w:vMerge w:val="continue"/>
                  <w:noWrap w:val="0"/>
                  <w:vAlign w:val="center"/>
                </w:tcPr>
                <w:p w14:paraId="252ED8E5">
                  <w:pPr>
                    <w:jc w:val="center"/>
                    <w:rPr>
                      <w:rFonts w:ascii="Times New Roman" w:hAnsi="Times New Roman"/>
                      <w:color w:val="auto"/>
                      <w:szCs w:val="21"/>
                    </w:rPr>
                  </w:pPr>
                </w:p>
              </w:tc>
            </w:tr>
            <w:tr w14:paraId="5F4F0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1157" w:type="dxa"/>
                  <w:vMerge w:val="continue"/>
                  <w:noWrap w:val="0"/>
                  <w:vAlign w:val="center"/>
                </w:tcPr>
                <w:p w14:paraId="5ECDC8F3">
                  <w:pPr>
                    <w:jc w:val="center"/>
                    <w:rPr>
                      <w:rFonts w:ascii="Times New Roman" w:hAnsi="Times New Roman"/>
                      <w:color w:val="auto"/>
                      <w:szCs w:val="21"/>
                    </w:rPr>
                  </w:pPr>
                </w:p>
              </w:tc>
              <w:tc>
                <w:tcPr>
                  <w:tcW w:w="1205" w:type="dxa"/>
                  <w:noWrap w:val="0"/>
                  <w:vAlign w:val="center"/>
                </w:tcPr>
                <w:p w14:paraId="62D811F5">
                  <w:pPr>
                    <w:spacing w:line="240" w:lineRule="exact"/>
                    <w:jc w:val="center"/>
                    <w:rPr>
                      <w:rFonts w:ascii="Times New Roman" w:hAnsi="Times New Roman"/>
                      <w:color w:val="auto"/>
                      <w:szCs w:val="21"/>
                    </w:rPr>
                  </w:pPr>
                  <w:r>
                    <w:rPr>
                      <w:rFonts w:ascii="Times New Roman" w:hAnsi="Times New Roman"/>
                      <w:color w:val="auto"/>
                      <w:szCs w:val="21"/>
                    </w:rPr>
                    <w:t>1小时平均</w:t>
                  </w:r>
                </w:p>
              </w:tc>
              <w:tc>
                <w:tcPr>
                  <w:tcW w:w="1134" w:type="dxa"/>
                  <w:noWrap w:val="0"/>
                  <w:vAlign w:val="center"/>
                </w:tcPr>
                <w:p w14:paraId="0BCB824A">
                  <w:pPr>
                    <w:spacing w:line="240" w:lineRule="exact"/>
                    <w:jc w:val="center"/>
                    <w:rPr>
                      <w:rFonts w:ascii="Times New Roman" w:hAnsi="Times New Roman"/>
                      <w:color w:val="auto"/>
                      <w:szCs w:val="21"/>
                    </w:rPr>
                  </w:pPr>
                  <w:r>
                    <w:rPr>
                      <w:rFonts w:ascii="Times New Roman" w:hAnsi="Times New Roman"/>
                      <w:color w:val="auto"/>
                      <w:szCs w:val="21"/>
                    </w:rPr>
                    <w:t>200</w:t>
                  </w:r>
                </w:p>
              </w:tc>
              <w:tc>
                <w:tcPr>
                  <w:tcW w:w="994" w:type="dxa"/>
                  <w:vMerge w:val="continue"/>
                  <w:noWrap w:val="0"/>
                  <w:vAlign w:val="center"/>
                </w:tcPr>
                <w:p w14:paraId="1FEFE718">
                  <w:pPr>
                    <w:jc w:val="center"/>
                    <w:rPr>
                      <w:rFonts w:ascii="Times New Roman" w:hAnsi="Times New Roman"/>
                      <w:color w:val="auto"/>
                      <w:szCs w:val="21"/>
                    </w:rPr>
                  </w:pPr>
                </w:p>
              </w:tc>
              <w:tc>
                <w:tcPr>
                  <w:tcW w:w="3322" w:type="dxa"/>
                  <w:vMerge w:val="continue"/>
                  <w:noWrap w:val="0"/>
                  <w:vAlign w:val="center"/>
                </w:tcPr>
                <w:p w14:paraId="4074D1BC">
                  <w:pPr>
                    <w:jc w:val="center"/>
                    <w:rPr>
                      <w:rFonts w:ascii="Times New Roman" w:hAnsi="Times New Roman"/>
                      <w:color w:val="auto"/>
                      <w:szCs w:val="21"/>
                    </w:rPr>
                  </w:pPr>
                </w:p>
              </w:tc>
            </w:tr>
            <w:tr w14:paraId="4BC94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1157" w:type="dxa"/>
                  <w:noWrap w:val="0"/>
                  <w:vAlign w:val="center"/>
                </w:tcPr>
                <w:p w14:paraId="379BE43C">
                  <w:pPr>
                    <w:jc w:val="center"/>
                    <w:rPr>
                      <w:rFonts w:ascii="Times New Roman" w:hAnsi="Times New Roman"/>
                      <w:color w:val="auto"/>
                      <w:szCs w:val="21"/>
                    </w:rPr>
                  </w:pPr>
                  <w:r>
                    <w:rPr>
                      <w:rFonts w:ascii="Times New Roman" w:hAnsi="Times New Roman"/>
                      <w:color w:val="auto"/>
                      <w:szCs w:val="21"/>
                    </w:rPr>
                    <w:t>PM</w:t>
                  </w:r>
                  <w:r>
                    <w:rPr>
                      <w:rFonts w:ascii="Times New Roman" w:hAnsi="Times New Roman"/>
                      <w:color w:val="auto"/>
                      <w:szCs w:val="21"/>
                      <w:vertAlign w:val="subscript"/>
                    </w:rPr>
                    <w:t>10</w:t>
                  </w:r>
                </w:p>
              </w:tc>
              <w:tc>
                <w:tcPr>
                  <w:tcW w:w="1205" w:type="dxa"/>
                  <w:noWrap w:val="0"/>
                  <w:vAlign w:val="center"/>
                </w:tcPr>
                <w:p w14:paraId="004A163D">
                  <w:pPr>
                    <w:spacing w:line="240" w:lineRule="exact"/>
                    <w:jc w:val="center"/>
                    <w:rPr>
                      <w:rFonts w:ascii="Times New Roman" w:hAnsi="Times New Roman"/>
                      <w:color w:val="auto"/>
                      <w:kern w:val="0"/>
                      <w:szCs w:val="21"/>
                    </w:rPr>
                  </w:pPr>
                  <w:r>
                    <w:rPr>
                      <w:rFonts w:ascii="Times New Roman" w:hAnsi="Times New Roman"/>
                      <w:color w:val="auto"/>
                      <w:kern w:val="0"/>
                      <w:szCs w:val="21"/>
                    </w:rPr>
                    <w:t>日平均</w:t>
                  </w:r>
                </w:p>
              </w:tc>
              <w:tc>
                <w:tcPr>
                  <w:tcW w:w="1134" w:type="dxa"/>
                  <w:noWrap w:val="0"/>
                  <w:vAlign w:val="center"/>
                </w:tcPr>
                <w:p w14:paraId="3C818275">
                  <w:pPr>
                    <w:spacing w:line="240" w:lineRule="exact"/>
                    <w:jc w:val="center"/>
                    <w:rPr>
                      <w:rFonts w:ascii="Times New Roman" w:hAnsi="Times New Roman"/>
                      <w:color w:val="auto"/>
                      <w:szCs w:val="21"/>
                    </w:rPr>
                  </w:pPr>
                  <w:r>
                    <w:rPr>
                      <w:rFonts w:ascii="Times New Roman" w:hAnsi="Times New Roman"/>
                      <w:color w:val="auto"/>
                      <w:szCs w:val="21"/>
                    </w:rPr>
                    <w:t>0.15</w:t>
                  </w:r>
                </w:p>
              </w:tc>
              <w:tc>
                <w:tcPr>
                  <w:tcW w:w="994" w:type="dxa"/>
                  <w:vMerge w:val="continue"/>
                  <w:noWrap w:val="0"/>
                  <w:vAlign w:val="center"/>
                </w:tcPr>
                <w:p w14:paraId="14A157F0">
                  <w:pPr>
                    <w:jc w:val="center"/>
                    <w:rPr>
                      <w:rFonts w:ascii="Times New Roman" w:hAnsi="Times New Roman"/>
                      <w:color w:val="auto"/>
                      <w:szCs w:val="21"/>
                    </w:rPr>
                  </w:pPr>
                </w:p>
              </w:tc>
              <w:tc>
                <w:tcPr>
                  <w:tcW w:w="3322" w:type="dxa"/>
                  <w:vMerge w:val="continue"/>
                  <w:noWrap w:val="0"/>
                  <w:vAlign w:val="center"/>
                </w:tcPr>
                <w:p w14:paraId="4FFFC7FA">
                  <w:pPr>
                    <w:jc w:val="center"/>
                    <w:rPr>
                      <w:rFonts w:ascii="Times New Roman" w:hAnsi="Times New Roman"/>
                      <w:color w:val="auto"/>
                      <w:szCs w:val="21"/>
                    </w:rPr>
                  </w:pPr>
                </w:p>
              </w:tc>
            </w:tr>
            <w:tr w14:paraId="6CD64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0" w:hRule="atLeast"/>
                <w:jc w:val="center"/>
              </w:trPr>
              <w:tc>
                <w:tcPr>
                  <w:tcW w:w="1157" w:type="dxa"/>
                  <w:noWrap w:val="0"/>
                  <w:vAlign w:val="center"/>
                </w:tcPr>
                <w:p w14:paraId="021ED435">
                  <w:pPr>
                    <w:jc w:val="center"/>
                    <w:rPr>
                      <w:rFonts w:ascii="Times New Roman" w:hAnsi="Times New Roman"/>
                      <w:color w:val="auto"/>
                    </w:rPr>
                  </w:pPr>
                  <w:r>
                    <w:rPr>
                      <w:rFonts w:ascii="Times New Roman" w:hAnsi="Times New Roman"/>
                      <w:color w:val="auto"/>
                    </w:rPr>
                    <w:t>PM</w:t>
                  </w:r>
                  <w:r>
                    <w:rPr>
                      <w:rFonts w:ascii="Times New Roman" w:hAnsi="Times New Roman"/>
                      <w:color w:val="auto"/>
                      <w:szCs w:val="21"/>
                      <w:vertAlign w:val="subscript"/>
                    </w:rPr>
                    <w:t>2.5</w:t>
                  </w:r>
                </w:p>
              </w:tc>
              <w:tc>
                <w:tcPr>
                  <w:tcW w:w="1205" w:type="dxa"/>
                  <w:noWrap w:val="0"/>
                  <w:vAlign w:val="center"/>
                </w:tcPr>
                <w:p w14:paraId="3E8E77A8">
                  <w:pPr>
                    <w:spacing w:line="240" w:lineRule="exact"/>
                    <w:jc w:val="center"/>
                    <w:rPr>
                      <w:rFonts w:ascii="Times New Roman" w:hAnsi="Times New Roman"/>
                      <w:color w:val="auto"/>
                      <w:kern w:val="0"/>
                      <w:szCs w:val="21"/>
                    </w:rPr>
                  </w:pPr>
                  <w:r>
                    <w:rPr>
                      <w:rFonts w:ascii="Times New Roman" w:hAnsi="Times New Roman"/>
                      <w:color w:val="auto"/>
                      <w:kern w:val="0"/>
                      <w:szCs w:val="21"/>
                    </w:rPr>
                    <w:t>日平均</w:t>
                  </w:r>
                </w:p>
              </w:tc>
              <w:tc>
                <w:tcPr>
                  <w:tcW w:w="1134" w:type="dxa"/>
                  <w:noWrap w:val="0"/>
                  <w:vAlign w:val="center"/>
                </w:tcPr>
                <w:p w14:paraId="65F3E10F">
                  <w:pPr>
                    <w:spacing w:line="240" w:lineRule="exact"/>
                    <w:jc w:val="center"/>
                    <w:rPr>
                      <w:rFonts w:ascii="Times New Roman" w:hAnsi="Times New Roman"/>
                      <w:color w:val="auto"/>
                      <w:szCs w:val="21"/>
                    </w:rPr>
                  </w:pPr>
                  <w:r>
                    <w:rPr>
                      <w:rFonts w:ascii="Times New Roman" w:hAnsi="Times New Roman"/>
                      <w:color w:val="auto"/>
                      <w:szCs w:val="21"/>
                    </w:rPr>
                    <w:t>75</w:t>
                  </w:r>
                </w:p>
              </w:tc>
              <w:tc>
                <w:tcPr>
                  <w:tcW w:w="994" w:type="dxa"/>
                  <w:vMerge w:val="continue"/>
                  <w:noWrap w:val="0"/>
                  <w:vAlign w:val="center"/>
                </w:tcPr>
                <w:p w14:paraId="71014E93">
                  <w:pPr>
                    <w:jc w:val="center"/>
                    <w:rPr>
                      <w:rFonts w:ascii="Times New Roman" w:hAnsi="Times New Roman"/>
                      <w:color w:val="auto"/>
                      <w:szCs w:val="21"/>
                    </w:rPr>
                  </w:pPr>
                </w:p>
              </w:tc>
              <w:tc>
                <w:tcPr>
                  <w:tcW w:w="3322" w:type="dxa"/>
                  <w:vMerge w:val="continue"/>
                  <w:noWrap w:val="0"/>
                  <w:vAlign w:val="center"/>
                </w:tcPr>
                <w:p w14:paraId="0D523ACD">
                  <w:pPr>
                    <w:jc w:val="center"/>
                    <w:rPr>
                      <w:rFonts w:ascii="Times New Roman" w:hAnsi="Times New Roman"/>
                      <w:color w:val="auto"/>
                      <w:szCs w:val="21"/>
                    </w:rPr>
                  </w:pPr>
                </w:p>
              </w:tc>
            </w:tr>
            <w:tr w14:paraId="14F14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1157" w:type="dxa"/>
                  <w:noWrap w:val="0"/>
                  <w:vAlign w:val="center"/>
                </w:tcPr>
                <w:p w14:paraId="01B0537F">
                  <w:pPr>
                    <w:jc w:val="center"/>
                    <w:rPr>
                      <w:rFonts w:ascii="Times New Roman" w:hAnsi="Times New Roman"/>
                      <w:color w:val="auto"/>
                      <w:szCs w:val="21"/>
                    </w:rPr>
                  </w:pPr>
                  <w:r>
                    <w:rPr>
                      <w:rFonts w:ascii="Times New Roman" w:hAnsi="Times New Roman"/>
                      <w:color w:val="auto"/>
                      <w:szCs w:val="21"/>
                    </w:rPr>
                    <w:t>CO</w:t>
                  </w:r>
                </w:p>
              </w:tc>
              <w:tc>
                <w:tcPr>
                  <w:tcW w:w="1205" w:type="dxa"/>
                  <w:noWrap w:val="0"/>
                  <w:vAlign w:val="center"/>
                </w:tcPr>
                <w:p w14:paraId="22516A3D">
                  <w:pPr>
                    <w:spacing w:line="240" w:lineRule="exact"/>
                    <w:jc w:val="center"/>
                    <w:rPr>
                      <w:rFonts w:ascii="Times New Roman" w:hAnsi="Times New Roman"/>
                      <w:color w:val="auto"/>
                      <w:kern w:val="0"/>
                      <w:szCs w:val="21"/>
                    </w:rPr>
                  </w:pPr>
                  <w:r>
                    <w:rPr>
                      <w:rFonts w:ascii="Times New Roman" w:hAnsi="Times New Roman"/>
                      <w:color w:val="auto"/>
                      <w:kern w:val="0"/>
                      <w:szCs w:val="21"/>
                    </w:rPr>
                    <w:t>日平均</w:t>
                  </w:r>
                </w:p>
              </w:tc>
              <w:tc>
                <w:tcPr>
                  <w:tcW w:w="1134" w:type="dxa"/>
                  <w:noWrap w:val="0"/>
                  <w:vAlign w:val="center"/>
                </w:tcPr>
                <w:p w14:paraId="6F5F4311">
                  <w:pPr>
                    <w:spacing w:line="240" w:lineRule="exact"/>
                    <w:jc w:val="center"/>
                    <w:rPr>
                      <w:rFonts w:ascii="Times New Roman" w:hAnsi="Times New Roman"/>
                      <w:color w:val="auto"/>
                      <w:szCs w:val="21"/>
                    </w:rPr>
                  </w:pPr>
                  <w:r>
                    <w:rPr>
                      <w:rFonts w:ascii="Times New Roman" w:hAnsi="Times New Roman"/>
                      <w:color w:val="auto"/>
                      <w:szCs w:val="21"/>
                    </w:rPr>
                    <w:t>4</w:t>
                  </w:r>
                </w:p>
              </w:tc>
              <w:tc>
                <w:tcPr>
                  <w:tcW w:w="994" w:type="dxa"/>
                  <w:vMerge w:val="continue"/>
                  <w:noWrap w:val="0"/>
                  <w:vAlign w:val="center"/>
                </w:tcPr>
                <w:p w14:paraId="28E31739">
                  <w:pPr>
                    <w:jc w:val="center"/>
                    <w:rPr>
                      <w:rFonts w:ascii="Times New Roman" w:hAnsi="Times New Roman"/>
                      <w:color w:val="auto"/>
                      <w:szCs w:val="21"/>
                    </w:rPr>
                  </w:pPr>
                </w:p>
              </w:tc>
              <w:tc>
                <w:tcPr>
                  <w:tcW w:w="3322" w:type="dxa"/>
                  <w:vMerge w:val="continue"/>
                  <w:noWrap w:val="0"/>
                  <w:vAlign w:val="center"/>
                </w:tcPr>
                <w:p w14:paraId="1C1EA5CE">
                  <w:pPr>
                    <w:jc w:val="center"/>
                    <w:rPr>
                      <w:rFonts w:ascii="Times New Roman" w:hAnsi="Times New Roman"/>
                      <w:color w:val="auto"/>
                      <w:szCs w:val="21"/>
                    </w:rPr>
                  </w:pPr>
                </w:p>
              </w:tc>
            </w:tr>
            <w:tr w14:paraId="789E5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1157" w:type="dxa"/>
                  <w:vMerge w:val="restart"/>
                  <w:noWrap w:val="0"/>
                  <w:vAlign w:val="center"/>
                </w:tcPr>
                <w:p w14:paraId="2F4CDCC8">
                  <w:pPr>
                    <w:jc w:val="center"/>
                    <w:rPr>
                      <w:rFonts w:ascii="Times New Roman" w:hAnsi="Times New Roman"/>
                      <w:color w:val="auto"/>
                      <w:szCs w:val="21"/>
                    </w:rPr>
                  </w:pPr>
                  <w:r>
                    <w:rPr>
                      <w:rFonts w:ascii="Times New Roman" w:hAnsi="Times New Roman"/>
                      <w:color w:val="auto"/>
                      <w:szCs w:val="21"/>
                    </w:rPr>
                    <w:t>O</w:t>
                  </w:r>
                  <w:r>
                    <w:rPr>
                      <w:rFonts w:ascii="Times New Roman" w:hAnsi="Times New Roman"/>
                      <w:color w:val="auto"/>
                      <w:szCs w:val="21"/>
                      <w:vertAlign w:val="subscript"/>
                    </w:rPr>
                    <w:t>3</w:t>
                  </w:r>
                </w:p>
              </w:tc>
              <w:tc>
                <w:tcPr>
                  <w:tcW w:w="1205" w:type="dxa"/>
                  <w:noWrap w:val="0"/>
                  <w:vAlign w:val="center"/>
                </w:tcPr>
                <w:p w14:paraId="0C1A0232">
                  <w:pPr>
                    <w:spacing w:line="240" w:lineRule="exact"/>
                    <w:jc w:val="center"/>
                    <w:rPr>
                      <w:rFonts w:ascii="Times New Roman" w:hAnsi="Times New Roman"/>
                      <w:color w:val="auto"/>
                      <w:kern w:val="0"/>
                      <w:szCs w:val="21"/>
                    </w:rPr>
                  </w:pPr>
                  <w:r>
                    <w:rPr>
                      <w:rFonts w:ascii="Times New Roman" w:hAnsi="Times New Roman"/>
                      <w:color w:val="auto"/>
                      <w:kern w:val="0"/>
                      <w:szCs w:val="21"/>
                    </w:rPr>
                    <w:t>8h平均</w:t>
                  </w:r>
                </w:p>
              </w:tc>
              <w:tc>
                <w:tcPr>
                  <w:tcW w:w="1134" w:type="dxa"/>
                  <w:noWrap w:val="0"/>
                  <w:vAlign w:val="center"/>
                </w:tcPr>
                <w:p w14:paraId="2B677864">
                  <w:pPr>
                    <w:spacing w:line="240" w:lineRule="exact"/>
                    <w:jc w:val="center"/>
                    <w:rPr>
                      <w:rFonts w:ascii="Times New Roman" w:hAnsi="Times New Roman"/>
                      <w:color w:val="auto"/>
                      <w:szCs w:val="21"/>
                    </w:rPr>
                  </w:pPr>
                  <w:r>
                    <w:rPr>
                      <w:rFonts w:ascii="Times New Roman" w:hAnsi="Times New Roman"/>
                      <w:color w:val="auto"/>
                      <w:szCs w:val="21"/>
                    </w:rPr>
                    <w:t>160</w:t>
                  </w:r>
                </w:p>
              </w:tc>
              <w:tc>
                <w:tcPr>
                  <w:tcW w:w="994" w:type="dxa"/>
                  <w:vMerge w:val="continue"/>
                  <w:noWrap w:val="0"/>
                  <w:vAlign w:val="center"/>
                </w:tcPr>
                <w:p w14:paraId="049AA66B">
                  <w:pPr>
                    <w:jc w:val="center"/>
                    <w:rPr>
                      <w:rFonts w:ascii="Times New Roman" w:hAnsi="Times New Roman"/>
                      <w:color w:val="auto"/>
                      <w:szCs w:val="21"/>
                    </w:rPr>
                  </w:pPr>
                </w:p>
              </w:tc>
              <w:tc>
                <w:tcPr>
                  <w:tcW w:w="3322" w:type="dxa"/>
                  <w:vMerge w:val="continue"/>
                  <w:noWrap w:val="0"/>
                  <w:vAlign w:val="center"/>
                </w:tcPr>
                <w:p w14:paraId="7C8EB295">
                  <w:pPr>
                    <w:jc w:val="center"/>
                    <w:rPr>
                      <w:rFonts w:ascii="Times New Roman" w:hAnsi="Times New Roman"/>
                      <w:color w:val="auto"/>
                      <w:szCs w:val="21"/>
                    </w:rPr>
                  </w:pPr>
                </w:p>
              </w:tc>
            </w:tr>
            <w:tr w14:paraId="02510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1157" w:type="dxa"/>
                  <w:vMerge w:val="continue"/>
                  <w:noWrap w:val="0"/>
                  <w:vAlign w:val="center"/>
                </w:tcPr>
                <w:p w14:paraId="0CD89269">
                  <w:pPr>
                    <w:jc w:val="center"/>
                    <w:rPr>
                      <w:rFonts w:ascii="Times New Roman" w:hAnsi="Times New Roman"/>
                      <w:color w:val="auto"/>
                      <w:szCs w:val="21"/>
                    </w:rPr>
                  </w:pPr>
                </w:p>
              </w:tc>
              <w:tc>
                <w:tcPr>
                  <w:tcW w:w="1205" w:type="dxa"/>
                  <w:noWrap w:val="0"/>
                  <w:vAlign w:val="center"/>
                </w:tcPr>
                <w:p w14:paraId="6CD26698">
                  <w:pPr>
                    <w:spacing w:line="240" w:lineRule="exact"/>
                    <w:jc w:val="center"/>
                    <w:rPr>
                      <w:rFonts w:ascii="Times New Roman" w:hAnsi="Times New Roman"/>
                      <w:color w:val="auto"/>
                      <w:kern w:val="0"/>
                      <w:szCs w:val="21"/>
                    </w:rPr>
                  </w:pPr>
                  <w:r>
                    <w:rPr>
                      <w:rFonts w:ascii="Times New Roman" w:hAnsi="Times New Roman"/>
                      <w:color w:val="auto"/>
                      <w:kern w:val="0"/>
                      <w:szCs w:val="21"/>
                    </w:rPr>
                    <w:t>日平均</w:t>
                  </w:r>
                </w:p>
              </w:tc>
              <w:tc>
                <w:tcPr>
                  <w:tcW w:w="1134" w:type="dxa"/>
                  <w:noWrap w:val="0"/>
                  <w:vAlign w:val="center"/>
                </w:tcPr>
                <w:p w14:paraId="4321F013">
                  <w:pPr>
                    <w:spacing w:line="240" w:lineRule="exact"/>
                    <w:jc w:val="center"/>
                    <w:rPr>
                      <w:rFonts w:ascii="Times New Roman" w:hAnsi="Times New Roman"/>
                      <w:color w:val="auto"/>
                      <w:szCs w:val="21"/>
                    </w:rPr>
                  </w:pPr>
                  <w:r>
                    <w:rPr>
                      <w:rFonts w:ascii="Times New Roman" w:hAnsi="Times New Roman"/>
                      <w:color w:val="auto"/>
                      <w:szCs w:val="21"/>
                    </w:rPr>
                    <w:t>200</w:t>
                  </w:r>
                </w:p>
              </w:tc>
              <w:tc>
                <w:tcPr>
                  <w:tcW w:w="994" w:type="dxa"/>
                  <w:vMerge w:val="continue"/>
                  <w:noWrap w:val="0"/>
                  <w:vAlign w:val="center"/>
                </w:tcPr>
                <w:p w14:paraId="788CA764">
                  <w:pPr>
                    <w:jc w:val="center"/>
                    <w:rPr>
                      <w:rFonts w:ascii="Times New Roman" w:hAnsi="Times New Roman"/>
                      <w:color w:val="auto"/>
                      <w:szCs w:val="21"/>
                    </w:rPr>
                  </w:pPr>
                </w:p>
              </w:tc>
              <w:tc>
                <w:tcPr>
                  <w:tcW w:w="3322" w:type="dxa"/>
                  <w:vMerge w:val="continue"/>
                  <w:noWrap w:val="0"/>
                  <w:vAlign w:val="center"/>
                </w:tcPr>
                <w:p w14:paraId="3979C62A">
                  <w:pPr>
                    <w:jc w:val="center"/>
                    <w:rPr>
                      <w:rFonts w:ascii="Times New Roman" w:hAnsi="Times New Roman"/>
                      <w:color w:val="auto"/>
                      <w:szCs w:val="21"/>
                    </w:rPr>
                  </w:pPr>
                </w:p>
              </w:tc>
            </w:tr>
          </w:tbl>
          <w:p w14:paraId="51C96B39">
            <w:pPr>
              <w:spacing w:line="360" w:lineRule="auto"/>
              <w:ind w:firstLine="480" w:firstLineChars="200"/>
              <w:rPr>
                <w:rFonts w:ascii="Times New Roman" w:hAnsi="Times New Roman"/>
                <w:color w:val="auto"/>
              </w:rPr>
            </w:pPr>
            <w:r>
              <w:rPr>
                <w:rFonts w:hint="eastAsia" w:ascii="Times New Roman" w:hAnsi="Times New Roman"/>
                <w:color w:val="auto"/>
                <w:sz w:val="24"/>
                <w:lang w:val="en-US" w:eastAsia="zh-CN"/>
              </w:rPr>
              <w:t>3、根据《声环境功能区划分技术规范》（GB/T 15190-2014），相邻区域为1类声环境功能区，距离为50m±5m区域划分为4a类声环境功能区。本项目</w:t>
            </w:r>
            <w:r>
              <w:rPr>
                <w:rFonts w:hint="default" w:ascii="Times New Roman" w:hAnsi="Times New Roman"/>
                <w:color w:val="auto"/>
                <w:sz w:val="24"/>
                <w:lang w:val="en-US" w:eastAsia="zh-CN"/>
              </w:rPr>
              <w:t>N2</w:t>
            </w:r>
            <w:r>
              <w:rPr>
                <w:rFonts w:hint="default" w:ascii="Times New Roman" w:hAnsi="Times New Roman"/>
                <w:color w:val="auto"/>
                <w:sz w:val="24"/>
              </w:rPr>
              <w:t>敏感点</w:t>
            </w:r>
            <w:r>
              <w:rPr>
                <w:rFonts w:hint="eastAsia" w:ascii="Times New Roman" w:hAnsi="Times New Roman"/>
                <w:color w:val="auto"/>
                <w:sz w:val="24"/>
                <w:lang w:val="en-US" w:eastAsia="zh-CN"/>
              </w:rPr>
              <w:t>距离S</w:t>
            </w:r>
            <w:r>
              <w:rPr>
                <w:rFonts w:hint="default" w:ascii="Times New Roman" w:hAnsi="Times New Roman" w:cs="Times New Roman"/>
                <w:color w:val="auto"/>
                <w:sz w:val="24"/>
                <w:szCs w:val="24"/>
                <w:lang w:val="en-US" w:eastAsia="zh-CN"/>
              </w:rPr>
              <w:t>312</w:t>
            </w:r>
            <w:r>
              <w:rPr>
                <w:rFonts w:hint="eastAsia" w:ascii="Times New Roman" w:hAnsi="Times New Roman" w:cs="Times New Roman"/>
                <w:color w:val="auto"/>
                <w:sz w:val="24"/>
                <w:szCs w:val="24"/>
                <w:lang w:val="en-US" w:eastAsia="zh-CN"/>
              </w:rPr>
              <w:t>（二级公路）37m</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故</w:t>
            </w:r>
            <w:r>
              <w:rPr>
                <w:rFonts w:hint="default" w:ascii="Times New Roman" w:hAnsi="Times New Roman" w:cs="Times New Roman"/>
                <w:color w:val="auto"/>
                <w:sz w:val="24"/>
                <w:szCs w:val="24"/>
                <w:lang w:val="en-US" w:eastAsia="zh-CN"/>
              </w:rPr>
              <w:t>执行</w:t>
            </w:r>
            <w:r>
              <w:rPr>
                <w:rFonts w:hint="default" w:ascii="Times New Roman" w:hAnsi="Times New Roman" w:cs="Times New Roman"/>
                <w:color w:val="auto"/>
                <w:sz w:val="24"/>
                <w:szCs w:val="24"/>
              </w:rPr>
              <w:t>《声环境质量标准》（GB3096-2008）</w:t>
            </w:r>
            <w:r>
              <w:rPr>
                <w:rFonts w:hint="default" w:ascii="Times New Roman" w:hAnsi="Times New Roman" w:cs="Times New Roman"/>
                <w:color w:val="auto"/>
                <w:sz w:val="24"/>
                <w:szCs w:val="24"/>
                <w:lang w:val="en-US" w:eastAsia="zh-CN"/>
              </w:rPr>
              <w:t>4a</w:t>
            </w:r>
            <w:r>
              <w:rPr>
                <w:rFonts w:hint="default" w:ascii="Times New Roman" w:hAnsi="Times New Roman" w:cs="Times New Roman"/>
                <w:color w:val="auto"/>
                <w:sz w:val="24"/>
                <w:szCs w:val="24"/>
              </w:rPr>
              <w:t>类标准</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其余</w:t>
            </w:r>
            <w:r>
              <w:rPr>
                <w:rFonts w:ascii="Times New Roman" w:hAnsi="Times New Roman"/>
                <w:color w:val="auto"/>
                <w:sz w:val="24"/>
              </w:rPr>
              <w:t>区域声环境执行《声环境质量标准》</w:t>
            </w:r>
            <w:r>
              <w:rPr>
                <w:rFonts w:hint="eastAsia" w:ascii="Times New Roman" w:hAnsi="Times New Roman"/>
                <w:color w:val="auto"/>
                <w:sz w:val="24"/>
                <w:lang w:eastAsia="zh-CN"/>
              </w:rPr>
              <w:t>（</w:t>
            </w:r>
            <w:r>
              <w:rPr>
                <w:rFonts w:ascii="Times New Roman" w:hAnsi="Times New Roman"/>
                <w:color w:val="auto"/>
                <w:sz w:val="24"/>
              </w:rPr>
              <w:t>GB3096-2008</w:t>
            </w:r>
            <w:r>
              <w:rPr>
                <w:rFonts w:hint="eastAsia" w:ascii="Times New Roman" w:hAnsi="Times New Roman"/>
                <w:color w:val="auto"/>
                <w:sz w:val="24"/>
                <w:lang w:eastAsia="zh-CN"/>
              </w:rPr>
              <w:t>）</w:t>
            </w:r>
            <w:r>
              <w:rPr>
                <w:rFonts w:ascii="Times New Roman" w:hAnsi="Times New Roman"/>
                <w:color w:val="auto"/>
                <w:sz w:val="24"/>
              </w:rPr>
              <w:t>1类标准</w:t>
            </w:r>
            <w:r>
              <w:rPr>
                <w:rFonts w:hint="eastAsia"/>
                <w:color w:val="auto"/>
                <w:lang w:val="en-US" w:eastAsia="zh-CN"/>
              </w:rPr>
              <w:t>。</w:t>
            </w:r>
          </w:p>
          <w:p w14:paraId="1D490356">
            <w:pPr>
              <w:spacing w:line="360" w:lineRule="auto"/>
              <w:jc w:val="center"/>
              <w:rPr>
                <w:rFonts w:ascii="Times New Roman" w:hAnsi="Times New Roman"/>
                <w:b/>
                <w:color w:val="auto"/>
                <w:szCs w:val="21"/>
              </w:rPr>
            </w:pPr>
            <w:r>
              <w:rPr>
                <w:rFonts w:ascii="Times New Roman" w:hAnsi="Times New Roman"/>
                <w:b/>
                <w:color w:val="auto"/>
                <w:szCs w:val="21"/>
              </w:rPr>
              <w:t>表3-11  声环境质量标准  单位： dB(A)</w:t>
            </w:r>
          </w:p>
          <w:tbl>
            <w:tblPr>
              <w:tblStyle w:val="17"/>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381"/>
              <w:gridCol w:w="2700"/>
              <w:gridCol w:w="2755"/>
            </w:tblGrid>
            <w:tr w14:paraId="3B9767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3" w:hRule="atLeast"/>
                <w:jc w:val="center"/>
              </w:trPr>
              <w:tc>
                <w:tcPr>
                  <w:tcW w:w="2381" w:type="dxa"/>
                  <w:noWrap w:val="0"/>
                  <w:vAlign w:val="center"/>
                </w:tcPr>
                <w:p w14:paraId="69C95CDE">
                  <w:pPr>
                    <w:jc w:val="center"/>
                    <w:rPr>
                      <w:rFonts w:ascii="Times New Roman" w:hAnsi="Times New Roman"/>
                      <w:color w:val="auto"/>
                    </w:rPr>
                  </w:pPr>
                  <w:r>
                    <w:rPr>
                      <w:rFonts w:ascii="Times New Roman" w:hAnsi="Times New Roman"/>
                      <w:color w:val="auto"/>
                    </w:rPr>
                    <w:t>类别</w:t>
                  </w:r>
                </w:p>
              </w:tc>
              <w:tc>
                <w:tcPr>
                  <w:tcW w:w="2700" w:type="dxa"/>
                  <w:noWrap w:val="0"/>
                  <w:vAlign w:val="center"/>
                </w:tcPr>
                <w:p w14:paraId="4FD46B69">
                  <w:pPr>
                    <w:jc w:val="center"/>
                    <w:rPr>
                      <w:rFonts w:ascii="Times New Roman" w:hAnsi="Times New Roman"/>
                      <w:color w:val="auto"/>
                    </w:rPr>
                  </w:pPr>
                  <w:r>
                    <w:rPr>
                      <w:rFonts w:ascii="Times New Roman" w:hAnsi="Times New Roman"/>
                      <w:color w:val="auto"/>
                    </w:rPr>
                    <w:t>昼间</w:t>
                  </w:r>
                </w:p>
              </w:tc>
              <w:tc>
                <w:tcPr>
                  <w:tcW w:w="2755" w:type="dxa"/>
                  <w:noWrap w:val="0"/>
                  <w:vAlign w:val="center"/>
                </w:tcPr>
                <w:p w14:paraId="37612C23">
                  <w:pPr>
                    <w:jc w:val="center"/>
                    <w:rPr>
                      <w:rFonts w:ascii="Times New Roman" w:hAnsi="Times New Roman"/>
                      <w:color w:val="auto"/>
                    </w:rPr>
                  </w:pPr>
                  <w:r>
                    <w:rPr>
                      <w:rFonts w:ascii="Times New Roman" w:hAnsi="Times New Roman"/>
                      <w:color w:val="auto"/>
                    </w:rPr>
                    <w:t>夜间</w:t>
                  </w:r>
                </w:p>
              </w:tc>
            </w:tr>
            <w:tr w14:paraId="5157E8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2" w:hRule="atLeast"/>
                <w:jc w:val="center"/>
              </w:trPr>
              <w:tc>
                <w:tcPr>
                  <w:tcW w:w="2381" w:type="dxa"/>
                  <w:noWrap w:val="0"/>
                  <w:vAlign w:val="center"/>
                </w:tcPr>
                <w:p w14:paraId="537D5993">
                  <w:pPr>
                    <w:jc w:val="center"/>
                    <w:rPr>
                      <w:rFonts w:ascii="Times New Roman" w:hAnsi="Times New Roman"/>
                      <w:color w:val="auto"/>
                    </w:rPr>
                  </w:pPr>
                  <w:r>
                    <w:rPr>
                      <w:rFonts w:ascii="Times New Roman" w:hAnsi="Times New Roman"/>
                      <w:color w:val="auto"/>
                    </w:rPr>
                    <w:t>1类</w:t>
                  </w:r>
                </w:p>
              </w:tc>
              <w:tc>
                <w:tcPr>
                  <w:tcW w:w="2700" w:type="dxa"/>
                  <w:noWrap w:val="0"/>
                  <w:vAlign w:val="center"/>
                </w:tcPr>
                <w:p w14:paraId="13B492FD">
                  <w:pPr>
                    <w:jc w:val="center"/>
                    <w:rPr>
                      <w:rFonts w:ascii="Times New Roman" w:hAnsi="Times New Roman"/>
                      <w:color w:val="auto"/>
                    </w:rPr>
                  </w:pPr>
                  <w:r>
                    <w:rPr>
                      <w:rFonts w:ascii="Times New Roman" w:hAnsi="Times New Roman"/>
                      <w:color w:val="auto"/>
                    </w:rPr>
                    <w:t>55</w:t>
                  </w:r>
                </w:p>
              </w:tc>
              <w:tc>
                <w:tcPr>
                  <w:tcW w:w="2755" w:type="dxa"/>
                  <w:noWrap w:val="0"/>
                  <w:vAlign w:val="center"/>
                </w:tcPr>
                <w:p w14:paraId="7C20FBE9">
                  <w:pPr>
                    <w:jc w:val="center"/>
                    <w:rPr>
                      <w:rFonts w:ascii="Times New Roman" w:hAnsi="Times New Roman"/>
                      <w:color w:val="auto"/>
                    </w:rPr>
                  </w:pPr>
                  <w:r>
                    <w:rPr>
                      <w:rFonts w:ascii="Times New Roman" w:hAnsi="Times New Roman"/>
                      <w:color w:val="auto"/>
                    </w:rPr>
                    <w:t>45</w:t>
                  </w:r>
                </w:p>
              </w:tc>
            </w:tr>
            <w:tr w14:paraId="09D9A1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2" w:hRule="atLeast"/>
                <w:jc w:val="center"/>
              </w:trPr>
              <w:tc>
                <w:tcPr>
                  <w:tcW w:w="2381" w:type="dxa"/>
                  <w:noWrap w:val="0"/>
                  <w:vAlign w:val="center"/>
                </w:tcPr>
                <w:p w14:paraId="15170CD1">
                  <w:pPr>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4a类</w:t>
                  </w:r>
                </w:p>
              </w:tc>
              <w:tc>
                <w:tcPr>
                  <w:tcW w:w="2700" w:type="dxa"/>
                  <w:noWrap w:val="0"/>
                  <w:vAlign w:val="center"/>
                </w:tcPr>
                <w:p w14:paraId="29969A61">
                  <w:pPr>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70</w:t>
                  </w:r>
                </w:p>
              </w:tc>
              <w:tc>
                <w:tcPr>
                  <w:tcW w:w="2755" w:type="dxa"/>
                  <w:noWrap w:val="0"/>
                  <w:vAlign w:val="center"/>
                </w:tcPr>
                <w:p w14:paraId="1896B3FC">
                  <w:pPr>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55</w:t>
                  </w:r>
                </w:p>
              </w:tc>
            </w:tr>
          </w:tbl>
          <w:p w14:paraId="7BA8355F">
            <w:pPr>
              <w:widowControl/>
              <w:spacing w:line="360" w:lineRule="auto"/>
              <w:jc w:val="left"/>
              <w:rPr>
                <w:rFonts w:ascii="Times New Roman" w:hAnsi="Times New Roman"/>
                <w:color w:val="auto"/>
              </w:rPr>
            </w:pPr>
            <w:r>
              <w:rPr>
                <w:rFonts w:ascii="Times New Roman" w:hAnsi="Times New Roman"/>
                <w:b/>
                <w:bCs/>
                <w:color w:val="auto"/>
                <w:kern w:val="0"/>
                <w:sz w:val="24"/>
                <w:lang w:bidi="ar"/>
              </w:rPr>
              <w:t>二、污染物排放标准</w:t>
            </w:r>
          </w:p>
          <w:p w14:paraId="7DE21FBC">
            <w:pPr>
              <w:spacing w:line="360" w:lineRule="auto"/>
              <w:ind w:firstLine="482" w:firstLineChars="200"/>
              <w:rPr>
                <w:rFonts w:ascii="Times New Roman" w:hAnsi="Times New Roman"/>
                <w:b/>
                <w:bCs/>
                <w:color w:val="auto"/>
                <w:sz w:val="24"/>
              </w:rPr>
            </w:pPr>
            <w:r>
              <w:rPr>
                <w:rFonts w:ascii="Times New Roman" w:hAnsi="Times New Roman"/>
                <w:b/>
                <w:bCs/>
                <w:color w:val="auto"/>
                <w:sz w:val="24"/>
              </w:rPr>
              <w:t>1、废水</w:t>
            </w:r>
          </w:p>
          <w:p w14:paraId="3D50F20F">
            <w:pPr>
              <w:spacing w:line="360" w:lineRule="auto"/>
              <w:ind w:firstLine="480" w:firstLineChars="200"/>
              <w:rPr>
                <w:rFonts w:ascii="Times New Roman" w:hAnsi="Times New Roman"/>
                <w:color w:val="auto"/>
                <w:sz w:val="24"/>
              </w:rPr>
            </w:pPr>
            <w:r>
              <w:rPr>
                <w:rFonts w:ascii="Times New Roman" w:hAnsi="Times New Roman"/>
                <w:color w:val="auto"/>
                <w:sz w:val="24"/>
              </w:rPr>
              <w:t>项目无生产性废水排放，主要为施工期人员的生活污水，</w:t>
            </w:r>
            <w:r>
              <w:rPr>
                <w:rFonts w:hint="eastAsia" w:ascii="Times New Roman" w:hAnsi="Times New Roman"/>
                <w:color w:val="auto"/>
                <w:sz w:val="24"/>
                <w:lang w:val="en-US" w:eastAsia="zh-CN"/>
              </w:rPr>
              <w:t>生活污水</w:t>
            </w:r>
            <w:r>
              <w:rPr>
                <w:rFonts w:ascii="Times New Roman" w:hAnsi="Times New Roman"/>
                <w:color w:val="auto"/>
                <w:sz w:val="24"/>
              </w:rPr>
              <w:t>经化粪池处理后，定期清掏用于当地农作物施肥。</w:t>
            </w:r>
          </w:p>
          <w:p w14:paraId="5B775ACB">
            <w:pPr>
              <w:spacing w:line="360" w:lineRule="auto"/>
              <w:ind w:firstLine="482" w:firstLineChars="200"/>
              <w:rPr>
                <w:rFonts w:ascii="Times New Roman" w:hAnsi="Times New Roman"/>
                <w:b/>
                <w:bCs/>
                <w:color w:val="auto"/>
                <w:sz w:val="24"/>
              </w:rPr>
            </w:pPr>
            <w:r>
              <w:rPr>
                <w:rFonts w:ascii="Times New Roman" w:hAnsi="Times New Roman"/>
                <w:b/>
                <w:bCs/>
                <w:color w:val="auto"/>
                <w:sz w:val="24"/>
              </w:rPr>
              <w:t>2、废气</w:t>
            </w:r>
          </w:p>
          <w:p w14:paraId="680CB6C5">
            <w:pPr>
              <w:spacing w:line="360" w:lineRule="auto"/>
              <w:ind w:firstLine="480" w:firstLineChars="200"/>
              <w:rPr>
                <w:rFonts w:ascii="Times New Roman" w:hAnsi="Times New Roman"/>
                <w:color w:val="auto"/>
                <w:sz w:val="24"/>
              </w:rPr>
            </w:pPr>
            <w:r>
              <w:rPr>
                <w:rFonts w:ascii="Times New Roman" w:hAnsi="Times New Roman" w:eastAsia="宋体" w:cs="Times New Roman"/>
                <w:color w:val="auto"/>
                <w:sz w:val="24"/>
                <w:szCs w:val="24"/>
              </w:rPr>
              <w:t>本项目施工期颗粒物执行</w:t>
            </w:r>
            <w:r>
              <w:rPr>
                <w:rFonts w:hint="eastAsia" w:ascii="Times New Roman" w:hAnsi="Times New Roman" w:eastAsia="宋体" w:cs="Times New Roman"/>
                <w:color w:val="auto"/>
                <w:sz w:val="24"/>
                <w:szCs w:val="24"/>
              </w:rPr>
              <w:t>安徽省《施工场地颗粒物排放标准》（</w:t>
            </w:r>
            <w:r>
              <w:rPr>
                <w:rFonts w:ascii="Times New Roman" w:hAnsi="Times New Roman" w:eastAsia="宋体" w:cs="Times New Roman"/>
                <w:color w:val="auto"/>
                <w:sz w:val="24"/>
                <w:szCs w:val="24"/>
              </w:rPr>
              <w:t>DB34/4811-2024</w:t>
            </w:r>
            <w:r>
              <w:rPr>
                <w:rFonts w:hint="eastAsia" w:ascii="Times New Roman" w:hAnsi="Times New Roman" w:eastAsia="宋体" w:cs="Times New Roman"/>
                <w:color w:val="auto"/>
                <w:sz w:val="24"/>
                <w:szCs w:val="24"/>
              </w:rPr>
              <w:t>）</w:t>
            </w:r>
            <w:r>
              <w:rPr>
                <w:rFonts w:hint="default" w:ascii="Times New Roman" w:hAnsi="Times New Roman" w:cs="Times New Roman"/>
                <w:color w:val="auto"/>
                <w:spacing w:val="0"/>
                <w:sz w:val="24"/>
                <w:highlight w:val="none"/>
              </w:rPr>
              <w:t>中厂界大气污染物无组织监控浓度限值</w:t>
            </w:r>
            <w:r>
              <w:rPr>
                <w:rFonts w:ascii="Times New Roman" w:hAnsi="Times New Roman" w:eastAsia="宋体" w:cs="Times New Roman"/>
                <w:color w:val="auto"/>
                <w:sz w:val="24"/>
                <w:szCs w:val="24"/>
              </w:rPr>
              <w:t>。</w:t>
            </w:r>
            <w:r>
              <w:rPr>
                <w:rFonts w:hint="eastAsia" w:ascii="Times New Roman" w:hAnsi="Times New Roman"/>
                <w:color w:val="auto"/>
                <w:sz w:val="24"/>
                <w:lang w:val="en-US" w:eastAsia="zh-CN"/>
              </w:rPr>
              <w:t>其他</w:t>
            </w:r>
            <w:r>
              <w:rPr>
                <w:rFonts w:ascii="Times New Roman" w:hAnsi="Times New Roman"/>
                <w:color w:val="auto"/>
                <w:sz w:val="24"/>
              </w:rPr>
              <w:t>废气执行《大气污染物综合排放标准》（GB16297-1996）中无组织排放监控浓度限值。具体标准值见下表。</w:t>
            </w:r>
          </w:p>
          <w:p w14:paraId="1F70E988">
            <w:pPr>
              <w:spacing w:line="360" w:lineRule="auto"/>
              <w:jc w:val="center"/>
              <w:rPr>
                <w:rFonts w:hint="eastAsia" w:ascii="Times New Roman" w:hAnsi="Times New Roman"/>
                <w:b/>
                <w:color w:val="auto"/>
                <w:szCs w:val="21"/>
              </w:rPr>
            </w:pPr>
            <w:r>
              <w:rPr>
                <w:rFonts w:hint="eastAsia" w:ascii="Times New Roman" w:hAnsi="Times New Roman"/>
                <w:b/>
                <w:color w:val="auto"/>
                <w:szCs w:val="21"/>
              </w:rPr>
              <w:t>表</w:t>
            </w:r>
            <w:r>
              <w:rPr>
                <w:rFonts w:hint="eastAsia" w:ascii="Times New Roman" w:hAnsi="Times New Roman"/>
                <w:b/>
                <w:color w:val="auto"/>
                <w:szCs w:val="21"/>
                <w:lang w:val="en-US" w:eastAsia="zh-CN"/>
              </w:rPr>
              <w:t xml:space="preserve">3-12  </w:t>
            </w:r>
            <w:r>
              <w:rPr>
                <w:rFonts w:hint="eastAsia" w:ascii="Times New Roman" w:hAnsi="Times New Roman"/>
                <w:b/>
                <w:color w:val="auto"/>
                <w:szCs w:val="21"/>
              </w:rPr>
              <w:t>安徽省《施工场地颗粒物排放标准》</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6"/>
              <w:gridCol w:w="1558"/>
              <w:gridCol w:w="2217"/>
              <w:gridCol w:w="2047"/>
            </w:tblGrid>
            <w:tr w14:paraId="6EC98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jc w:val="center"/>
              </w:trPr>
              <w:tc>
                <w:tcPr>
                  <w:tcW w:w="1286" w:type="pct"/>
                  <w:vAlign w:val="center"/>
                </w:tcPr>
                <w:p w14:paraId="1D7F3676">
                  <w:pPr>
                    <w:jc w:val="center"/>
                    <w:rPr>
                      <w:rFonts w:ascii="Times New Roman" w:hAnsi="Times New Roman" w:cs="Times New Roman"/>
                      <w:bCs/>
                      <w:color w:val="auto"/>
                      <w:szCs w:val="21"/>
                    </w:rPr>
                  </w:pPr>
                  <w:r>
                    <w:rPr>
                      <w:rFonts w:ascii="Times New Roman" w:hAnsi="Times New Roman" w:cs="Times New Roman"/>
                      <w:bCs/>
                      <w:color w:val="auto"/>
                      <w:szCs w:val="21"/>
                    </w:rPr>
                    <w:t>污染物</w:t>
                  </w:r>
                </w:p>
              </w:tc>
              <w:tc>
                <w:tcPr>
                  <w:tcW w:w="2408" w:type="pct"/>
                  <w:gridSpan w:val="2"/>
                  <w:vAlign w:val="center"/>
                </w:tcPr>
                <w:p w14:paraId="087E0A48">
                  <w:pPr>
                    <w:jc w:val="center"/>
                    <w:rPr>
                      <w:rFonts w:ascii="Times New Roman" w:hAnsi="Times New Roman" w:cs="Times New Roman"/>
                      <w:bCs/>
                      <w:color w:val="auto"/>
                      <w:szCs w:val="21"/>
                    </w:rPr>
                  </w:pPr>
                  <w:r>
                    <w:rPr>
                      <w:rFonts w:ascii="Times New Roman" w:hAnsi="Times New Roman" w:cs="Times New Roman"/>
                      <w:bCs/>
                      <w:color w:val="auto"/>
                      <w:szCs w:val="21"/>
                    </w:rPr>
                    <w:t>监控点浓度限值（μg/m</w:t>
                  </w:r>
                  <w:r>
                    <w:rPr>
                      <w:rFonts w:ascii="Times New Roman" w:hAnsi="Times New Roman" w:cs="Times New Roman"/>
                      <w:bCs/>
                      <w:color w:val="auto"/>
                      <w:szCs w:val="21"/>
                      <w:vertAlign w:val="superscript"/>
                    </w:rPr>
                    <w:t>3</w:t>
                  </w:r>
                  <w:r>
                    <w:rPr>
                      <w:rFonts w:ascii="Times New Roman" w:hAnsi="Times New Roman" w:cs="Times New Roman"/>
                      <w:bCs/>
                      <w:color w:val="auto"/>
                      <w:szCs w:val="21"/>
                    </w:rPr>
                    <w:t>）</w:t>
                  </w:r>
                </w:p>
              </w:tc>
              <w:tc>
                <w:tcPr>
                  <w:tcW w:w="1306" w:type="pct"/>
                  <w:vAlign w:val="center"/>
                </w:tcPr>
                <w:p w14:paraId="739E6A77">
                  <w:pPr>
                    <w:jc w:val="center"/>
                    <w:rPr>
                      <w:rFonts w:ascii="Times New Roman" w:hAnsi="Times New Roman" w:cs="Times New Roman"/>
                      <w:bCs/>
                      <w:color w:val="auto"/>
                      <w:szCs w:val="21"/>
                    </w:rPr>
                  </w:pPr>
                  <w:r>
                    <w:rPr>
                      <w:rFonts w:ascii="Times New Roman" w:hAnsi="Times New Roman" w:cs="Times New Roman"/>
                      <w:bCs/>
                      <w:color w:val="auto"/>
                      <w:szCs w:val="21"/>
                    </w:rPr>
                    <w:t>备注</w:t>
                  </w:r>
                </w:p>
              </w:tc>
            </w:tr>
            <w:tr w14:paraId="1E960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286" w:type="pct"/>
                  <w:vMerge w:val="restart"/>
                  <w:vAlign w:val="center"/>
                </w:tcPr>
                <w:p w14:paraId="576C54E9">
                  <w:pPr>
                    <w:jc w:val="center"/>
                    <w:rPr>
                      <w:rFonts w:ascii="Times New Roman" w:hAnsi="Times New Roman" w:cs="Times New Roman"/>
                      <w:bCs/>
                      <w:color w:val="auto"/>
                      <w:szCs w:val="21"/>
                    </w:rPr>
                  </w:pPr>
                  <w:r>
                    <w:rPr>
                      <w:rFonts w:ascii="Times New Roman" w:hAnsi="Times New Roman" w:cs="Times New Roman"/>
                      <w:bCs/>
                      <w:color w:val="auto"/>
                      <w:szCs w:val="21"/>
                    </w:rPr>
                    <w:t>颗粒物</w:t>
                  </w:r>
                </w:p>
              </w:tc>
              <w:tc>
                <w:tcPr>
                  <w:tcW w:w="994" w:type="pct"/>
                  <w:vAlign w:val="center"/>
                </w:tcPr>
                <w:p w14:paraId="516CFCFC">
                  <w:pPr>
                    <w:jc w:val="center"/>
                    <w:rPr>
                      <w:rFonts w:ascii="Times New Roman" w:hAnsi="Times New Roman" w:cs="Times New Roman"/>
                      <w:bCs/>
                      <w:color w:val="auto"/>
                      <w:szCs w:val="21"/>
                    </w:rPr>
                  </w:pPr>
                  <w:r>
                    <w:rPr>
                      <w:rFonts w:hint="eastAsia" w:ascii="Times New Roman" w:hAnsi="Times New Roman" w:cs="Times New Roman"/>
                      <w:bCs/>
                      <w:color w:val="auto"/>
                      <w:szCs w:val="21"/>
                    </w:rPr>
                    <w:t>1000</w:t>
                  </w:r>
                </w:p>
              </w:tc>
              <w:tc>
                <w:tcPr>
                  <w:tcW w:w="1414" w:type="pct"/>
                  <w:vAlign w:val="center"/>
                </w:tcPr>
                <w:p w14:paraId="503F8E08">
                  <w:pPr>
                    <w:jc w:val="center"/>
                    <w:rPr>
                      <w:rFonts w:ascii="Times New Roman" w:hAnsi="Times New Roman" w:cs="Times New Roman"/>
                      <w:bCs/>
                      <w:color w:val="auto"/>
                      <w:szCs w:val="21"/>
                    </w:rPr>
                  </w:pPr>
                  <w:r>
                    <w:rPr>
                      <w:rFonts w:hint="eastAsia" w:ascii="Times New Roman" w:hAnsi="Times New Roman" w:cs="Times New Roman"/>
                      <w:bCs/>
                      <w:color w:val="auto"/>
                      <w:szCs w:val="21"/>
                    </w:rPr>
                    <w:t>超标次数≤1次/日</w:t>
                  </w:r>
                </w:p>
              </w:tc>
              <w:tc>
                <w:tcPr>
                  <w:tcW w:w="1306" w:type="pct"/>
                  <w:vMerge w:val="restart"/>
                  <w:vAlign w:val="center"/>
                </w:tcPr>
                <w:p w14:paraId="0A6EF0D7">
                  <w:pPr>
                    <w:jc w:val="center"/>
                    <w:rPr>
                      <w:rFonts w:ascii="Times New Roman" w:hAnsi="Times New Roman" w:cs="Times New Roman"/>
                      <w:bCs/>
                      <w:color w:val="auto"/>
                      <w:szCs w:val="21"/>
                    </w:rPr>
                  </w:pPr>
                  <w:r>
                    <w:rPr>
                      <w:rFonts w:hint="eastAsia" w:ascii="Times New Roman" w:hAnsi="Times New Roman" w:cs="Times New Roman"/>
                      <w:bCs/>
                      <w:color w:val="auto"/>
                      <w:szCs w:val="21"/>
                    </w:rPr>
                    <w:t>《施工场地颗粒物排放标准》（</w:t>
                  </w:r>
                  <w:r>
                    <w:rPr>
                      <w:rFonts w:ascii="Times New Roman" w:hAnsi="Times New Roman" w:cs="Times New Roman"/>
                      <w:bCs/>
                      <w:color w:val="auto"/>
                      <w:szCs w:val="21"/>
                    </w:rPr>
                    <w:t>DB34/4811-2024</w:t>
                  </w:r>
                  <w:r>
                    <w:rPr>
                      <w:rFonts w:hint="eastAsia" w:ascii="Times New Roman" w:hAnsi="Times New Roman" w:cs="Times New Roman"/>
                      <w:bCs/>
                      <w:color w:val="auto"/>
                      <w:szCs w:val="21"/>
                    </w:rPr>
                    <w:t>）</w:t>
                  </w:r>
                </w:p>
              </w:tc>
            </w:tr>
            <w:tr w14:paraId="1D887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86" w:type="pct"/>
                  <w:vMerge w:val="continue"/>
                  <w:vAlign w:val="center"/>
                </w:tcPr>
                <w:p w14:paraId="76E008AF">
                  <w:pPr>
                    <w:jc w:val="center"/>
                    <w:rPr>
                      <w:rFonts w:ascii="Times New Roman" w:hAnsi="Times New Roman" w:cs="Times New Roman"/>
                      <w:bCs/>
                      <w:color w:val="auto"/>
                      <w:szCs w:val="21"/>
                    </w:rPr>
                  </w:pPr>
                </w:p>
              </w:tc>
              <w:tc>
                <w:tcPr>
                  <w:tcW w:w="994" w:type="pct"/>
                  <w:vAlign w:val="center"/>
                </w:tcPr>
                <w:p w14:paraId="5E5523D3">
                  <w:pPr>
                    <w:jc w:val="center"/>
                    <w:rPr>
                      <w:rFonts w:ascii="Times New Roman" w:hAnsi="Times New Roman" w:cs="Times New Roman"/>
                      <w:bCs/>
                      <w:color w:val="auto"/>
                      <w:szCs w:val="21"/>
                    </w:rPr>
                  </w:pPr>
                  <w:r>
                    <w:rPr>
                      <w:rFonts w:hint="eastAsia" w:ascii="Times New Roman" w:hAnsi="Times New Roman" w:cs="Times New Roman"/>
                      <w:bCs/>
                      <w:color w:val="auto"/>
                      <w:szCs w:val="21"/>
                    </w:rPr>
                    <w:t>500</w:t>
                  </w:r>
                </w:p>
              </w:tc>
              <w:tc>
                <w:tcPr>
                  <w:tcW w:w="1414" w:type="pct"/>
                  <w:vAlign w:val="center"/>
                </w:tcPr>
                <w:p w14:paraId="25F2EB43">
                  <w:pPr>
                    <w:jc w:val="center"/>
                    <w:rPr>
                      <w:rFonts w:ascii="Times New Roman" w:hAnsi="Times New Roman" w:cs="Times New Roman"/>
                      <w:bCs/>
                      <w:color w:val="auto"/>
                      <w:szCs w:val="21"/>
                    </w:rPr>
                  </w:pPr>
                  <w:r>
                    <w:rPr>
                      <w:rFonts w:hint="eastAsia" w:ascii="Times New Roman" w:hAnsi="Times New Roman" w:cs="Times New Roman"/>
                      <w:bCs/>
                      <w:color w:val="auto"/>
                      <w:szCs w:val="21"/>
                    </w:rPr>
                    <w:t>超标次数≤6次/日</w:t>
                  </w:r>
                </w:p>
              </w:tc>
              <w:tc>
                <w:tcPr>
                  <w:tcW w:w="1306" w:type="pct"/>
                  <w:vMerge w:val="continue"/>
                  <w:vAlign w:val="center"/>
                </w:tcPr>
                <w:p w14:paraId="59ED3D1B">
                  <w:pPr>
                    <w:jc w:val="center"/>
                    <w:rPr>
                      <w:rFonts w:ascii="Times New Roman" w:hAnsi="Times New Roman" w:cs="Times New Roman"/>
                      <w:bCs/>
                      <w:color w:val="auto"/>
                      <w:szCs w:val="21"/>
                    </w:rPr>
                  </w:pPr>
                </w:p>
              </w:tc>
            </w:tr>
          </w:tbl>
          <w:p w14:paraId="1282DCB0">
            <w:pPr>
              <w:spacing w:line="360" w:lineRule="auto"/>
              <w:jc w:val="center"/>
              <w:rPr>
                <w:rFonts w:ascii="Times New Roman" w:hAnsi="Times New Roman"/>
                <w:b/>
                <w:color w:val="auto"/>
                <w:szCs w:val="21"/>
              </w:rPr>
            </w:pPr>
            <w:r>
              <w:rPr>
                <w:rFonts w:ascii="Times New Roman" w:hAnsi="Times New Roman"/>
                <w:b/>
                <w:color w:val="auto"/>
                <w:szCs w:val="21"/>
              </w:rPr>
              <w:t>表3-1</w:t>
            </w:r>
            <w:r>
              <w:rPr>
                <w:rFonts w:hint="eastAsia" w:ascii="Times New Roman" w:hAnsi="Times New Roman"/>
                <w:b/>
                <w:color w:val="auto"/>
                <w:szCs w:val="21"/>
                <w:lang w:val="en-US" w:eastAsia="zh-CN"/>
              </w:rPr>
              <w:t>3</w:t>
            </w:r>
            <w:r>
              <w:rPr>
                <w:rFonts w:ascii="Times New Roman" w:hAnsi="Times New Roman"/>
                <w:b/>
                <w:color w:val="auto"/>
                <w:szCs w:val="21"/>
              </w:rPr>
              <w:t xml:space="preserve">  大气污染物综合排放标准</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979"/>
              <w:gridCol w:w="2566"/>
              <w:gridCol w:w="1151"/>
              <w:gridCol w:w="2146"/>
            </w:tblGrid>
            <w:tr w14:paraId="2B8D007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0" w:hRule="atLeast"/>
                <w:jc w:val="center"/>
              </w:trPr>
              <w:tc>
                <w:tcPr>
                  <w:tcW w:w="1979" w:type="dxa"/>
                  <w:vMerge w:val="restart"/>
                  <w:noWrap w:val="0"/>
                  <w:vAlign w:val="center"/>
                </w:tcPr>
                <w:p w14:paraId="147FE431">
                  <w:pPr>
                    <w:jc w:val="center"/>
                    <w:rPr>
                      <w:rFonts w:ascii="Times New Roman" w:hAnsi="Times New Roman"/>
                      <w:bCs/>
                      <w:color w:val="auto"/>
                      <w:szCs w:val="21"/>
                    </w:rPr>
                  </w:pPr>
                  <w:r>
                    <w:rPr>
                      <w:rFonts w:ascii="Times New Roman" w:hAnsi="Times New Roman"/>
                      <w:bCs/>
                      <w:color w:val="auto"/>
                      <w:szCs w:val="21"/>
                    </w:rPr>
                    <w:t>污染物</w:t>
                  </w:r>
                </w:p>
              </w:tc>
              <w:tc>
                <w:tcPr>
                  <w:tcW w:w="3717" w:type="dxa"/>
                  <w:gridSpan w:val="2"/>
                  <w:noWrap w:val="0"/>
                  <w:vAlign w:val="center"/>
                </w:tcPr>
                <w:p w14:paraId="508ADF91">
                  <w:pPr>
                    <w:jc w:val="center"/>
                    <w:rPr>
                      <w:rFonts w:ascii="Times New Roman" w:hAnsi="Times New Roman"/>
                      <w:bCs/>
                      <w:color w:val="auto"/>
                      <w:szCs w:val="21"/>
                    </w:rPr>
                  </w:pPr>
                  <w:r>
                    <w:rPr>
                      <w:rFonts w:ascii="Times New Roman" w:hAnsi="Times New Roman"/>
                      <w:bCs/>
                      <w:color w:val="auto"/>
                      <w:szCs w:val="21"/>
                    </w:rPr>
                    <w:t>无组织排放监控浓度限值（mg/m</w:t>
                  </w:r>
                  <w:r>
                    <w:rPr>
                      <w:rFonts w:ascii="Times New Roman" w:hAnsi="Times New Roman"/>
                      <w:bCs/>
                      <w:color w:val="auto"/>
                      <w:szCs w:val="21"/>
                      <w:vertAlign w:val="superscript"/>
                    </w:rPr>
                    <w:t>3</w:t>
                  </w:r>
                  <w:r>
                    <w:rPr>
                      <w:rFonts w:ascii="Times New Roman" w:hAnsi="Times New Roman"/>
                      <w:bCs/>
                      <w:color w:val="auto"/>
                      <w:szCs w:val="21"/>
                    </w:rPr>
                    <w:t>）</w:t>
                  </w:r>
                </w:p>
              </w:tc>
              <w:tc>
                <w:tcPr>
                  <w:tcW w:w="2146" w:type="dxa"/>
                  <w:vMerge w:val="restart"/>
                  <w:noWrap w:val="0"/>
                  <w:vAlign w:val="center"/>
                </w:tcPr>
                <w:p w14:paraId="5484380D">
                  <w:pPr>
                    <w:jc w:val="center"/>
                    <w:rPr>
                      <w:rFonts w:ascii="Times New Roman" w:hAnsi="Times New Roman"/>
                      <w:color w:val="auto"/>
                      <w:szCs w:val="21"/>
                    </w:rPr>
                  </w:pPr>
                  <w:r>
                    <w:rPr>
                      <w:rFonts w:ascii="Times New Roman" w:hAnsi="Times New Roman"/>
                      <w:color w:val="auto"/>
                      <w:szCs w:val="21"/>
                    </w:rPr>
                    <w:t>备注</w:t>
                  </w:r>
                </w:p>
              </w:tc>
            </w:tr>
            <w:tr w14:paraId="1E96BC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58" w:hRule="atLeast"/>
                <w:jc w:val="center"/>
              </w:trPr>
              <w:tc>
                <w:tcPr>
                  <w:tcW w:w="1979" w:type="dxa"/>
                  <w:vMerge w:val="continue"/>
                  <w:noWrap w:val="0"/>
                  <w:vAlign w:val="center"/>
                </w:tcPr>
                <w:p w14:paraId="15176D10">
                  <w:pPr>
                    <w:jc w:val="center"/>
                    <w:rPr>
                      <w:rFonts w:ascii="Times New Roman" w:hAnsi="Times New Roman"/>
                      <w:color w:val="auto"/>
                      <w:szCs w:val="21"/>
                    </w:rPr>
                  </w:pPr>
                </w:p>
              </w:tc>
              <w:tc>
                <w:tcPr>
                  <w:tcW w:w="2566" w:type="dxa"/>
                  <w:noWrap w:val="0"/>
                  <w:vAlign w:val="center"/>
                </w:tcPr>
                <w:p w14:paraId="4FD58E77">
                  <w:pPr>
                    <w:jc w:val="center"/>
                    <w:rPr>
                      <w:rFonts w:ascii="Times New Roman" w:hAnsi="Times New Roman"/>
                      <w:bCs/>
                      <w:color w:val="auto"/>
                      <w:szCs w:val="21"/>
                    </w:rPr>
                  </w:pPr>
                  <w:r>
                    <w:rPr>
                      <w:rFonts w:ascii="Times New Roman" w:hAnsi="Times New Roman"/>
                      <w:bCs/>
                      <w:color w:val="auto"/>
                      <w:szCs w:val="21"/>
                    </w:rPr>
                    <w:t>监控点</w:t>
                  </w:r>
                </w:p>
              </w:tc>
              <w:tc>
                <w:tcPr>
                  <w:tcW w:w="1151" w:type="dxa"/>
                  <w:noWrap w:val="0"/>
                  <w:vAlign w:val="center"/>
                </w:tcPr>
                <w:p w14:paraId="24020574">
                  <w:pPr>
                    <w:jc w:val="center"/>
                    <w:rPr>
                      <w:rFonts w:ascii="Times New Roman" w:hAnsi="Times New Roman"/>
                      <w:bCs/>
                      <w:color w:val="auto"/>
                      <w:szCs w:val="21"/>
                    </w:rPr>
                  </w:pPr>
                  <w:r>
                    <w:rPr>
                      <w:rFonts w:ascii="Times New Roman" w:hAnsi="Times New Roman"/>
                      <w:bCs/>
                      <w:color w:val="auto"/>
                      <w:szCs w:val="21"/>
                    </w:rPr>
                    <w:t>浓度</w:t>
                  </w:r>
                </w:p>
              </w:tc>
              <w:tc>
                <w:tcPr>
                  <w:tcW w:w="2146" w:type="dxa"/>
                  <w:vMerge w:val="continue"/>
                  <w:noWrap w:val="0"/>
                  <w:vAlign w:val="center"/>
                </w:tcPr>
                <w:p w14:paraId="0A9C16E5">
                  <w:pPr>
                    <w:jc w:val="center"/>
                    <w:rPr>
                      <w:rFonts w:ascii="Times New Roman" w:hAnsi="Times New Roman"/>
                      <w:color w:val="auto"/>
                      <w:szCs w:val="21"/>
                    </w:rPr>
                  </w:pPr>
                </w:p>
              </w:tc>
            </w:tr>
            <w:tr w14:paraId="0FA0A0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1979" w:type="dxa"/>
                  <w:noWrap w:val="0"/>
                  <w:vAlign w:val="center"/>
                </w:tcPr>
                <w:p w14:paraId="14609765">
                  <w:pPr>
                    <w:jc w:val="center"/>
                    <w:rPr>
                      <w:rFonts w:ascii="Times New Roman" w:hAnsi="Times New Roman"/>
                      <w:color w:val="auto"/>
                      <w:szCs w:val="21"/>
                    </w:rPr>
                  </w:pPr>
                  <w:r>
                    <w:rPr>
                      <w:rFonts w:ascii="Times New Roman" w:hAnsi="Times New Roman"/>
                      <w:color w:val="auto"/>
                      <w:szCs w:val="21"/>
                    </w:rPr>
                    <w:t>SO</w:t>
                  </w:r>
                  <w:r>
                    <w:rPr>
                      <w:rFonts w:ascii="Times New Roman" w:hAnsi="Times New Roman"/>
                      <w:color w:val="auto"/>
                      <w:szCs w:val="21"/>
                      <w:vertAlign w:val="subscript"/>
                    </w:rPr>
                    <w:t>2</w:t>
                  </w:r>
                </w:p>
              </w:tc>
              <w:tc>
                <w:tcPr>
                  <w:tcW w:w="2566" w:type="dxa"/>
                  <w:vMerge w:val="restart"/>
                  <w:noWrap w:val="0"/>
                  <w:vAlign w:val="center"/>
                </w:tcPr>
                <w:p w14:paraId="738D1C5F">
                  <w:pPr>
                    <w:jc w:val="center"/>
                    <w:rPr>
                      <w:rFonts w:ascii="Times New Roman" w:hAnsi="Times New Roman"/>
                      <w:color w:val="auto"/>
                      <w:szCs w:val="21"/>
                    </w:rPr>
                  </w:pPr>
                  <w:r>
                    <w:rPr>
                      <w:rFonts w:ascii="Times New Roman" w:hAnsi="Times New Roman"/>
                      <w:color w:val="auto"/>
                      <w:szCs w:val="21"/>
                    </w:rPr>
                    <w:t>周界外浓度最高点</w:t>
                  </w:r>
                </w:p>
              </w:tc>
              <w:tc>
                <w:tcPr>
                  <w:tcW w:w="1151" w:type="dxa"/>
                  <w:noWrap w:val="0"/>
                  <w:vAlign w:val="center"/>
                </w:tcPr>
                <w:p w14:paraId="0E9B7C98">
                  <w:pPr>
                    <w:jc w:val="center"/>
                    <w:rPr>
                      <w:rFonts w:ascii="Times New Roman" w:hAnsi="Times New Roman"/>
                      <w:color w:val="auto"/>
                      <w:szCs w:val="21"/>
                    </w:rPr>
                  </w:pPr>
                  <w:r>
                    <w:rPr>
                      <w:rFonts w:ascii="Times New Roman" w:hAnsi="Times New Roman"/>
                      <w:color w:val="auto"/>
                      <w:szCs w:val="21"/>
                    </w:rPr>
                    <w:t>0.40</w:t>
                  </w:r>
                </w:p>
              </w:tc>
              <w:tc>
                <w:tcPr>
                  <w:tcW w:w="2146" w:type="dxa"/>
                  <w:vMerge w:val="restart"/>
                  <w:noWrap w:val="0"/>
                  <w:vAlign w:val="center"/>
                </w:tcPr>
                <w:p w14:paraId="091DF86F">
                  <w:pPr>
                    <w:jc w:val="center"/>
                    <w:rPr>
                      <w:rFonts w:ascii="Times New Roman" w:hAnsi="Times New Roman"/>
                      <w:color w:val="auto"/>
                      <w:szCs w:val="21"/>
                    </w:rPr>
                  </w:pPr>
                  <w:r>
                    <w:rPr>
                      <w:rFonts w:ascii="Times New Roman" w:hAnsi="Times New Roman"/>
                      <w:color w:val="auto"/>
                      <w:szCs w:val="21"/>
                    </w:rPr>
                    <w:t>《大气污染物综合排放标准》（GB16297-1996）</w:t>
                  </w:r>
                </w:p>
              </w:tc>
            </w:tr>
            <w:tr w14:paraId="62BF566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6" w:hRule="atLeast"/>
                <w:jc w:val="center"/>
              </w:trPr>
              <w:tc>
                <w:tcPr>
                  <w:tcW w:w="1979" w:type="dxa"/>
                  <w:noWrap w:val="0"/>
                  <w:vAlign w:val="center"/>
                </w:tcPr>
                <w:p w14:paraId="00570D84">
                  <w:pPr>
                    <w:jc w:val="center"/>
                    <w:rPr>
                      <w:rFonts w:ascii="Times New Roman" w:hAnsi="Times New Roman"/>
                      <w:color w:val="auto"/>
                      <w:szCs w:val="21"/>
                      <w:vertAlign w:val="subscript"/>
                    </w:rPr>
                  </w:pPr>
                  <w:r>
                    <w:rPr>
                      <w:rFonts w:ascii="Times New Roman" w:hAnsi="Times New Roman"/>
                      <w:color w:val="auto"/>
                      <w:szCs w:val="21"/>
                    </w:rPr>
                    <w:t>NO</w:t>
                  </w:r>
                  <w:r>
                    <w:rPr>
                      <w:rFonts w:ascii="Times New Roman" w:hAnsi="Times New Roman"/>
                      <w:color w:val="auto"/>
                      <w:szCs w:val="21"/>
                      <w:vertAlign w:val="subscript"/>
                    </w:rPr>
                    <w:t>x</w:t>
                  </w:r>
                </w:p>
              </w:tc>
              <w:tc>
                <w:tcPr>
                  <w:tcW w:w="2566" w:type="dxa"/>
                  <w:vMerge w:val="continue"/>
                  <w:noWrap w:val="0"/>
                  <w:vAlign w:val="center"/>
                </w:tcPr>
                <w:p w14:paraId="6E8DE3B6">
                  <w:pPr>
                    <w:jc w:val="center"/>
                    <w:rPr>
                      <w:rFonts w:ascii="Times New Roman" w:hAnsi="Times New Roman"/>
                      <w:color w:val="auto"/>
                      <w:szCs w:val="21"/>
                    </w:rPr>
                  </w:pPr>
                </w:p>
              </w:tc>
              <w:tc>
                <w:tcPr>
                  <w:tcW w:w="1151" w:type="dxa"/>
                  <w:noWrap w:val="0"/>
                  <w:vAlign w:val="center"/>
                </w:tcPr>
                <w:p w14:paraId="16610B88">
                  <w:pPr>
                    <w:jc w:val="center"/>
                    <w:rPr>
                      <w:rFonts w:ascii="Times New Roman" w:hAnsi="Times New Roman"/>
                      <w:color w:val="auto"/>
                      <w:szCs w:val="21"/>
                    </w:rPr>
                  </w:pPr>
                  <w:r>
                    <w:rPr>
                      <w:rFonts w:ascii="Times New Roman" w:hAnsi="Times New Roman"/>
                      <w:color w:val="auto"/>
                      <w:szCs w:val="21"/>
                    </w:rPr>
                    <w:t>0.12</w:t>
                  </w:r>
                </w:p>
              </w:tc>
              <w:tc>
                <w:tcPr>
                  <w:tcW w:w="2146" w:type="dxa"/>
                  <w:vMerge w:val="continue"/>
                  <w:noWrap w:val="0"/>
                  <w:vAlign w:val="center"/>
                </w:tcPr>
                <w:p w14:paraId="038AC72E">
                  <w:pPr>
                    <w:jc w:val="center"/>
                    <w:rPr>
                      <w:rFonts w:ascii="Times New Roman" w:hAnsi="Times New Roman"/>
                      <w:color w:val="auto"/>
                      <w:szCs w:val="21"/>
                    </w:rPr>
                  </w:pPr>
                </w:p>
              </w:tc>
            </w:tr>
          </w:tbl>
          <w:p w14:paraId="5EB83E6F">
            <w:pPr>
              <w:spacing w:line="360" w:lineRule="auto"/>
              <w:ind w:firstLine="482" w:firstLineChars="200"/>
              <w:rPr>
                <w:rFonts w:ascii="Times New Roman" w:hAnsi="Times New Roman"/>
                <w:b/>
                <w:bCs/>
                <w:color w:val="auto"/>
                <w:sz w:val="24"/>
              </w:rPr>
            </w:pPr>
            <w:r>
              <w:rPr>
                <w:rFonts w:ascii="Times New Roman" w:hAnsi="Times New Roman"/>
                <w:b/>
                <w:bCs/>
                <w:color w:val="auto"/>
                <w:sz w:val="24"/>
              </w:rPr>
              <w:t>3、噪声</w:t>
            </w:r>
          </w:p>
          <w:p w14:paraId="71F9B574">
            <w:pPr>
              <w:spacing w:line="360" w:lineRule="auto"/>
              <w:ind w:firstLine="480" w:firstLineChars="200"/>
              <w:rPr>
                <w:rFonts w:ascii="Times New Roman" w:hAnsi="Times New Roman"/>
                <w:color w:val="auto"/>
                <w:sz w:val="24"/>
              </w:rPr>
            </w:pPr>
            <w:r>
              <w:rPr>
                <w:rFonts w:ascii="Times New Roman" w:hAnsi="Times New Roman"/>
                <w:color w:val="auto"/>
                <w:sz w:val="24"/>
              </w:rPr>
              <w:t>本项目实施是为了采掘面瓦斯抽采预先进行的钻前工程、钻井工程、复垦工程。本项目的实施是为了消除煤炭开采的安全隐患，为后期采掘面预抽采做前期准备工作</w:t>
            </w:r>
            <w:r>
              <w:rPr>
                <w:rFonts w:hint="eastAsia" w:ascii="Times New Roman" w:hAnsi="Times New Roman"/>
                <w:color w:val="auto"/>
                <w:sz w:val="24"/>
                <w:lang w:eastAsia="zh-CN"/>
              </w:rPr>
              <w:t>，</w:t>
            </w:r>
            <w:r>
              <w:rPr>
                <w:rFonts w:hint="eastAsia" w:ascii="Times New Roman" w:hAnsi="Times New Roman"/>
                <w:color w:val="auto"/>
                <w:sz w:val="24"/>
                <w:lang w:val="en-US" w:eastAsia="zh-CN"/>
              </w:rPr>
              <w:t>本项目无运营期。</w:t>
            </w:r>
            <w:r>
              <w:rPr>
                <w:rFonts w:ascii="Times New Roman" w:hAnsi="Times New Roman"/>
                <w:color w:val="auto"/>
                <w:sz w:val="24"/>
              </w:rPr>
              <w:t>施工期噪声执行《建筑施工场界环境噪声排放标准》（GB12523‐2011）中标准限值，具体标准见下表：</w:t>
            </w:r>
          </w:p>
          <w:p w14:paraId="7B4F57AA">
            <w:pPr>
              <w:spacing w:line="360" w:lineRule="auto"/>
              <w:jc w:val="center"/>
              <w:rPr>
                <w:rFonts w:ascii="Times New Roman" w:hAnsi="Times New Roman"/>
                <w:b/>
                <w:color w:val="auto"/>
                <w:szCs w:val="21"/>
              </w:rPr>
            </w:pPr>
            <w:r>
              <w:rPr>
                <w:rFonts w:ascii="Times New Roman" w:hAnsi="Times New Roman"/>
                <w:b/>
                <w:color w:val="auto"/>
                <w:szCs w:val="21"/>
              </w:rPr>
              <w:t>表3-1</w:t>
            </w:r>
            <w:r>
              <w:rPr>
                <w:rFonts w:hint="eastAsia" w:ascii="Times New Roman" w:hAnsi="Times New Roman"/>
                <w:b/>
                <w:color w:val="auto"/>
                <w:szCs w:val="21"/>
                <w:lang w:val="en-US" w:eastAsia="zh-CN"/>
              </w:rPr>
              <w:t>4</w:t>
            </w:r>
            <w:r>
              <w:rPr>
                <w:rFonts w:ascii="Times New Roman" w:hAnsi="Times New Roman"/>
                <w:b/>
                <w:color w:val="auto"/>
                <w:szCs w:val="21"/>
              </w:rPr>
              <w:t xml:space="preserve">  建筑施工场界环境噪声排放标准  单位： dB(A)</w:t>
            </w:r>
          </w:p>
          <w:tbl>
            <w:tblPr>
              <w:tblStyle w:val="17"/>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774"/>
              <w:gridCol w:w="2016"/>
              <w:gridCol w:w="2016"/>
            </w:tblGrid>
            <w:tr w14:paraId="529DCD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73" w:hRule="atLeast"/>
                <w:jc w:val="center"/>
              </w:trPr>
              <w:tc>
                <w:tcPr>
                  <w:tcW w:w="3774" w:type="dxa"/>
                  <w:noWrap w:val="0"/>
                  <w:vAlign w:val="center"/>
                </w:tcPr>
                <w:p w14:paraId="607802C0">
                  <w:pPr>
                    <w:jc w:val="center"/>
                    <w:rPr>
                      <w:rFonts w:ascii="Times New Roman" w:hAnsi="Times New Roman"/>
                      <w:bCs/>
                      <w:color w:val="auto"/>
                      <w:szCs w:val="21"/>
                    </w:rPr>
                  </w:pPr>
                  <w:r>
                    <w:rPr>
                      <w:rFonts w:ascii="Times New Roman" w:hAnsi="Times New Roman"/>
                      <w:bCs/>
                      <w:color w:val="auto"/>
                      <w:szCs w:val="21"/>
                    </w:rPr>
                    <w:t>标准类别</w:t>
                  </w:r>
                </w:p>
              </w:tc>
              <w:tc>
                <w:tcPr>
                  <w:tcW w:w="2016" w:type="dxa"/>
                  <w:noWrap w:val="0"/>
                  <w:vAlign w:val="center"/>
                </w:tcPr>
                <w:p w14:paraId="0EF15FA5">
                  <w:pPr>
                    <w:jc w:val="center"/>
                    <w:rPr>
                      <w:rFonts w:ascii="Times New Roman" w:hAnsi="Times New Roman"/>
                      <w:bCs/>
                      <w:color w:val="auto"/>
                      <w:szCs w:val="21"/>
                    </w:rPr>
                  </w:pPr>
                  <w:r>
                    <w:rPr>
                      <w:rFonts w:ascii="Times New Roman" w:hAnsi="Times New Roman"/>
                      <w:bCs/>
                      <w:color w:val="auto"/>
                      <w:szCs w:val="21"/>
                    </w:rPr>
                    <w:t>昼间</w:t>
                  </w:r>
                </w:p>
              </w:tc>
              <w:tc>
                <w:tcPr>
                  <w:tcW w:w="2016" w:type="dxa"/>
                  <w:noWrap w:val="0"/>
                  <w:vAlign w:val="center"/>
                </w:tcPr>
                <w:p w14:paraId="74F1561E">
                  <w:pPr>
                    <w:jc w:val="center"/>
                    <w:rPr>
                      <w:rFonts w:ascii="Times New Roman" w:hAnsi="Times New Roman"/>
                      <w:bCs/>
                      <w:color w:val="auto"/>
                      <w:szCs w:val="21"/>
                    </w:rPr>
                  </w:pPr>
                  <w:r>
                    <w:rPr>
                      <w:rFonts w:ascii="Times New Roman" w:hAnsi="Times New Roman"/>
                      <w:bCs/>
                      <w:color w:val="auto"/>
                      <w:szCs w:val="21"/>
                    </w:rPr>
                    <w:t>夜间</w:t>
                  </w:r>
                </w:p>
              </w:tc>
            </w:tr>
            <w:tr w14:paraId="2C2F2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3" w:hRule="atLeast"/>
                <w:jc w:val="center"/>
              </w:trPr>
              <w:tc>
                <w:tcPr>
                  <w:tcW w:w="3774" w:type="dxa"/>
                  <w:noWrap w:val="0"/>
                  <w:vAlign w:val="center"/>
                </w:tcPr>
                <w:p w14:paraId="5FED87E8">
                  <w:pPr>
                    <w:jc w:val="center"/>
                    <w:rPr>
                      <w:rFonts w:ascii="Times New Roman" w:hAnsi="Times New Roman"/>
                      <w:bCs/>
                      <w:color w:val="auto"/>
                      <w:szCs w:val="21"/>
                    </w:rPr>
                  </w:pPr>
                  <w:r>
                    <w:rPr>
                      <w:rFonts w:ascii="Times New Roman" w:hAnsi="Times New Roman"/>
                      <w:bCs/>
                      <w:color w:val="auto"/>
                      <w:szCs w:val="21"/>
                    </w:rPr>
                    <w:t>《建筑施工场界环境噪声排放标准》（GB12523‐2011）</w:t>
                  </w:r>
                </w:p>
              </w:tc>
              <w:tc>
                <w:tcPr>
                  <w:tcW w:w="2016" w:type="dxa"/>
                  <w:noWrap w:val="0"/>
                  <w:vAlign w:val="center"/>
                </w:tcPr>
                <w:p w14:paraId="531E26A1">
                  <w:pPr>
                    <w:jc w:val="center"/>
                    <w:rPr>
                      <w:rFonts w:ascii="Times New Roman" w:hAnsi="Times New Roman"/>
                      <w:bCs/>
                      <w:color w:val="auto"/>
                      <w:szCs w:val="21"/>
                    </w:rPr>
                  </w:pPr>
                  <w:r>
                    <w:rPr>
                      <w:rFonts w:ascii="Times New Roman" w:hAnsi="Times New Roman"/>
                      <w:bCs/>
                      <w:color w:val="auto"/>
                      <w:szCs w:val="21"/>
                    </w:rPr>
                    <w:t>70</w:t>
                  </w:r>
                </w:p>
              </w:tc>
              <w:tc>
                <w:tcPr>
                  <w:tcW w:w="2016" w:type="dxa"/>
                  <w:noWrap w:val="0"/>
                  <w:vAlign w:val="center"/>
                </w:tcPr>
                <w:p w14:paraId="2E9D9182">
                  <w:pPr>
                    <w:jc w:val="center"/>
                    <w:rPr>
                      <w:rFonts w:ascii="Times New Roman" w:hAnsi="Times New Roman"/>
                      <w:bCs/>
                      <w:color w:val="auto"/>
                      <w:szCs w:val="21"/>
                    </w:rPr>
                  </w:pPr>
                  <w:r>
                    <w:rPr>
                      <w:rFonts w:ascii="Times New Roman" w:hAnsi="Times New Roman"/>
                      <w:bCs/>
                      <w:color w:val="auto"/>
                      <w:szCs w:val="21"/>
                    </w:rPr>
                    <w:t>55</w:t>
                  </w:r>
                </w:p>
              </w:tc>
            </w:tr>
          </w:tbl>
          <w:p w14:paraId="32CD4206">
            <w:pPr>
              <w:spacing w:line="360" w:lineRule="auto"/>
              <w:ind w:firstLine="482" w:firstLineChars="200"/>
              <w:rPr>
                <w:rFonts w:ascii="Times New Roman" w:hAnsi="Times New Roman"/>
                <w:b/>
                <w:bCs/>
                <w:color w:val="auto"/>
                <w:sz w:val="24"/>
              </w:rPr>
            </w:pPr>
            <w:r>
              <w:rPr>
                <w:rFonts w:ascii="Times New Roman" w:hAnsi="Times New Roman"/>
                <w:b/>
                <w:bCs/>
                <w:color w:val="auto"/>
                <w:sz w:val="24"/>
              </w:rPr>
              <w:t>4、固体废物</w:t>
            </w:r>
          </w:p>
          <w:p w14:paraId="49897981">
            <w:pPr>
              <w:pStyle w:val="23"/>
              <w:adjustRightInd/>
              <w:spacing w:line="360" w:lineRule="auto"/>
              <w:ind w:firstLine="480" w:firstLineChars="200"/>
              <w:jc w:val="both"/>
              <w:rPr>
                <w:rFonts w:ascii="Times New Roman" w:hAnsi="Times New Roman"/>
                <w:color w:val="auto"/>
                <w:kern w:val="0"/>
                <w:szCs w:val="21"/>
              </w:rPr>
            </w:pPr>
            <w:r>
              <w:rPr>
                <w:rFonts w:ascii="Times New Roman" w:hAnsi="Times New Roman"/>
                <w:color w:val="auto"/>
              </w:rPr>
              <w:t>一般工业固废执行《一般工业固体废物贮存和填埋污染控制标准》（GB 18599-2020）</w:t>
            </w:r>
            <w:r>
              <w:rPr>
                <w:rFonts w:hint="eastAsia" w:ascii="Times New Roman" w:hAnsi="Times New Roman"/>
                <w:color w:val="auto"/>
                <w:lang w:eastAsia="zh-CN"/>
              </w:rPr>
              <w:t>、《中华人民共和国固体废弃物污染环境防治法》</w:t>
            </w:r>
            <w:r>
              <w:rPr>
                <w:rFonts w:ascii="Times New Roman" w:hAnsi="Times New Roman"/>
                <w:color w:val="auto"/>
              </w:rPr>
              <w:t>；危险废物暂存执行《危险废物贮存污染控制标准》（GB18597-2023）和《中华人民共和国固体废弃物污染环境防治法》中的有关规定。</w:t>
            </w:r>
          </w:p>
        </w:tc>
      </w:tr>
      <w:tr w14:paraId="459074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54" w:hRule="atLeast"/>
          <w:jc w:val="center"/>
        </w:trPr>
        <w:tc>
          <w:tcPr>
            <w:tcW w:w="454" w:type="dxa"/>
            <w:noWrap w:val="0"/>
            <w:vAlign w:val="center"/>
          </w:tcPr>
          <w:p w14:paraId="305B94D4">
            <w:pPr>
              <w:adjustRightInd w:val="0"/>
              <w:snapToGrid w:val="0"/>
              <w:jc w:val="center"/>
              <w:rPr>
                <w:rFonts w:ascii="Times New Roman" w:hAnsi="Times New Roman"/>
                <w:color w:val="auto"/>
                <w:kern w:val="0"/>
                <w:sz w:val="24"/>
              </w:rPr>
            </w:pPr>
            <w:r>
              <w:rPr>
                <w:rFonts w:ascii="Times New Roman" w:hAnsi="Times New Roman"/>
                <w:color w:val="auto"/>
                <w:kern w:val="0"/>
                <w:sz w:val="24"/>
              </w:rPr>
              <w:t>其他</w:t>
            </w:r>
          </w:p>
        </w:tc>
        <w:tc>
          <w:tcPr>
            <w:tcW w:w="8068" w:type="dxa"/>
            <w:noWrap w:val="0"/>
            <w:vAlign w:val="center"/>
          </w:tcPr>
          <w:p w14:paraId="152A3FCC">
            <w:pPr>
              <w:spacing w:line="360" w:lineRule="auto"/>
              <w:ind w:firstLine="480" w:firstLineChars="200"/>
              <w:rPr>
                <w:rFonts w:ascii="Times New Roman" w:hAnsi="Times New Roman"/>
                <w:color w:val="auto"/>
                <w:sz w:val="24"/>
              </w:rPr>
            </w:pPr>
            <w:r>
              <w:rPr>
                <w:rFonts w:ascii="Times New Roman" w:hAnsi="Times New Roman"/>
                <w:color w:val="auto"/>
                <w:sz w:val="24"/>
              </w:rPr>
              <w:t>本项目为M7472固体矿产地质勘查，施工期废气主要为汽车尾气、扬尘，运营期无废水排放，因此无需申请总量控制指标。</w:t>
            </w:r>
          </w:p>
          <w:p w14:paraId="54774E39">
            <w:pPr>
              <w:pStyle w:val="23"/>
              <w:rPr>
                <w:rFonts w:ascii="Times New Roman" w:hAnsi="Times New Roman"/>
                <w:color w:val="auto"/>
              </w:rPr>
            </w:pPr>
          </w:p>
          <w:p w14:paraId="31F201D6">
            <w:pPr>
              <w:pStyle w:val="23"/>
              <w:rPr>
                <w:rFonts w:ascii="Times New Roman" w:hAnsi="Times New Roman"/>
                <w:color w:val="auto"/>
              </w:rPr>
            </w:pPr>
          </w:p>
          <w:p w14:paraId="217B5B63">
            <w:pPr>
              <w:pStyle w:val="23"/>
              <w:rPr>
                <w:rFonts w:ascii="Times New Roman" w:hAnsi="Times New Roman"/>
                <w:color w:val="auto"/>
              </w:rPr>
            </w:pPr>
          </w:p>
          <w:p w14:paraId="733F28A9">
            <w:pPr>
              <w:pStyle w:val="23"/>
              <w:rPr>
                <w:rFonts w:ascii="Times New Roman" w:hAnsi="Times New Roman"/>
                <w:color w:val="auto"/>
              </w:rPr>
            </w:pPr>
          </w:p>
          <w:p w14:paraId="06858426">
            <w:pPr>
              <w:pStyle w:val="23"/>
              <w:rPr>
                <w:rFonts w:ascii="Times New Roman" w:hAnsi="Times New Roman"/>
                <w:color w:val="auto"/>
              </w:rPr>
            </w:pPr>
          </w:p>
          <w:p w14:paraId="1919FF92">
            <w:pPr>
              <w:pStyle w:val="23"/>
              <w:rPr>
                <w:rFonts w:ascii="Times New Roman" w:hAnsi="Times New Roman"/>
                <w:color w:val="auto"/>
              </w:rPr>
            </w:pPr>
          </w:p>
          <w:p w14:paraId="310F246B">
            <w:pPr>
              <w:pStyle w:val="23"/>
              <w:rPr>
                <w:rFonts w:ascii="Times New Roman" w:hAnsi="Times New Roman"/>
                <w:color w:val="auto"/>
              </w:rPr>
            </w:pPr>
          </w:p>
          <w:p w14:paraId="1795D45D">
            <w:pPr>
              <w:pStyle w:val="23"/>
              <w:rPr>
                <w:rFonts w:ascii="Times New Roman" w:hAnsi="Times New Roman"/>
                <w:color w:val="auto"/>
              </w:rPr>
            </w:pPr>
          </w:p>
          <w:p w14:paraId="1AE6649A">
            <w:pPr>
              <w:pStyle w:val="23"/>
              <w:rPr>
                <w:rFonts w:ascii="Times New Roman" w:hAnsi="Times New Roman"/>
                <w:color w:val="auto"/>
              </w:rPr>
            </w:pPr>
          </w:p>
          <w:p w14:paraId="22E0612A">
            <w:pPr>
              <w:pStyle w:val="23"/>
              <w:rPr>
                <w:rFonts w:ascii="Times New Roman" w:hAnsi="Times New Roman"/>
                <w:color w:val="auto"/>
              </w:rPr>
            </w:pPr>
          </w:p>
          <w:p w14:paraId="50C04530">
            <w:pPr>
              <w:pStyle w:val="23"/>
              <w:rPr>
                <w:rFonts w:ascii="Times New Roman" w:hAnsi="Times New Roman"/>
                <w:color w:val="auto"/>
              </w:rPr>
            </w:pPr>
          </w:p>
          <w:p w14:paraId="66951F4D">
            <w:pPr>
              <w:pStyle w:val="23"/>
              <w:rPr>
                <w:rFonts w:ascii="Times New Roman" w:hAnsi="Times New Roman"/>
                <w:color w:val="auto"/>
              </w:rPr>
            </w:pPr>
          </w:p>
          <w:p w14:paraId="094299B7">
            <w:pPr>
              <w:pStyle w:val="23"/>
              <w:rPr>
                <w:rFonts w:ascii="Times New Roman" w:hAnsi="Times New Roman"/>
                <w:color w:val="auto"/>
              </w:rPr>
            </w:pPr>
          </w:p>
          <w:p w14:paraId="5F398573">
            <w:pPr>
              <w:pStyle w:val="23"/>
              <w:rPr>
                <w:rFonts w:ascii="Times New Roman" w:hAnsi="Times New Roman"/>
                <w:color w:val="auto"/>
              </w:rPr>
            </w:pPr>
          </w:p>
          <w:p w14:paraId="2B27BB00">
            <w:pPr>
              <w:pStyle w:val="23"/>
              <w:rPr>
                <w:rFonts w:ascii="Times New Roman" w:hAnsi="Times New Roman"/>
                <w:color w:val="auto"/>
              </w:rPr>
            </w:pPr>
          </w:p>
          <w:p w14:paraId="4E54C1B6">
            <w:pPr>
              <w:pStyle w:val="23"/>
              <w:rPr>
                <w:rFonts w:ascii="Times New Roman" w:hAnsi="Times New Roman"/>
                <w:color w:val="auto"/>
              </w:rPr>
            </w:pPr>
          </w:p>
          <w:p w14:paraId="4F8ADDB4">
            <w:pPr>
              <w:pStyle w:val="23"/>
              <w:rPr>
                <w:rFonts w:ascii="Times New Roman" w:hAnsi="Times New Roman"/>
                <w:color w:val="auto"/>
              </w:rPr>
            </w:pPr>
          </w:p>
          <w:p w14:paraId="591C406F">
            <w:pPr>
              <w:pStyle w:val="23"/>
              <w:rPr>
                <w:rFonts w:ascii="Times New Roman" w:hAnsi="Times New Roman"/>
                <w:color w:val="auto"/>
              </w:rPr>
            </w:pPr>
          </w:p>
          <w:p w14:paraId="06FCDDD2">
            <w:pPr>
              <w:pStyle w:val="23"/>
              <w:rPr>
                <w:rFonts w:ascii="Times New Roman" w:hAnsi="Times New Roman"/>
                <w:color w:val="auto"/>
              </w:rPr>
            </w:pPr>
          </w:p>
          <w:p w14:paraId="57B7F61A">
            <w:pPr>
              <w:pStyle w:val="23"/>
              <w:rPr>
                <w:rFonts w:ascii="Times New Roman" w:hAnsi="Times New Roman"/>
                <w:color w:val="auto"/>
              </w:rPr>
            </w:pPr>
          </w:p>
          <w:p w14:paraId="361738F8">
            <w:pPr>
              <w:pStyle w:val="23"/>
              <w:rPr>
                <w:rFonts w:ascii="Times New Roman" w:hAnsi="Times New Roman"/>
                <w:color w:val="auto"/>
              </w:rPr>
            </w:pPr>
          </w:p>
          <w:p w14:paraId="0197A014">
            <w:pPr>
              <w:pStyle w:val="23"/>
              <w:rPr>
                <w:rFonts w:ascii="Times New Roman" w:hAnsi="Times New Roman"/>
                <w:color w:val="auto"/>
              </w:rPr>
            </w:pPr>
          </w:p>
          <w:p w14:paraId="23483296">
            <w:pPr>
              <w:pStyle w:val="23"/>
              <w:rPr>
                <w:rFonts w:ascii="Times New Roman" w:hAnsi="Times New Roman"/>
                <w:color w:val="auto"/>
              </w:rPr>
            </w:pPr>
          </w:p>
          <w:p w14:paraId="3659AA13">
            <w:pPr>
              <w:pStyle w:val="23"/>
              <w:rPr>
                <w:rFonts w:ascii="Times New Roman" w:hAnsi="Times New Roman"/>
                <w:color w:val="auto"/>
              </w:rPr>
            </w:pPr>
          </w:p>
          <w:p w14:paraId="5C4DB39B">
            <w:pPr>
              <w:pStyle w:val="23"/>
              <w:rPr>
                <w:rFonts w:ascii="Times New Roman" w:hAnsi="Times New Roman"/>
                <w:color w:val="auto"/>
              </w:rPr>
            </w:pPr>
          </w:p>
          <w:p w14:paraId="6930C191">
            <w:pPr>
              <w:pStyle w:val="23"/>
              <w:rPr>
                <w:rFonts w:ascii="Times New Roman" w:hAnsi="Times New Roman"/>
                <w:color w:val="auto"/>
              </w:rPr>
            </w:pPr>
          </w:p>
          <w:p w14:paraId="32A00350">
            <w:pPr>
              <w:pStyle w:val="23"/>
              <w:rPr>
                <w:rFonts w:ascii="Times New Roman" w:hAnsi="Times New Roman"/>
                <w:color w:val="auto"/>
              </w:rPr>
            </w:pPr>
          </w:p>
          <w:p w14:paraId="5051393F">
            <w:pPr>
              <w:pStyle w:val="23"/>
              <w:rPr>
                <w:rFonts w:ascii="Times New Roman" w:hAnsi="Times New Roman"/>
                <w:color w:val="auto"/>
              </w:rPr>
            </w:pPr>
          </w:p>
          <w:p w14:paraId="783B4436">
            <w:pPr>
              <w:pStyle w:val="23"/>
              <w:rPr>
                <w:rFonts w:ascii="Times New Roman" w:hAnsi="Times New Roman"/>
                <w:color w:val="auto"/>
              </w:rPr>
            </w:pPr>
          </w:p>
          <w:p w14:paraId="48480E3E">
            <w:pPr>
              <w:pStyle w:val="23"/>
              <w:rPr>
                <w:rFonts w:ascii="Times New Roman" w:hAnsi="Times New Roman"/>
                <w:color w:val="auto"/>
              </w:rPr>
            </w:pPr>
          </w:p>
          <w:p w14:paraId="291B9712">
            <w:pPr>
              <w:pStyle w:val="23"/>
              <w:rPr>
                <w:rFonts w:ascii="Times New Roman" w:hAnsi="Times New Roman"/>
                <w:color w:val="auto"/>
              </w:rPr>
            </w:pPr>
          </w:p>
          <w:p w14:paraId="4974711F">
            <w:pPr>
              <w:pStyle w:val="23"/>
              <w:rPr>
                <w:rFonts w:ascii="Times New Roman" w:hAnsi="Times New Roman"/>
                <w:color w:val="auto"/>
              </w:rPr>
            </w:pPr>
          </w:p>
          <w:p w14:paraId="20520E91">
            <w:pPr>
              <w:pStyle w:val="23"/>
              <w:rPr>
                <w:rFonts w:ascii="Times New Roman" w:hAnsi="Times New Roman"/>
                <w:color w:val="auto"/>
              </w:rPr>
            </w:pPr>
          </w:p>
          <w:p w14:paraId="7F9E3BDD">
            <w:pPr>
              <w:pStyle w:val="23"/>
              <w:rPr>
                <w:rFonts w:ascii="Times New Roman" w:hAnsi="Times New Roman"/>
                <w:color w:val="auto"/>
              </w:rPr>
            </w:pPr>
          </w:p>
          <w:p w14:paraId="4ABAE655">
            <w:pPr>
              <w:pStyle w:val="23"/>
              <w:rPr>
                <w:rFonts w:ascii="Times New Roman" w:hAnsi="Times New Roman"/>
                <w:color w:val="auto"/>
              </w:rPr>
            </w:pPr>
          </w:p>
          <w:p w14:paraId="2739CD65">
            <w:pPr>
              <w:pStyle w:val="23"/>
              <w:rPr>
                <w:rFonts w:ascii="Times New Roman" w:hAnsi="Times New Roman"/>
                <w:color w:val="auto"/>
              </w:rPr>
            </w:pPr>
          </w:p>
          <w:p w14:paraId="14810E9A">
            <w:pPr>
              <w:pStyle w:val="23"/>
              <w:rPr>
                <w:rFonts w:ascii="Times New Roman" w:hAnsi="Times New Roman"/>
                <w:color w:val="auto"/>
              </w:rPr>
            </w:pPr>
          </w:p>
          <w:p w14:paraId="01F9092F">
            <w:pPr>
              <w:pStyle w:val="23"/>
              <w:rPr>
                <w:rFonts w:ascii="Times New Roman" w:hAnsi="Times New Roman"/>
                <w:color w:val="auto"/>
              </w:rPr>
            </w:pPr>
          </w:p>
          <w:p w14:paraId="30240D0C">
            <w:pPr>
              <w:pStyle w:val="23"/>
              <w:rPr>
                <w:rFonts w:ascii="Times New Roman" w:hAnsi="Times New Roman"/>
                <w:color w:val="auto"/>
              </w:rPr>
            </w:pPr>
          </w:p>
          <w:p w14:paraId="1815FFA6">
            <w:pPr>
              <w:pStyle w:val="23"/>
              <w:rPr>
                <w:rFonts w:ascii="Times New Roman" w:hAnsi="Times New Roman"/>
                <w:color w:val="auto"/>
              </w:rPr>
            </w:pPr>
          </w:p>
          <w:p w14:paraId="7CBAB515">
            <w:pPr>
              <w:pStyle w:val="23"/>
              <w:rPr>
                <w:rFonts w:ascii="Times New Roman" w:hAnsi="Times New Roman"/>
                <w:color w:val="auto"/>
              </w:rPr>
            </w:pPr>
          </w:p>
          <w:p w14:paraId="38ED1C4D">
            <w:pPr>
              <w:pStyle w:val="23"/>
              <w:rPr>
                <w:rFonts w:ascii="Times New Roman" w:hAnsi="Times New Roman"/>
                <w:color w:val="auto"/>
              </w:rPr>
            </w:pPr>
          </w:p>
          <w:p w14:paraId="5427B2F9">
            <w:pPr>
              <w:pStyle w:val="23"/>
              <w:rPr>
                <w:rFonts w:ascii="Times New Roman" w:hAnsi="Times New Roman"/>
                <w:color w:val="auto"/>
              </w:rPr>
            </w:pPr>
          </w:p>
          <w:p w14:paraId="55F52DE5">
            <w:pPr>
              <w:pStyle w:val="23"/>
              <w:rPr>
                <w:rFonts w:ascii="Times New Roman" w:hAnsi="Times New Roman"/>
                <w:color w:val="auto"/>
              </w:rPr>
            </w:pPr>
          </w:p>
        </w:tc>
      </w:tr>
    </w:tbl>
    <w:p w14:paraId="125CD476">
      <w:pPr>
        <w:bidi w:val="0"/>
        <w:rPr>
          <w:color w:val="auto"/>
        </w:rPr>
      </w:pPr>
    </w:p>
    <w:p w14:paraId="73230B58">
      <w:pPr>
        <w:pStyle w:val="16"/>
        <w:spacing w:before="0" w:beforeAutospacing="0" w:after="0" w:afterAutospacing="0"/>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kern w:val="2"/>
          <w:sz w:val="36"/>
          <w:szCs w:val="36"/>
        </w:rPr>
        <w:br w:type="page"/>
      </w:r>
      <w:r>
        <w:rPr>
          <w:rFonts w:ascii="Times New Roman" w:hAnsi="Times New Roman" w:eastAsia="黑体"/>
          <w:snapToGrid w:val="0"/>
          <w:color w:val="auto"/>
          <w:sz w:val="30"/>
          <w:szCs w:val="30"/>
        </w:rPr>
        <w:t>四、生态环境影响分析</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146"/>
      </w:tblGrid>
      <w:tr w14:paraId="642992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3283" w:hRule="atLeast"/>
          <w:jc w:val="center"/>
        </w:trPr>
        <w:tc>
          <w:tcPr>
            <w:tcW w:w="456" w:type="dxa"/>
            <w:noWrap w:val="0"/>
            <w:tcMar>
              <w:left w:w="28" w:type="dxa"/>
              <w:right w:w="28" w:type="dxa"/>
            </w:tcMar>
            <w:vAlign w:val="center"/>
          </w:tcPr>
          <w:p w14:paraId="37B700E5">
            <w:pPr>
              <w:pStyle w:val="16"/>
              <w:adjustRightInd w:val="0"/>
              <w:snapToGrid w:val="0"/>
              <w:spacing w:before="0" w:beforeAutospacing="0" w:after="0" w:afterAutospacing="0"/>
              <w:jc w:val="center"/>
              <w:rPr>
                <w:rFonts w:ascii="Times New Roman" w:hAnsi="Times New Roman"/>
                <w:bCs/>
                <w:color w:val="auto"/>
                <w:kern w:val="2"/>
                <w:szCs w:val="24"/>
                <w:lang w:val="en-US" w:eastAsia="zh-CN"/>
              </w:rPr>
            </w:pPr>
            <w:bookmarkStart w:id="10" w:name="_Hlk49796138"/>
            <w:r>
              <w:rPr>
                <w:rFonts w:ascii="Times New Roman" w:hAnsi="Times New Roman"/>
                <w:bCs/>
                <w:color w:val="auto"/>
                <w:spacing w:val="10"/>
                <w:kern w:val="2"/>
                <w:szCs w:val="24"/>
                <w:lang w:val="en-US" w:eastAsia="zh-CN"/>
              </w:rPr>
              <w:t>施工期生态环境影响分析</w:t>
            </w:r>
            <w:bookmarkEnd w:id="10"/>
          </w:p>
        </w:tc>
        <w:tc>
          <w:tcPr>
            <w:tcW w:w="8146" w:type="dxa"/>
            <w:noWrap w:val="0"/>
            <w:vAlign w:val="top"/>
          </w:tcPr>
          <w:p w14:paraId="5737CB25">
            <w:pPr>
              <w:widowControl/>
              <w:spacing w:line="360" w:lineRule="auto"/>
              <w:ind w:firstLine="480" w:firstLineChars="200"/>
              <w:rPr>
                <w:rFonts w:ascii="Times New Roman" w:hAnsi="Times New Roman"/>
                <w:bCs/>
                <w:color w:val="auto"/>
                <w:sz w:val="24"/>
              </w:rPr>
            </w:pPr>
            <w:r>
              <w:rPr>
                <w:rFonts w:ascii="Times New Roman" w:hAnsi="Times New Roman"/>
                <w:bCs/>
                <w:color w:val="auto"/>
                <w:sz w:val="24"/>
              </w:rPr>
              <w:t>本项目拟建</w:t>
            </w:r>
            <w:r>
              <w:rPr>
                <w:rFonts w:hint="eastAsia" w:ascii="Times New Roman" w:hAnsi="Times New Roman"/>
                <w:bCs/>
                <w:color w:val="auto"/>
                <w:sz w:val="24"/>
                <w:lang w:val="en-US" w:eastAsia="zh-CN"/>
              </w:rPr>
              <w:t>13</w:t>
            </w:r>
            <w:r>
              <w:rPr>
                <w:rFonts w:ascii="Times New Roman" w:hAnsi="Times New Roman"/>
                <w:bCs/>
                <w:color w:val="auto"/>
                <w:sz w:val="24"/>
              </w:rPr>
              <w:t>口钻井，项目施工期约</w:t>
            </w:r>
            <w:r>
              <w:rPr>
                <w:rFonts w:hint="eastAsia" w:ascii="Times New Roman" w:hAnsi="Times New Roman"/>
                <w:bCs/>
                <w:color w:val="auto"/>
                <w:sz w:val="24"/>
                <w:lang w:val="en-US" w:eastAsia="zh-CN"/>
              </w:rPr>
              <w:t>1</w:t>
            </w:r>
            <w:r>
              <w:rPr>
                <w:rFonts w:ascii="Times New Roman" w:hAnsi="Times New Roman"/>
                <w:bCs/>
                <w:color w:val="auto"/>
                <w:sz w:val="24"/>
              </w:rPr>
              <w:t>年，</w:t>
            </w:r>
            <w:r>
              <w:rPr>
                <w:rFonts w:hint="eastAsia" w:ascii="Times New Roman" w:hAnsi="Times New Roman"/>
                <w:bCs/>
                <w:color w:val="auto"/>
                <w:sz w:val="24"/>
              </w:rPr>
              <w:t>施工人员</w:t>
            </w:r>
            <w:r>
              <w:rPr>
                <w:rFonts w:hint="eastAsia" w:ascii="Times New Roman" w:hAnsi="Times New Roman"/>
                <w:bCs/>
                <w:color w:val="auto"/>
                <w:sz w:val="24"/>
                <w:lang w:val="en-US" w:eastAsia="zh-CN"/>
              </w:rPr>
              <w:t>50</w:t>
            </w:r>
            <w:r>
              <w:rPr>
                <w:rFonts w:hint="eastAsia" w:ascii="Times New Roman" w:hAnsi="Times New Roman"/>
                <w:bCs/>
                <w:color w:val="auto"/>
                <w:sz w:val="24"/>
              </w:rPr>
              <w:t>人，</w:t>
            </w:r>
            <w:r>
              <w:rPr>
                <w:rFonts w:ascii="Times New Roman" w:hAnsi="Times New Roman"/>
                <w:bCs/>
                <w:color w:val="auto"/>
                <w:sz w:val="24"/>
              </w:rPr>
              <w:t>项目井场区不设置施工营地，施工区不提供食宿。施工活动的主要环境影响为废气、废水、噪声以及固体废物。</w:t>
            </w:r>
          </w:p>
          <w:p w14:paraId="230B0560">
            <w:pPr>
              <w:widowControl/>
              <w:spacing w:line="360" w:lineRule="auto"/>
              <w:ind w:firstLine="482" w:firstLineChars="200"/>
              <w:rPr>
                <w:rFonts w:ascii="Times New Roman" w:hAnsi="Times New Roman"/>
                <w:b/>
                <w:bCs/>
                <w:color w:val="auto"/>
                <w:sz w:val="24"/>
              </w:rPr>
            </w:pPr>
            <w:r>
              <w:rPr>
                <w:rFonts w:ascii="Times New Roman" w:hAnsi="Times New Roman"/>
                <w:b/>
                <w:bCs/>
                <w:color w:val="auto"/>
                <w:sz w:val="24"/>
              </w:rPr>
              <w:t>1、水污染环境影响</w:t>
            </w:r>
          </w:p>
          <w:p w14:paraId="7F7AA378">
            <w:pPr>
              <w:widowControl/>
              <w:spacing w:line="360" w:lineRule="auto"/>
              <w:ind w:firstLine="480" w:firstLineChars="200"/>
              <w:rPr>
                <w:rFonts w:ascii="Times New Roman" w:hAnsi="Times New Roman"/>
                <w:b/>
                <w:color w:val="auto"/>
                <w:szCs w:val="21"/>
              </w:rPr>
            </w:pPr>
            <w:r>
              <w:rPr>
                <w:rFonts w:ascii="Times New Roman" w:hAnsi="Times New Roman"/>
                <w:color w:val="auto"/>
                <w:sz w:val="24"/>
              </w:rPr>
              <w:t>施工期生产废水主要来源于钻井过程中钻井泥浆废水，主要污染物为悬浮物、石油类、COD等。钻井废水全部进入每个井场设置一个废</w:t>
            </w:r>
            <w:r>
              <w:rPr>
                <w:rFonts w:hint="eastAsia" w:ascii="Times New Roman" w:hAnsi="Times New Roman"/>
                <w:color w:val="auto"/>
                <w:sz w:val="24"/>
                <w:lang w:val="en-US" w:eastAsia="zh-CN"/>
              </w:rPr>
              <w:t>浆</w:t>
            </w:r>
            <w:r>
              <w:rPr>
                <w:rFonts w:ascii="Times New Roman" w:hAnsi="Times New Roman"/>
                <w:color w:val="auto"/>
                <w:sz w:val="24"/>
              </w:rPr>
              <w:t>池，容积为40m</w:t>
            </w:r>
            <w:r>
              <w:rPr>
                <w:rFonts w:ascii="Times New Roman" w:hAnsi="Times New Roman"/>
                <w:color w:val="auto"/>
                <w:sz w:val="24"/>
                <w:vertAlign w:val="superscript"/>
              </w:rPr>
              <w:t>3</w:t>
            </w:r>
            <w:r>
              <w:rPr>
                <w:rFonts w:ascii="Times New Roman" w:hAnsi="Times New Roman"/>
                <w:color w:val="auto"/>
                <w:sz w:val="24"/>
              </w:rPr>
              <w:t>（4m×5m×2m，废浆池防渗参数为：等效粘土防渗层Mb≥6.0m，防渗系数≤10</w:t>
            </w:r>
            <w:r>
              <w:rPr>
                <w:rFonts w:ascii="Times New Roman" w:hAnsi="Times New Roman"/>
                <w:color w:val="auto"/>
                <w:sz w:val="24"/>
                <w:vertAlign w:val="superscript"/>
              </w:rPr>
              <w:t>-10</w:t>
            </w:r>
            <w:r>
              <w:rPr>
                <w:rFonts w:ascii="Times New Roman" w:hAnsi="Times New Roman"/>
                <w:color w:val="auto"/>
                <w:sz w:val="24"/>
              </w:rPr>
              <w:t>cm/s），一个干化池，容积为40m</w:t>
            </w:r>
            <w:r>
              <w:rPr>
                <w:rFonts w:ascii="Times New Roman" w:hAnsi="Times New Roman"/>
                <w:color w:val="auto"/>
                <w:sz w:val="24"/>
                <w:vertAlign w:val="superscript"/>
              </w:rPr>
              <w:t>3</w:t>
            </w:r>
            <w:r>
              <w:rPr>
                <w:rFonts w:ascii="Times New Roman" w:hAnsi="Times New Roman"/>
                <w:color w:val="auto"/>
                <w:sz w:val="24"/>
              </w:rPr>
              <w:t>（4m×5m×2m，废浆池防渗参数为：等效粘土防渗层Mb≥6.0m，防渗系数≤10</w:t>
            </w:r>
            <w:r>
              <w:rPr>
                <w:rFonts w:ascii="Times New Roman" w:hAnsi="Times New Roman"/>
                <w:color w:val="auto"/>
                <w:sz w:val="24"/>
                <w:vertAlign w:val="superscript"/>
              </w:rPr>
              <w:t>-10</w:t>
            </w:r>
            <w:r>
              <w:rPr>
                <w:rFonts w:ascii="Times New Roman" w:hAnsi="Times New Roman"/>
                <w:color w:val="auto"/>
                <w:sz w:val="24"/>
              </w:rPr>
              <w:t>cm/s）部分蒸发，上清液可循环利用于钻井，本项目不以矿物油为连续相配制钻井泥浆，项目采用纤维素等进行钻井工作，泥浆干化后属于一般固废，作为周边路基维护的建材使用。设备冲洗废水排入沉淀池循环使用。钻井期生产废水不外排，不会对周边地表水体产生影响；施工人员租住附近民房，项目井场人员用水量较少，</w:t>
            </w:r>
            <w:r>
              <w:rPr>
                <w:rFonts w:ascii="Times New Roman" w:hAnsi="Times New Roman"/>
                <w:bCs/>
                <w:color w:val="auto"/>
                <w:sz w:val="24"/>
              </w:rPr>
              <w:t>项目废水为生活污水，废水产生量相对较少，废水水质简单，结合建设项目所在区域暂无集中式污水处理厂集中处理，</w:t>
            </w:r>
            <w:r>
              <w:rPr>
                <w:rFonts w:hint="eastAsia" w:ascii="Times New Roman" w:hAnsi="Times New Roman"/>
                <w:bCs/>
                <w:color w:val="auto"/>
                <w:sz w:val="24"/>
              </w:rPr>
              <w:t>经场地化粪池预处理后，</w:t>
            </w:r>
            <w:r>
              <w:rPr>
                <w:rFonts w:ascii="Times New Roman" w:hAnsi="Times New Roman"/>
                <w:bCs/>
                <w:color w:val="auto"/>
                <w:sz w:val="24"/>
              </w:rPr>
              <w:t>最终用于周边农田施肥，不外排，对当地地表水环境影响较小，在当地环境可接受范围内。</w:t>
            </w:r>
          </w:p>
          <w:p w14:paraId="34B410F9">
            <w:pPr>
              <w:widowControl/>
              <w:spacing w:line="360" w:lineRule="auto"/>
              <w:ind w:firstLine="482" w:firstLineChars="200"/>
              <w:rPr>
                <w:rFonts w:ascii="Times New Roman" w:hAnsi="Times New Roman"/>
                <w:b/>
                <w:bCs/>
                <w:color w:val="auto"/>
                <w:kern w:val="0"/>
                <w:sz w:val="24"/>
                <w:lang w:bidi="ar"/>
              </w:rPr>
            </w:pPr>
            <w:r>
              <w:rPr>
                <w:rFonts w:ascii="Times New Roman" w:hAnsi="Times New Roman"/>
                <w:b/>
                <w:bCs/>
                <w:color w:val="auto"/>
                <w:sz w:val="24"/>
              </w:rPr>
              <w:t>2、</w:t>
            </w:r>
            <w:r>
              <w:rPr>
                <w:rFonts w:ascii="Times New Roman" w:hAnsi="Times New Roman"/>
                <w:b/>
                <w:bCs/>
                <w:color w:val="auto"/>
                <w:kern w:val="0"/>
                <w:sz w:val="24"/>
                <w:lang w:bidi="ar"/>
              </w:rPr>
              <w:t>大气污染环境影响</w:t>
            </w:r>
          </w:p>
          <w:p w14:paraId="1C5E0A77">
            <w:pPr>
              <w:pStyle w:val="23"/>
              <w:adjustRightInd/>
              <w:spacing w:line="360" w:lineRule="auto"/>
              <w:ind w:firstLine="480" w:firstLineChars="200"/>
              <w:jc w:val="both"/>
              <w:rPr>
                <w:rFonts w:ascii="Times New Roman" w:hAnsi="Times New Roman"/>
                <w:color w:val="auto"/>
                <w:lang w:bidi="ar"/>
              </w:rPr>
            </w:pPr>
            <w:r>
              <w:rPr>
                <w:rFonts w:ascii="Times New Roman" w:hAnsi="Times New Roman"/>
                <w:color w:val="auto"/>
                <w:lang w:bidi="ar"/>
              </w:rPr>
              <w:t>施工期大气环境影响主要来源于施工扬尘与车辆尾气。淮南市为PM</w:t>
            </w:r>
            <w:r>
              <w:rPr>
                <w:rFonts w:ascii="Times New Roman" w:hAnsi="Times New Roman"/>
                <w:color w:val="auto"/>
                <w:vertAlign w:val="subscript"/>
                <w:lang w:bidi="ar"/>
              </w:rPr>
              <w:t>2.5</w:t>
            </w:r>
            <w:r>
              <w:rPr>
                <w:rFonts w:ascii="Times New Roman" w:hAnsi="Times New Roman"/>
                <w:color w:val="auto"/>
                <w:lang w:bidi="ar"/>
              </w:rPr>
              <w:t>超标地区，施工时若不采取有效的防治措施，会对区域大气环境造成威胁。</w:t>
            </w:r>
          </w:p>
          <w:p w14:paraId="29D28DC9">
            <w:pPr>
              <w:pStyle w:val="23"/>
              <w:adjustRightInd/>
              <w:spacing w:line="360" w:lineRule="auto"/>
              <w:ind w:firstLine="480" w:firstLineChars="200"/>
              <w:jc w:val="both"/>
              <w:rPr>
                <w:rFonts w:ascii="Times New Roman" w:hAnsi="Times New Roman"/>
                <w:color w:val="auto"/>
                <w:lang w:bidi="ar"/>
              </w:rPr>
            </w:pPr>
            <w:r>
              <w:rPr>
                <w:rFonts w:ascii="Times New Roman" w:hAnsi="Times New Roman"/>
                <w:color w:val="auto"/>
                <w:lang w:bidi="ar"/>
              </w:rPr>
              <w:t>（1）扬尘</w:t>
            </w:r>
          </w:p>
          <w:p w14:paraId="03F15484">
            <w:pPr>
              <w:pStyle w:val="23"/>
              <w:spacing w:line="360" w:lineRule="auto"/>
              <w:ind w:firstLine="480" w:firstLineChars="200"/>
              <w:jc w:val="both"/>
              <w:rPr>
                <w:rFonts w:ascii="Times New Roman" w:hAnsi="Times New Roman"/>
                <w:color w:val="auto"/>
                <w:lang w:bidi="ar"/>
              </w:rPr>
            </w:pPr>
            <w:r>
              <w:rPr>
                <w:rFonts w:ascii="Times New Roman" w:hAnsi="Times New Roman"/>
                <w:color w:val="auto"/>
                <w:lang w:bidi="ar"/>
              </w:rPr>
              <w:t>扬尘主要来自施工现场堆场、运输车辆、施工机械作业过程中扬起的灰尘。根据经验数据，在风速为1.2m/s～2.4m/s情况下，土方和灰土的堆放、装卸、运输、施工时距离50～150m处下风方向粉尘浓度为0.5～1.5mg/m</w:t>
            </w:r>
            <w:r>
              <w:rPr>
                <w:rFonts w:ascii="Times New Roman" w:hAnsi="Times New Roman"/>
                <w:color w:val="auto"/>
                <w:vertAlign w:val="superscript"/>
                <w:lang w:bidi="ar"/>
              </w:rPr>
              <w:t>3</w:t>
            </w:r>
            <w:r>
              <w:rPr>
                <w:rFonts w:ascii="Times New Roman" w:hAnsi="Times New Roman"/>
                <w:color w:val="auto"/>
                <w:lang w:bidi="ar"/>
              </w:rPr>
              <w:t>，通常情况下，影响范围在100m以内。项目所在区域的年平均风速为2.3m/s，风速小，产生的扬尘量小，同时在易产尘施工点采取湿式作业、堆场采取篷布遮盖或表面洒水抑尘等抑尘措施、厂区道路采取定点洒水等措施，每天洒水4～5次进行抑尘，可有效降低扬尘产生量，并可将颗粒物污染距离缩小到20～50m范围。钻前工程施工时间很短，完成后影响即可消失，无长期影响，对区域环境影响小。</w:t>
            </w:r>
          </w:p>
          <w:p w14:paraId="080C5C7C">
            <w:pPr>
              <w:pStyle w:val="23"/>
              <w:adjustRightInd/>
              <w:spacing w:line="360" w:lineRule="auto"/>
              <w:ind w:firstLine="480" w:firstLineChars="200"/>
              <w:jc w:val="both"/>
              <w:rPr>
                <w:rFonts w:ascii="Times New Roman" w:hAnsi="Times New Roman"/>
                <w:color w:val="auto"/>
                <w:lang w:bidi="ar"/>
              </w:rPr>
            </w:pPr>
            <w:r>
              <w:rPr>
                <w:rFonts w:ascii="Times New Roman" w:hAnsi="Times New Roman"/>
                <w:color w:val="auto"/>
                <w:lang w:bidi="ar"/>
              </w:rPr>
              <w:t>（</w:t>
            </w:r>
            <w:r>
              <w:rPr>
                <w:rFonts w:hint="eastAsia" w:ascii="Times New Roman" w:hAnsi="Times New Roman"/>
                <w:color w:val="auto"/>
                <w:lang w:val="en-US" w:eastAsia="zh-CN" w:bidi="ar"/>
              </w:rPr>
              <w:t>2</w:t>
            </w:r>
            <w:r>
              <w:rPr>
                <w:rFonts w:ascii="Times New Roman" w:hAnsi="Times New Roman"/>
                <w:color w:val="auto"/>
                <w:lang w:bidi="ar"/>
              </w:rPr>
              <w:t>）车辆尾气</w:t>
            </w:r>
          </w:p>
          <w:p w14:paraId="1B0D3429">
            <w:pPr>
              <w:pStyle w:val="23"/>
              <w:adjustRightInd/>
              <w:spacing w:line="360" w:lineRule="auto"/>
              <w:ind w:firstLine="480" w:firstLineChars="200"/>
              <w:jc w:val="both"/>
              <w:rPr>
                <w:rFonts w:ascii="Times New Roman" w:hAnsi="Times New Roman"/>
                <w:color w:val="auto"/>
                <w:lang w:bidi="ar"/>
              </w:rPr>
            </w:pPr>
            <w:r>
              <w:rPr>
                <w:rFonts w:ascii="Times New Roman" w:hAnsi="Times New Roman"/>
                <w:color w:val="auto"/>
                <w:lang w:bidi="ar"/>
              </w:rPr>
              <w:t>施工车辆废气污染物主要是氮氧化物、一氧化碳，由于施工期车辆具有不确定性，且排放量较小、影响持续时间较短。故车辆排放的尾气对环境影响较小。</w:t>
            </w:r>
          </w:p>
          <w:p w14:paraId="7CE8EBF0">
            <w:pPr>
              <w:pStyle w:val="5"/>
              <w:spacing w:line="360" w:lineRule="auto"/>
              <w:ind w:firstLine="482"/>
              <w:rPr>
                <w:rFonts w:ascii="Times New Roman" w:hAnsi="Times New Roman"/>
                <w:b/>
                <w:bCs/>
                <w:color w:val="auto"/>
                <w:sz w:val="24"/>
                <w:lang w:val="en-US" w:eastAsia="zh-CN"/>
              </w:rPr>
            </w:pPr>
            <w:r>
              <w:rPr>
                <w:rFonts w:ascii="Times New Roman" w:hAnsi="Times New Roman"/>
                <w:b/>
                <w:bCs/>
                <w:color w:val="auto"/>
                <w:sz w:val="24"/>
                <w:lang w:val="en-US" w:eastAsia="zh-CN"/>
              </w:rPr>
              <w:t>3、</w:t>
            </w:r>
            <w:r>
              <w:rPr>
                <w:rFonts w:ascii="Times New Roman" w:hAnsi="Times New Roman"/>
                <w:b/>
                <w:bCs/>
                <w:color w:val="auto"/>
                <w:kern w:val="0"/>
                <w:sz w:val="24"/>
                <w:lang w:val="en-US" w:eastAsia="zh-CN" w:bidi="ar"/>
              </w:rPr>
              <w:t>噪声污染环境影响分析</w:t>
            </w:r>
          </w:p>
          <w:p w14:paraId="5895E5E3">
            <w:pPr>
              <w:spacing w:line="360" w:lineRule="auto"/>
              <w:ind w:firstLine="480" w:firstLineChars="200"/>
              <w:rPr>
                <w:rFonts w:ascii="Times New Roman" w:hAnsi="Times New Roman"/>
                <w:bCs/>
                <w:color w:val="auto"/>
                <w:sz w:val="24"/>
              </w:rPr>
            </w:pPr>
            <w:r>
              <w:rPr>
                <w:rFonts w:ascii="Times New Roman" w:hAnsi="Times New Roman"/>
                <w:bCs/>
                <w:color w:val="auto"/>
                <w:sz w:val="24"/>
              </w:rPr>
              <w:t>本项目主要噪声源来自于钻机等机械设备运行时产生，本项目噪声预测结果如下：</w:t>
            </w:r>
          </w:p>
          <w:p w14:paraId="2C794FCC">
            <w:pPr>
              <w:spacing w:line="360" w:lineRule="auto"/>
              <w:ind w:firstLine="480" w:firstLineChars="200"/>
              <w:rPr>
                <w:rFonts w:ascii="Times New Roman" w:hAnsi="Times New Roman"/>
                <w:bCs/>
                <w:color w:val="auto"/>
                <w:sz w:val="24"/>
              </w:rPr>
            </w:pPr>
            <w:r>
              <w:rPr>
                <w:rFonts w:ascii="Times New Roman" w:hAnsi="Times New Roman"/>
                <w:bCs/>
                <w:color w:val="auto"/>
                <w:sz w:val="24"/>
              </w:rPr>
              <w:t>根据项目设备声源特征和声学环境的特点，同时根据业主提供资料，视设备声源为点源，声场为半自由声场，依据《环境影响评价技术导则</w:t>
            </w:r>
            <w:r>
              <w:rPr>
                <w:rFonts w:hint="eastAsia" w:ascii="Times New Roman" w:hAnsi="Times New Roman"/>
                <w:bCs/>
                <w:color w:val="auto"/>
                <w:sz w:val="24"/>
                <w:lang w:val="en-US" w:eastAsia="zh-CN"/>
              </w:rPr>
              <w:t xml:space="preserve"> </w:t>
            </w:r>
            <w:r>
              <w:rPr>
                <w:rFonts w:ascii="Times New Roman" w:hAnsi="Times New Roman"/>
                <w:bCs/>
                <w:color w:val="auto"/>
                <w:sz w:val="24"/>
              </w:rPr>
              <w:t>声环境》</w:t>
            </w:r>
            <w:r>
              <w:rPr>
                <w:rFonts w:ascii="Times New Roman" w:hAnsi="Times New Roman"/>
                <w:color w:val="auto"/>
                <w:kern w:val="24"/>
                <w:sz w:val="24"/>
              </w:rPr>
              <w:t>（HJ2.4</w:t>
            </w:r>
            <w:r>
              <w:rPr>
                <w:rFonts w:hint="eastAsia" w:ascii="Times New Roman" w:hAnsi="Times New Roman"/>
                <w:color w:val="auto"/>
                <w:kern w:val="24"/>
                <w:sz w:val="24"/>
                <w:lang w:val="en-US" w:eastAsia="zh-CN"/>
              </w:rPr>
              <w:t>-</w:t>
            </w:r>
            <w:r>
              <w:rPr>
                <w:rFonts w:ascii="Times New Roman" w:hAnsi="Times New Roman"/>
                <w:color w:val="auto"/>
                <w:kern w:val="24"/>
                <w:sz w:val="24"/>
              </w:rPr>
              <w:t>2021）</w:t>
            </w:r>
            <w:r>
              <w:rPr>
                <w:rFonts w:ascii="Times New Roman" w:hAnsi="Times New Roman"/>
                <w:bCs/>
                <w:color w:val="auto"/>
                <w:sz w:val="24"/>
              </w:rPr>
              <w:t>，选用无指向性声源几何发散衰减预测模式预测厂界噪声。</w:t>
            </w:r>
          </w:p>
          <w:p w14:paraId="2862C2AF">
            <w:pPr>
              <w:adjustRightInd w:val="0"/>
              <w:snapToGrid w:val="0"/>
              <w:spacing w:line="360" w:lineRule="auto"/>
              <w:ind w:firstLine="480" w:firstLineChars="200"/>
              <w:rPr>
                <w:rFonts w:ascii="Times New Roman" w:hAnsi="Times New Roman"/>
                <w:bCs/>
                <w:color w:val="auto"/>
                <w:sz w:val="24"/>
              </w:rPr>
            </w:pPr>
            <w:r>
              <w:rPr>
                <w:rFonts w:ascii="Times New Roman" w:hAnsi="Times New Roman"/>
                <w:bCs/>
                <w:color w:val="auto"/>
                <w:sz w:val="24"/>
              </w:rPr>
              <w:t>（1）点声源预测模式</w:t>
            </w:r>
          </w:p>
          <w:p w14:paraId="25ABA8AB">
            <w:pPr>
              <w:adjustRightInd w:val="0"/>
              <w:snapToGrid w:val="0"/>
              <w:spacing w:line="360" w:lineRule="auto"/>
              <w:ind w:firstLine="480" w:firstLineChars="200"/>
              <w:rPr>
                <w:rFonts w:ascii="Times New Roman" w:hAnsi="Times New Roman"/>
                <w:bCs/>
                <w:color w:val="auto"/>
                <w:sz w:val="24"/>
              </w:rPr>
            </w:pPr>
            <w:r>
              <w:rPr>
                <w:rFonts w:ascii="Times New Roman" w:hAnsi="Times New Roman"/>
                <w:bCs/>
                <w:color w:val="auto"/>
                <w:sz w:val="24"/>
              </w:rPr>
              <w:t>L A(r) = L WA – 20lg (r/r 0 )</w:t>
            </w:r>
          </w:p>
          <w:p w14:paraId="3665D2DC">
            <w:pPr>
              <w:adjustRightInd w:val="0"/>
              <w:snapToGrid w:val="0"/>
              <w:spacing w:line="360" w:lineRule="auto"/>
              <w:ind w:firstLine="480" w:firstLineChars="200"/>
              <w:rPr>
                <w:rFonts w:ascii="Times New Roman" w:hAnsi="Times New Roman"/>
                <w:bCs/>
                <w:color w:val="auto"/>
                <w:sz w:val="24"/>
              </w:rPr>
            </w:pPr>
            <w:r>
              <w:rPr>
                <w:rFonts w:ascii="Times New Roman" w:hAnsi="Times New Roman"/>
                <w:bCs/>
                <w:color w:val="auto"/>
                <w:sz w:val="24"/>
              </w:rPr>
              <w:t>式中：L A(r) ——距噪声源 r 处的声级（dB(A)）；</w:t>
            </w:r>
          </w:p>
          <w:p w14:paraId="07DC8592">
            <w:pPr>
              <w:adjustRightInd w:val="0"/>
              <w:snapToGrid w:val="0"/>
              <w:spacing w:line="360" w:lineRule="auto"/>
              <w:ind w:firstLine="480" w:firstLineChars="200"/>
              <w:rPr>
                <w:rFonts w:ascii="Times New Roman" w:hAnsi="Times New Roman"/>
                <w:bCs/>
                <w:color w:val="auto"/>
                <w:sz w:val="24"/>
              </w:rPr>
            </w:pPr>
            <w:r>
              <w:rPr>
                <w:rFonts w:ascii="Times New Roman" w:hAnsi="Times New Roman"/>
                <w:bCs/>
                <w:color w:val="auto"/>
                <w:sz w:val="24"/>
              </w:rPr>
              <w:t>L WA ——点声源的 A 声级（dB(A)）；</w:t>
            </w:r>
          </w:p>
          <w:p w14:paraId="10D51630">
            <w:pPr>
              <w:adjustRightInd w:val="0"/>
              <w:snapToGrid w:val="0"/>
              <w:spacing w:line="360" w:lineRule="auto"/>
              <w:ind w:firstLine="480" w:firstLineChars="200"/>
              <w:rPr>
                <w:rFonts w:ascii="Times New Roman" w:hAnsi="Times New Roman"/>
                <w:bCs/>
                <w:color w:val="auto"/>
                <w:sz w:val="24"/>
              </w:rPr>
            </w:pPr>
            <w:r>
              <w:rPr>
                <w:rFonts w:ascii="Times New Roman" w:hAnsi="Times New Roman"/>
                <w:bCs/>
                <w:color w:val="auto"/>
                <w:sz w:val="24"/>
              </w:rPr>
              <w:t>r——预测点与声源之间的距离（m）；</w:t>
            </w:r>
          </w:p>
          <w:p w14:paraId="2615F881">
            <w:pPr>
              <w:adjustRightInd w:val="0"/>
              <w:snapToGrid w:val="0"/>
              <w:spacing w:line="360" w:lineRule="auto"/>
              <w:ind w:firstLine="480" w:firstLineChars="200"/>
              <w:rPr>
                <w:rFonts w:ascii="Times New Roman" w:hAnsi="Times New Roman"/>
                <w:bCs/>
                <w:color w:val="auto"/>
                <w:sz w:val="24"/>
              </w:rPr>
            </w:pPr>
            <w:r>
              <w:rPr>
                <w:rFonts w:ascii="Times New Roman" w:hAnsi="Times New Roman"/>
                <w:bCs/>
                <w:color w:val="auto"/>
                <w:sz w:val="24"/>
              </w:rPr>
              <w:t>r 0 ——参考处与声源之间的距离（m）；</w:t>
            </w:r>
          </w:p>
          <w:p w14:paraId="0EAE739E">
            <w:pPr>
              <w:adjustRightInd w:val="0"/>
              <w:snapToGrid w:val="0"/>
              <w:spacing w:line="360" w:lineRule="auto"/>
              <w:ind w:firstLine="480" w:firstLineChars="200"/>
              <w:rPr>
                <w:rFonts w:ascii="Times New Roman" w:hAnsi="Times New Roman"/>
                <w:bCs/>
                <w:color w:val="auto"/>
                <w:sz w:val="24"/>
              </w:rPr>
            </w:pPr>
            <w:r>
              <w:rPr>
                <w:rFonts w:ascii="Times New Roman" w:hAnsi="Times New Roman"/>
                <w:bCs/>
                <w:color w:val="auto"/>
                <w:sz w:val="24"/>
              </w:rPr>
              <w:t>（2）多声源叠加模式式中：</w:t>
            </w:r>
          </w:p>
          <w:p w14:paraId="792EE3FF">
            <w:pPr>
              <w:adjustRightInd w:val="0"/>
              <w:snapToGrid w:val="0"/>
              <w:spacing w:line="360" w:lineRule="auto"/>
              <w:jc w:val="center"/>
              <w:rPr>
                <w:rFonts w:ascii="Times New Roman" w:hAnsi="Times New Roman"/>
                <w:color w:val="auto"/>
                <w:kern w:val="0"/>
                <w:sz w:val="24"/>
              </w:rPr>
            </w:pPr>
            <w:r>
              <w:rPr>
                <w:rFonts w:ascii="Times New Roman" w:hAnsi="Times New Roman"/>
                <w:color w:val="auto"/>
                <w:kern w:val="0"/>
                <w:sz w:val="24"/>
              </w:rPr>
              <w:drawing>
                <wp:inline distT="0" distB="0" distL="114300" distR="114300">
                  <wp:extent cx="1457325" cy="619125"/>
                  <wp:effectExtent l="0" t="0" r="9525" b="9525"/>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29"/>
                          <a:stretch>
                            <a:fillRect/>
                          </a:stretch>
                        </pic:blipFill>
                        <pic:spPr>
                          <a:xfrm>
                            <a:off x="0" y="0"/>
                            <a:ext cx="1457325" cy="619125"/>
                          </a:xfrm>
                          <a:prstGeom prst="rect">
                            <a:avLst/>
                          </a:prstGeom>
                          <a:noFill/>
                          <a:ln>
                            <a:noFill/>
                          </a:ln>
                        </pic:spPr>
                      </pic:pic>
                    </a:graphicData>
                  </a:graphic>
                </wp:inline>
              </w:drawing>
            </w:r>
          </w:p>
          <w:p w14:paraId="2B1B5C1A">
            <w:pPr>
              <w:pStyle w:val="23"/>
              <w:spacing w:line="360" w:lineRule="auto"/>
              <w:ind w:firstLine="480" w:firstLineChars="200"/>
              <w:rPr>
                <w:rFonts w:ascii="Times New Roman" w:hAnsi="Times New Roman"/>
                <w:color w:val="auto"/>
              </w:rPr>
            </w:pPr>
            <w:r>
              <w:rPr>
                <w:rFonts w:ascii="Times New Roman" w:hAnsi="Times New Roman"/>
                <w:color w:val="auto"/>
              </w:rPr>
              <w:t>L 0 ——叠加后总声压级，dB(A)；</w:t>
            </w:r>
          </w:p>
          <w:p w14:paraId="20F6A1C4">
            <w:pPr>
              <w:pStyle w:val="23"/>
              <w:spacing w:line="360" w:lineRule="auto"/>
              <w:ind w:firstLine="480" w:firstLineChars="200"/>
              <w:rPr>
                <w:rFonts w:ascii="Times New Roman" w:hAnsi="Times New Roman"/>
                <w:color w:val="auto"/>
              </w:rPr>
            </w:pPr>
            <w:r>
              <w:rPr>
                <w:rFonts w:ascii="Times New Roman" w:hAnsi="Times New Roman"/>
                <w:color w:val="auto"/>
              </w:rPr>
              <w:t>n——声源级数；</w:t>
            </w:r>
          </w:p>
          <w:p w14:paraId="2FABBAEE">
            <w:pPr>
              <w:pStyle w:val="23"/>
              <w:spacing w:line="360" w:lineRule="auto"/>
              <w:ind w:firstLine="480" w:firstLineChars="200"/>
              <w:rPr>
                <w:rFonts w:ascii="Times New Roman" w:hAnsi="Times New Roman"/>
                <w:color w:val="auto"/>
              </w:rPr>
            </w:pPr>
            <w:r>
              <w:rPr>
                <w:rFonts w:ascii="Times New Roman" w:hAnsi="Times New Roman"/>
                <w:color w:val="auto"/>
              </w:rPr>
              <w:t>Li——各声源对某点的声压值，dB(A)。</w:t>
            </w:r>
          </w:p>
          <w:p w14:paraId="6F203E7C">
            <w:pPr>
              <w:pStyle w:val="23"/>
              <w:spacing w:line="360" w:lineRule="auto"/>
              <w:ind w:firstLine="480" w:firstLineChars="200"/>
              <w:rPr>
                <w:rFonts w:ascii="Times New Roman" w:hAnsi="Times New Roman"/>
                <w:color w:val="auto"/>
              </w:rPr>
            </w:pPr>
            <w:r>
              <w:rPr>
                <w:rFonts w:ascii="Times New Roman" w:hAnsi="Times New Roman"/>
                <w:color w:val="auto"/>
              </w:rPr>
              <w:t>（3）预测结果分析</w:t>
            </w:r>
          </w:p>
          <w:p w14:paraId="0836A882">
            <w:pPr>
              <w:pStyle w:val="23"/>
              <w:spacing w:line="360" w:lineRule="auto"/>
              <w:ind w:firstLine="480" w:firstLineChars="200"/>
              <w:rPr>
                <w:rFonts w:ascii="Times New Roman" w:hAnsi="Times New Roman"/>
                <w:color w:val="auto"/>
              </w:rPr>
            </w:pPr>
            <w:r>
              <w:rPr>
                <w:rFonts w:ascii="宋体" w:hAnsi="Times New Roman"/>
                <w:color w:val="auto"/>
              </w:rPr>
              <w:t>①</w:t>
            </w:r>
            <w:r>
              <w:rPr>
                <w:rFonts w:ascii="Times New Roman" w:hAnsi="Times New Roman"/>
                <w:color w:val="auto"/>
              </w:rPr>
              <w:t>单台施工机械在满负荷工作时不同距离处的噪声级预测结果见下表。</w:t>
            </w:r>
          </w:p>
          <w:p w14:paraId="5D97C9BB">
            <w:pPr>
              <w:adjustRightInd w:val="0"/>
              <w:snapToGrid w:val="0"/>
              <w:spacing w:line="360" w:lineRule="auto"/>
              <w:jc w:val="center"/>
              <w:rPr>
                <w:rFonts w:ascii="Times New Roman" w:hAnsi="Times New Roman"/>
                <w:b/>
                <w:color w:val="auto"/>
                <w:szCs w:val="21"/>
              </w:rPr>
            </w:pPr>
            <w:r>
              <w:rPr>
                <w:rFonts w:ascii="Times New Roman" w:hAnsi="Times New Roman"/>
                <w:b/>
                <w:color w:val="auto"/>
                <w:szCs w:val="21"/>
              </w:rPr>
              <w:t>表4-1 工程各类噪声源不同距离处噪声值 (单位：dB(A))</w:t>
            </w:r>
          </w:p>
          <w:tbl>
            <w:tblPr>
              <w:tblStyle w:val="17"/>
              <w:tblW w:w="79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25"/>
              <w:gridCol w:w="706"/>
              <w:gridCol w:w="706"/>
              <w:gridCol w:w="707"/>
              <w:gridCol w:w="707"/>
              <w:gridCol w:w="851"/>
              <w:gridCol w:w="707"/>
              <w:gridCol w:w="707"/>
              <w:gridCol w:w="707"/>
              <w:gridCol w:w="707"/>
            </w:tblGrid>
            <w:tr w14:paraId="209DD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 w:hRule="atLeast"/>
                <w:jc w:val="center"/>
              </w:trPr>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A17D8">
                  <w:pPr>
                    <w:keepNext w:val="0"/>
                    <w:keepLines w:val="0"/>
                    <w:widowControl/>
                    <w:suppressLineNumbers w:val="0"/>
                    <w:ind w:firstLineChars="200"/>
                    <w:jc w:val="both"/>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声级</w:t>
                  </w:r>
                </w:p>
              </w:tc>
              <w:tc>
                <w:tcPr>
                  <w:tcW w:w="509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DCA9BE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测点距声源距离（</w:t>
                  </w:r>
                  <w:r>
                    <w:rPr>
                      <w:rFonts w:hint="default" w:ascii="Times New Roman" w:hAnsi="Times New Roman" w:eastAsia="宋体" w:cs="Times New Roman"/>
                      <w:i w:val="0"/>
                      <w:iCs w:val="0"/>
                      <w:color w:val="auto"/>
                      <w:kern w:val="0"/>
                      <w:sz w:val="21"/>
                      <w:szCs w:val="21"/>
                      <w:u w:val="none"/>
                      <w:lang w:val="en-US" w:eastAsia="zh-CN" w:bidi="ar"/>
                    </w:rPr>
                    <w:t>m</w:t>
                  </w:r>
                  <w:r>
                    <w:rPr>
                      <w:rFonts w:hint="eastAsia" w:ascii="宋体" w:hAnsi="宋体" w:eastAsia="宋体" w:cs="宋体"/>
                      <w:i w:val="0"/>
                      <w:iCs w:val="0"/>
                      <w:color w:val="auto"/>
                      <w:kern w:val="0"/>
                      <w:sz w:val="21"/>
                      <w:szCs w:val="21"/>
                      <w:u w:val="none"/>
                      <w:lang w:val="en-US" w:eastAsia="zh-CN" w:bidi="ar"/>
                    </w:rPr>
                    <w:t>）</w:t>
                  </w:r>
                </w:p>
              </w:tc>
              <w:tc>
                <w:tcPr>
                  <w:tcW w:w="14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A94A6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达标距离（</w:t>
                  </w:r>
                  <w:r>
                    <w:rPr>
                      <w:rFonts w:hint="default" w:ascii="Times New Roman" w:hAnsi="Times New Roman" w:eastAsia="宋体" w:cs="Times New Roman"/>
                      <w:i w:val="0"/>
                      <w:iCs w:val="0"/>
                      <w:color w:val="auto"/>
                      <w:kern w:val="0"/>
                      <w:sz w:val="21"/>
                      <w:szCs w:val="21"/>
                      <w:u w:val="none"/>
                      <w:lang w:val="en-US" w:eastAsia="zh-CN" w:bidi="ar"/>
                    </w:rPr>
                    <w:t>m</w:t>
                  </w:r>
                  <w:r>
                    <w:rPr>
                      <w:rFonts w:hint="eastAsia" w:ascii="宋体" w:hAnsi="宋体" w:eastAsia="宋体" w:cs="宋体"/>
                      <w:i w:val="0"/>
                      <w:iCs w:val="0"/>
                      <w:color w:val="auto"/>
                      <w:kern w:val="0"/>
                      <w:sz w:val="21"/>
                      <w:szCs w:val="21"/>
                      <w:u w:val="none"/>
                      <w:lang w:val="en-US" w:eastAsia="zh-CN" w:bidi="ar"/>
                    </w:rPr>
                    <w:t>）</w:t>
                  </w:r>
                </w:p>
              </w:tc>
            </w:tr>
            <w:tr w14:paraId="6E607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B88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噪声源</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7FAA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E8C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FF2A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554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356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89</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1A1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158</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97F0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9264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昼间</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A060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夜间</w:t>
                  </w:r>
                </w:p>
              </w:tc>
            </w:tr>
            <w:tr w14:paraId="511B1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943D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钻机</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625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95</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BC3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84.9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0712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80.0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FF96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75.0 </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B6C5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70.0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2827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65.0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F99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55.0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18C0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89</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343C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500</w:t>
                  </w:r>
                </w:p>
              </w:tc>
            </w:tr>
            <w:tr w14:paraId="29ACD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 w:hRule="atLeast"/>
                <w:jc w:val="center"/>
              </w:trPr>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2A0B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钻井泵</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522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85</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9085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74.9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72D5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70.0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4679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65.0 </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9F15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60.0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A1F1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55.0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5B32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45.0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145C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77D8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158</w:t>
                  </w:r>
                </w:p>
              </w:tc>
            </w:tr>
            <w:tr w14:paraId="0F785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D9F6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泥浆泵</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3F35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85</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8F3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74.9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03A5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70.0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27A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65.0 </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7F1A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60.0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A34A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55.0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215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45.0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5DD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5CA0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158</w:t>
                  </w:r>
                </w:p>
              </w:tc>
            </w:tr>
            <w:tr w14:paraId="6F2E8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C7DB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绞车</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7633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85</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1B2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74.9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57EF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70.0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40A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65.0 </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B88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60.0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82B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55.0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E274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45.0 </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1974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1BF9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158</w:t>
                  </w:r>
                </w:p>
              </w:tc>
            </w:tr>
          </w:tbl>
          <w:p w14:paraId="514BB726">
            <w:pPr>
              <w:pStyle w:val="23"/>
              <w:adjustRightInd/>
              <w:spacing w:line="360" w:lineRule="auto"/>
              <w:ind w:firstLine="480" w:firstLineChars="200"/>
              <w:rPr>
                <w:rFonts w:ascii="Times New Roman" w:hAnsi="Times New Roman"/>
                <w:color w:val="auto"/>
              </w:rPr>
            </w:pPr>
            <w:r>
              <w:rPr>
                <w:rFonts w:ascii="宋体" w:hAnsi="Times New Roman"/>
                <w:color w:val="auto"/>
              </w:rPr>
              <w:t>②</w:t>
            </w:r>
            <w:r>
              <w:rPr>
                <w:rFonts w:ascii="Times New Roman" w:hAnsi="Times New Roman"/>
                <w:color w:val="auto"/>
              </w:rPr>
              <w:t>多台施工机械同时作业时的噪声级预测结果见下表。</w:t>
            </w:r>
          </w:p>
          <w:p w14:paraId="69BCA070">
            <w:pPr>
              <w:pStyle w:val="23"/>
              <w:adjustRightInd/>
              <w:spacing w:line="360" w:lineRule="auto"/>
              <w:jc w:val="center"/>
              <w:rPr>
                <w:rFonts w:ascii="Times New Roman" w:hAnsi="Times New Roman"/>
                <w:b/>
                <w:color w:val="auto"/>
                <w:sz w:val="21"/>
                <w:szCs w:val="21"/>
              </w:rPr>
            </w:pPr>
            <w:r>
              <w:rPr>
                <w:rFonts w:ascii="Times New Roman" w:hAnsi="Times New Roman"/>
                <w:b/>
                <w:color w:val="auto"/>
                <w:sz w:val="21"/>
                <w:szCs w:val="21"/>
              </w:rPr>
              <w:t>表 4-2 施工期噪声源组合在不同距离的噪声预测值  单位：dB （A）</w:t>
            </w:r>
          </w:p>
          <w:tbl>
            <w:tblPr>
              <w:tblStyle w:val="17"/>
              <w:tblW w:w="79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9"/>
              <w:gridCol w:w="543"/>
              <w:gridCol w:w="587"/>
              <w:gridCol w:w="532"/>
              <w:gridCol w:w="545"/>
              <w:gridCol w:w="655"/>
              <w:gridCol w:w="545"/>
              <w:gridCol w:w="546"/>
              <w:gridCol w:w="545"/>
              <w:gridCol w:w="546"/>
              <w:gridCol w:w="641"/>
              <w:gridCol w:w="559"/>
              <w:gridCol w:w="491"/>
              <w:gridCol w:w="546"/>
            </w:tblGrid>
            <w:tr w14:paraId="03153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4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31C027D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噪声源组合</w:t>
                  </w:r>
                </w:p>
              </w:tc>
              <w:tc>
                <w:tcPr>
                  <w:tcW w:w="6244" w:type="dxa"/>
                  <w:gridSpan w:val="11"/>
                  <w:tcBorders>
                    <w:top w:val="single" w:color="000000" w:sz="8" w:space="0"/>
                    <w:left w:val="single" w:color="000000" w:sz="8" w:space="0"/>
                    <w:bottom w:val="single" w:color="000000" w:sz="8" w:space="0"/>
                    <w:right w:val="single" w:color="000000" w:sz="8" w:space="0"/>
                  </w:tcBorders>
                  <w:shd w:val="clear" w:color="auto" w:fill="auto"/>
                  <w:vAlign w:val="center"/>
                </w:tcPr>
                <w:p w14:paraId="524575C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测点距声源距离（m）</w:t>
                  </w:r>
                </w:p>
              </w:tc>
              <w:tc>
                <w:tcPr>
                  <w:tcW w:w="1037"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4876AEF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达标距离(m)</w:t>
                  </w:r>
                </w:p>
              </w:tc>
            </w:tr>
            <w:tr w14:paraId="70B8A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49"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A23B305">
                  <w:pPr>
                    <w:jc w:val="center"/>
                    <w:rPr>
                      <w:rFonts w:hint="default" w:ascii="Times New Roman" w:hAnsi="Times New Roman" w:eastAsia="宋体" w:cs="Times New Roman"/>
                      <w:i w:val="0"/>
                      <w:iCs w:val="0"/>
                      <w:color w:val="auto"/>
                      <w:sz w:val="18"/>
                      <w:szCs w:val="18"/>
                      <w:u w:val="none"/>
                    </w:rPr>
                  </w:pPr>
                </w:p>
              </w:tc>
              <w:tc>
                <w:tcPr>
                  <w:tcW w:w="543" w:type="dxa"/>
                  <w:tcBorders>
                    <w:top w:val="nil"/>
                    <w:left w:val="single" w:color="000000" w:sz="8" w:space="0"/>
                    <w:bottom w:val="single" w:color="000000" w:sz="8" w:space="0"/>
                    <w:right w:val="single" w:color="000000" w:sz="8" w:space="0"/>
                  </w:tcBorders>
                  <w:shd w:val="clear" w:color="auto" w:fill="auto"/>
                  <w:vAlign w:val="center"/>
                </w:tcPr>
                <w:p w14:paraId="6EAF68F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w:t>
                  </w:r>
                </w:p>
              </w:tc>
              <w:tc>
                <w:tcPr>
                  <w:tcW w:w="587" w:type="dxa"/>
                  <w:tcBorders>
                    <w:top w:val="nil"/>
                    <w:left w:val="single" w:color="000000" w:sz="8" w:space="0"/>
                    <w:bottom w:val="single" w:color="000000" w:sz="8" w:space="0"/>
                    <w:right w:val="single" w:color="000000" w:sz="8" w:space="0"/>
                  </w:tcBorders>
                  <w:shd w:val="clear" w:color="auto" w:fill="auto"/>
                  <w:vAlign w:val="center"/>
                </w:tcPr>
                <w:p w14:paraId="4159DEB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53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6EF4E0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w:t>
                  </w:r>
                </w:p>
              </w:tc>
              <w:tc>
                <w:tcPr>
                  <w:tcW w:w="54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1EB0EE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103</w:t>
                  </w:r>
                </w:p>
              </w:tc>
              <w:tc>
                <w:tcPr>
                  <w:tcW w:w="6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9215E8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120</w:t>
                  </w:r>
                </w:p>
              </w:tc>
              <w:tc>
                <w:tcPr>
                  <w:tcW w:w="54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C009C9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150</w:t>
                  </w:r>
                </w:p>
              </w:tc>
              <w:tc>
                <w:tcPr>
                  <w:tcW w:w="5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9A6D23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200</w:t>
                  </w:r>
                </w:p>
              </w:tc>
              <w:tc>
                <w:tcPr>
                  <w:tcW w:w="54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4A579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275</w:t>
                  </w:r>
                </w:p>
              </w:tc>
              <w:tc>
                <w:tcPr>
                  <w:tcW w:w="5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6EDBDD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64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086DE8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350</w:t>
                  </w:r>
                </w:p>
              </w:tc>
              <w:tc>
                <w:tcPr>
                  <w:tcW w:w="55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EB964B8">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u w:val="none"/>
                    </w:rPr>
                  </w:pPr>
                  <w:r>
                    <w:rPr>
                      <w:rFonts w:hint="default" w:ascii="Times New Roman" w:hAnsi="Times New Roman" w:eastAsia="宋体" w:cs="Times New Roman"/>
                      <w:b/>
                      <w:bCs/>
                      <w:i w:val="0"/>
                      <w:iCs w:val="0"/>
                      <w:color w:val="auto"/>
                      <w:kern w:val="0"/>
                      <w:sz w:val="18"/>
                      <w:szCs w:val="18"/>
                      <w:u w:val="none"/>
                      <w:lang w:val="en-US" w:eastAsia="zh-CN" w:bidi="ar"/>
                    </w:rPr>
                    <w:t>580</w:t>
                  </w:r>
                </w:p>
              </w:tc>
              <w:tc>
                <w:tcPr>
                  <w:tcW w:w="49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99ADAD1">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u w:val="none"/>
                    </w:rPr>
                  </w:pPr>
                  <w:r>
                    <w:rPr>
                      <w:rFonts w:hint="default" w:ascii="Times New Roman" w:hAnsi="Times New Roman" w:eastAsia="宋体" w:cs="Times New Roman"/>
                      <w:b/>
                      <w:bCs/>
                      <w:i w:val="0"/>
                      <w:iCs w:val="0"/>
                      <w:color w:val="auto"/>
                      <w:kern w:val="0"/>
                      <w:sz w:val="18"/>
                      <w:szCs w:val="18"/>
                      <w:u w:val="none"/>
                      <w:lang w:val="en-US" w:eastAsia="zh-CN" w:bidi="ar"/>
                    </w:rPr>
                    <w:t>昼间</w:t>
                  </w:r>
                </w:p>
              </w:tc>
              <w:tc>
                <w:tcPr>
                  <w:tcW w:w="5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268FF45">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u w:val="none"/>
                    </w:rPr>
                  </w:pPr>
                  <w:r>
                    <w:rPr>
                      <w:rFonts w:hint="default" w:ascii="Times New Roman" w:hAnsi="Times New Roman" w:eastAsia="宋体" w:cs="Times New Roman"/>
                      <w:b/>
                      <w:bCs/>
                      <w:i w:val="0"/>
                      <w:iCs w:val="0"/>
                      <w:color w:val="auto"/>
                      <w:kern w:val="0"/>
                      <w:sz w:val="18"/>
                      <w:szCs w:val="18"/>
                      <w:u w:val="none"/>
                      <w:lang w:val="en-US" w:eastAsia="zh-CN" w:bidi="ar"/>
                    </w:rPr>
                    <w:t>夜间</w:t>
                  </w:r>
                </w:p>
              </w:tc>
            </w:tr>
            <w:tr w14:paraId="460F0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64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DB3BE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组合一：钻井阶段（钻机、动力机等）</w:t>
                  </w:r>
                </w:p>
              </w:tc>
              <w:tc>
                <w:tcPr>
                  <w:tcW w:w="543" w:type="dxa"/>
                  <w:tcBorders>
                    <w:top w:val="single" w:color="000000" w:sz="8" w:space="0"/>
                    <w:left w:val="single" w:color="000000" w:sz="4" w:space="0"/>
                    <w:bottom w:val="single" w:color="000000" w:sz="8" w:space="0"/>
                    <w:right w:val="nil"/>
                  </w:tcBorders>
                  <w:shd w:val="clear" w:color="auto" w:fill="auto"/>
                  <w:noWrap/>
                  <w:vAlign w:val="center"/>
                </w:tcPr>
                <w:p w14:paraId="3AFCB06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96.1 </w:t>
                  </w:r>
                </w:p>
              </w:tc>
              <w:tc>
                <w:tcPr>
                  <w:tcW w:w="58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E5391A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84.1 </w:t>
                  </w:r>
                </w:p>
              </w:tc>
              <w:tc>
                <w:tcPr>
                  <w:tcW w:w="53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61B947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76.1 </w:t>
                  </w:r>
                </w:p>
              </w:tc>
              <w:tc>
                <w:tcPr>
                  <w:tcW w:w="545" w:type="dxa"/>
                  <w:tcBorders>
                    <w:top w:val="nil"/>
                    <w:left w:val="single" w:color="000000" w:sz="8" w:space="0"/>
                    <w:bottom w:val="single" w:color="000000" w:sz="8" w:space="0"/>
                    <w:right w:val="single" w:color="000000" w:sz="8" w:space="0"/>
                  </w:tcBorders>
                  <w:shd w:val="clear" w:color="auto" w:fill="auto"/>
                  <w:vAlign w:val="center"/>
                </w:tcPr>
                <w:p w14:paraId="690B614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69.9 </w:t>
                  </w:r>
                </w:p>
              </w:tc>
              <w:tc>
                <w:tcPr>
                  <w:tcW w:w="655" w:type="dxa"/>
                  <w:tcBorders>
                    <w:top w:val="nil"/>
                    <w:left w:val="single" w:color="000000" w:sz="8" w:space="0"/>
                    <w:bottom w:val="single" w:color="000000" w:sz="8" w:space="0"/>
                    <w:right w:val="single" w:color="000000" w:sz="8" w:space="0"/>
                  </w:tcBorders>
                  <w:shd w:val="clear" w:color="auto" w:fill="auto"/>
                  <w:vAlign w:val="center"/>
                </w:tcPr>
                <w:p w14:paraId="3168B03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68.5 </w:t>
                  </w:r>
                </w:p>
              </w:tc>
              <w:tc>
                <w:tcPr>
                  <w:tcW w:w="545" w:type="dxa"/>
                  <w:tcBorders>
                    <w:top w:val="nil"/>
                    <w:left w:val="single" w:color="000000" w:sz="8" w:space="0"/>
                    <w:bottom w:val="single" w:color="000000" w:sz="8" w:space="0"/>
                    <w:right w:val="single" w:color="000000" w:sz="8" w:space="0"/>
                  </w:tcBorders>
                  <w:shd w:val="clear" w:color="auto" w:fill="auto"/>
                  <w:vAlign w:val="center"/>
                </w:tcPr>
                <w:p w14:paraId="5FFB755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66.6 </w:t>
                  </w:r>
                </w:p>
              </w:tc>
              <w:tc>
                <w:tcPr>
                  <w:tcW w:w="546" w:type="dxa"/>
                  <w:tcBorders>
                    <w:top w:val="nil"/>
                    <w:left w:val="single" w:color="000000" w:sz="8" w:space="0"/>
                    <w:bottom w:val="single" w:color="000000" w:sz="8" w:space="0"/>
                    <w:right w:val="nil"/>
                  </w:tcBorders>
                  <w:shd w:val="clear" w:color="auto" w:fill="auto"/>
                  <w:vAlign w:val="center"/>
                </w:tcPr>
                <w:p w14:paraId="5A9FAB2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64.1 </w:t>
                  </w:r>
                </w:p>
              </w:tc>
              <w:tc>
                <w:tcPr>
                  <w:tcW w:w="545" w:type="dxa"/>
                  <w:tcBorders>
                    <w:top w:val="nil"/>
                    <w:left w:val="single" w:color="000000" w:sz="8" w:space="0"/>
                    <w:bottom w:val="single" w:color="000000" w:sz="8" w:space="0"/>
                    <w:right w:val="nil"/>
                  </w:tcBorders>
                  <w:shd w:val="clear" w:color="auto" w:fill="auto"/>
                  <w:vAlign w:val="center"/>
                </w:tcPr>
                <w:p w14:paraId="2061E5D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61.3 </w:t>
                  </w:r>
                </w:p>
              </w:tc>
              <w:tc>
                <w:tcPr>
                  <w:tcW w:w="546" w:type="dxa"/>
                  <w:tcBorders>
                    <w:top w:val="nil"/>
                    <w:left w:val="single" w:color="000000" w:sz="8" w:space="0"/>
                    <w:bottom w:val="single" w:color="000000" w:sz="8" w:space="0"/>
                    <w:right w:val="nil"/>
                  </w:tcBorders>
                  <w:shd w:val="clear" w:color="auto" w:fill="auto"/>
                  <w:vAlign w:val="center"/>
                </w:tcPr>
                <w:p w14:paraId="66BEDB0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60.6 </w:t>
                  </w:r>
                </w:p>
              </w:tc>
              <w:tc>
                <w:tcPr>
                  <w:tcW w:w="641" w:type="dxa"/>
                  <w:tcBorders>
                    <w:top w:val="nil"/>
                    <w:left w:val="single" w:color="000000" w:sz="8" w:space="0"/>
                    <w:bottom w:val="single" w:color="000000" w:sz="8" w:space="0"/>
                    <w:right w:val="nil"/>
                  </w:tcBorders>
                  <w:shd w:val="clear" w:color="auto" w:fill="auto"/>
                  <w:vAlign w:val="center"/>
                </w:tcPr>
                <w:p w14:paraId="4BD4338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59.2 </w:t>
                  </w:r>
                </w:p>
              </w:tc>
              <w:tc>
                <w:tcPr>
                  <w:tcW w:w="559" w:type="dxa"/>
                  <w:tcBorders>
                    <w:top w:val="nil"/>
                    <w:left w:val="single" w:color="000000" w:sz="8" w:space="0"/>
                    <w:bottom w:val="single" w:color="000000" w:sz="8" w:space="0"/>
                    <w:right w:val="nil"/>
                  </w:tcBorders>
                  <w:shd w:val="clear" w:color="auto" w:fill="auto"/>
                  <w:vAlign w:val="center"/>
                </w:tcPr>
                <w:p w14:paraId="4456DA6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54.9 </w:t>
                  </w:r>
                </w:p>
              </w:tc>
              <w:tc>
                <w:tcPr>
                  <w:tcW w:w="491" w:type="dxa"/>
                  <w:tcBorders>
                    <w:top w:val="nil"/>
                    <w:left w:val="single" w:color="000000" w:sz="8" w:space="0"/>
                    <w:bottom w:val="single" w:color="000000" w:sz="8" w:space="0"/>
                    <w:right w:val="single" w:color="000000" w:sz="8" w:space="0"/>
                  </w:tcBorders>
                  <w:shd w:val="clear" w:color="auto" w:fill="auto"/>
                  <w:vAlign w:val="center"/>
                </w:tcPr>
                <w:p w14:paraId="4D8B3DAD">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u w:val="none"/>
                    </w:rPr>
                  </w:pPr>
                  <w:r>
                    <w:rPr>
                      <w:rFonts w:hint="default" w:ascii="Times New Roman" w:hAnsi="Times New Roman" w:eastAsia="宋体" w:cs="Times New Roman"/>
                      <w:b/>
                      <w:bCs/>
                      <w:i w:val="0"/>
                      <w:iCs w:val="0"/>
                      <w:color w:val="auto"/>
                      <w:kern w:val="0"/>
                      <w:sz w:val="18"/>
                      <w:szCs w:val="18"/>
                      <w:u w:val="none"/>
                      <w:lang w:val="en-US" w:eastAsia="zh-CN" w:bidi="ar"/>
                    </w:rPr>
                    <w:t>103</w:t>
                  </w:r>
                </w:p>
              </w:tc>
              <w:tc>
                <w:tcPr>
                  <w:tcW w:w="546" w:type="dxa"/>
                  <w:tcBorders>
                    <w:top w:val="nil"/>
                    <w:left w:val="single" w:color="000000" w:sz="8" w:space="0"/>
                    <w:bottom w:val="single" w:color="000000" w:sz="8" w:space="0"/>
                    <w:right w:val="single" w:color="000000" w:sz="8" w:space="0"/>
                  </w:tcBorders>
                  <w:shd w:val="clear" w:color="auto" w:fill="auto"/>
                  <w:vAlign w:val="center"/>
                </w:tcPr>
                <w:p w14:paraId="0513F759">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u w:val="none"/>
                    </w:rPr>
                  </w:pPr>
                  <w:r>
                    <w:rPr>
                      <w:rFonts w:hint="default" w:ascii="Times New Roman" w:hAnsi="Times New Roman" w:eastAsia="宋体" w:cs="Times New Roman"/>
                      <w:b/>
                      <w:bCs/>
                      <w:i w:val="0"/>
                      <w:iCs w:val="0"/>
                      <w:color w:val="auto"/>
                      <w:kern w:val="0"/>
                      <w:sz w:val="18"/>
                      <w:szCs w:val="18"/>
                      <w:u w:val="none"/>
                      <w:lang w:val="en-US" w:eastAsia="zh-CN" w:bidi="ar"/>
                    </w:rPr>
                    <w:t>580</w:t>
                  </w:r>
                </w:p>
              </w:tc>
            </w:tr>
            <w:tr w14:paraId="47973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49" w:type="dxa"/>
                  <w:vMerge w:val="restart"/>
                  <w:tcBorders>
                    <w:top w:val="nil"/>
                    <w:left w:val="single" w:color="000000" w:sz="8" w:space="0"/>
                    <w:bottom w:val="single" w:color="000000" w:sz="8" w:space="0"/>
                    <w:right w:val="single" w:color="000000" w:sz="8" w:space="0"/>
                  </w:tcBorders>
                  <w:shd w:val="clear" w:color="auto" w:fill="auto"/>
                  <w:vAlign w:val="center"/>
                </w:tcPr>
                <w:p w14:paraId="1992C02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噪声源组合</w:t>
                  </w:r>
                </w:p>
              </w:tc>
              <w:tc>
                <w:tcPr>
                  <w:tcW w:w="6244" w:type="dxa"/>
                  <w:gridSpan w:val="11"/>
                  <w:tcBorders>
                    <w:top w:val="nil"/>
                    <w:left w:val="single" w:color="000000" w:sz="8" w:space="0"/>
                    <w:bottom w:val="single" w:color="000000" w:sz="8" w:space="0"/>
                    <w:right w:val="single" w:color="000000" w:sz="8" w:space="0"/>
                  </w:tcBorders>
                  <w:shd w:val="clear" w:color="auto" w:fill="auto"/>
                  <w:vAlign w:val="center"/>
                </w:tcPr>
                <w:p w14:paraId="07B0E35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测点距声源距离（m）</w:t>
                  </w:r>
                </w:p>
              </w:tc>
              <w:tc>
                <w:tcPr>
                  <w:tcW w:w="1037" w:type="dxa"/>
                  <w:gridSpan w:val="2"/>
                  <w:tcBorders>
                    <w:top w:val="nil"/>
                    <w:left w:val="single" w:color="000000" w:sz="8" w:space="0"/>
                    <w:bottom w:val="single" w:color="000000" w:sz="8" w:space="0"/>
                    <w:right w:val="single" w:color="000000" w:sz="8" w:space="0"/>
                  </w:tcBorders>
                  <w:shd w:val="clear" w:color="auto" w:fill="auto"/>
                  <w:vAlign w:val="center"/>
                </w:tcPr>
                <w:p w14:paraId="00E0AF2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达标距离(m)</w:t>
                  </w:r>
                </w:p>
              </w:tc>
            </w:tr>
            <w:tr w14:paraId="0FC94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49" w:type="dxa"/>
                  <w:vMerge w:val="continue"/>
                  <w:tcBorders>
                    <w:top w:val="nil"/>
                    <w:left w:val="single" w:color="000000" w:sz="8" w:space="0"/>
                    <w:bottom w:val="single" w:color="000000" w:sz="8" w:space="0"/>
                    <w:right w:val="single" w:color="000000" w:sz="8" w:space="0"/>
                  </w:tcBorders>
                  <w:shd w:val="clear" w:color="auto" w:fill="auto"/>
                  <w:vAlign w:val="center"/>
                </w:tcPr>
                <w:p w14:paraId="7ED7B374">
                  <w:pPr>
                    <w:jc w:val="center"/>
                    <w:rPr>
                      <w:rFonts w:hint="default" w:ascii="Times New Roman" w:hAnsi="Times New Roman" w:eastAsia="宋体" w:cs="Times New Roman"/>
                      <w:i w:val="0"/>
                      <w:iCs w:val="0"/>
                      <w:color w:val="auto"/>
                      <w:sz w:val="18"/>
                      <w:szCs w:val="18"/>
                      <w:u w:val="none"/>
                    </w:rPr>
                  </w:pPr>
                </w:p>
              </w:tc>
              <w:tc>
                <w:tcPr>
                  <w:tcW w:w="543" w:type="dxa"/>
                  <w:tcBorders>
                    <w:top w:val="nil"/>
                    <w:left w:val="single" w:color="000000" w:sz="8" w:space="0"/>
                    <w:bottom w:val="single" w:color="000000" w:sz="8" w:space="0"/>
                    <w:right w:val="single" w:color="000000" w:sz="8" w:space="0"/>
                  </w:tcBorders>
                  <w:shd w:val="clear" w:color="auto" w:fill="auto"/>
                  <w:vAlign w:val="center"/>
                </w:tcPr>
                <w:p w14:paraId="3DA24D6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w:t>
                  </w:r>
                </w:p>
              </w:tc>
              <w:tc>
                <w:tcPr>
                  <w:tcW w:w="587" w:type="dxa"/>
                  <w:tcBorders>
                    <w:top w:val="nil"/>
                    <w:left w:val="single" w:color="000000" w:sz="8" w:space="0"/>
                    <w:bottom w:val="single" w:color="000000" w:sz="8" w:space="0"/>
                    <w:right w:val="single" w:color="000000" w:sz="8" w:space="0"/>
                  </w:tcBorders>
                  <w:shd w:val="clear" w:color="auto" w:fill="auto"/>
                  <w:vAlign w:val="center"/>
                </w:tcPr>
                <w:p w14:paraId="3706D6A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53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1900B0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40</w:t>
                  </w:r>
                </w:p>
              </w:tc>
              <w:tc>
                <w:tcPr>
                  <w:tcW w:w="54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41DC59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100</w:t>
                  </w:r>
                </w:p>
              </w:tc>
              <w:tc>
                <w:tcPr>
                  <w:tcW w:w="6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070B09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120</w:t>
                  </w:r>
                </w:p>
              </w:tc>
              <w:tc>
                <w:tcPr>
                  <w:tcW w:w="54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7287C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150</w:t>
                  </w:r>
                </w:p>
              </w:tc>
              <w:tc>
                <w:tcPr>
                  <w:tcW w:w="5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D8EB4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200</w:t>
                  </w:r>
                </w:p>
              </w:tc>
              <w:tc>
                <w:tcPr>
                  <w:tcW w:w="54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997953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225</w:t>
                  </w:r>
                </w:p>
              </w:tc>
              <w:tc>
                <w:tcPr>
                  <w:tcW w:w="5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982A2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350</w:t>
                  </w:r>
                </w:p>
              </w:tc>
              <w:tc>
                <w:tcPr>
                  <w:tcW w:w="64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5E5C6C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400</w:t>
                  </w:r>
                </w:p>
              </w:tc>
              <w:tc>
                <w:tcPr>
                  <w:tcW w:w="55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0165F57">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u w:val="none"/>
                    </w:rPr>
                  </w:pPr>
                  <w:r>
                    <w:rPr>
                      <w:rFonts w:hint="default" w:ascii="Times New Roman" w:hAnsi="Times New Roman" w:eastAsia="宋体" w:cs="Times New Roman"/>
                      <w:b/>
                      <w:bCs/>
                      <w:i w:val="0"/>
                      <w:iCs w:val="0"/>
                      <w:color w:val="auto"/>
                      <w:kern w:val="0"/>
                      <w:sz w:val="18"/>
                      <w:szCs w:val="18"/>
                      <w:u w:val="none"/>
                      <w:lang w:val="en-US" w:eastAsia="zh-CN" w:bidi="ar"/>
                    </w:rPr>
                    <w:t>620</w:t>
                  </w:r>
                </w:p>
              </w:tc>
              <w:tc>
                <w:tcPr>
                  <w:tcW w:w="49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4EAE5F9">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u w:val="none"/>
                    </w:rPr>
                  </w:pPr>
                  <w:r>
                    <w:rPr>
                      <w:rFonts w:hint="default" w:ascii="Times New Roman" w:hAnsi="Times New Roman" w:eastAsia="宋体" w:cs="Times New Roman"/>
                      <w:b/>
                      <w:bCs/>
                      <w:i w:val="0"/>
                      <w:iCs w:val="0"/>
                      <w:color w:val="auto"/>
                      <w:kern w:val="0"/>
                      <w:sz w:val="18"/>
                      <w:szCs w:val="18"/>
                      <w:u w:val="none"/>
                      <w:lang w:val="en-US" w:eastAsia="zh-CN" w:bidi="ar"/>
                    </w:rPr>
                    <w:t>昼间</w:t>
                  </w:r>
                </w:p>
              </w:tc>
              <w:tc>
                <w:tcPr>
                  <w:tcW w:w="5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3854D44">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u w:val="none"/>
                    </w:rPr>
                  </w:pPr>
                  <w:r>
                    <w:rPr>
                      <w:rFonts w:hint="default" w:ascii="Times New Roman" w:hAnsi="Times New Roman" w:eastAsia="宋体" w:cs="Times New Roman"/>
                      <w:b/>
                      <w:bCs/>
                      <w:i w:val="0"/>
                      <w:iCs w:val="0"/>
                      <w:color w:val="auto"/>
                      <w:kern w:val="0"/>
                      <w:sz w:val="18"/>
                      <w:szCs w:val="18"/>
                      <w:u w:val="none"/>
                      <w:lang w:val="en-US" w:eastAsia="zh-CN" w:bidi="ar"/>
                    </w:rPr>
                    <w:t>夜间</w:t>
                  </w:r>
                </w:p>
              </w:tc>
            </w:tr>
            <w:tr w14:paraId="6C1F9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0" w:hRule="atLeast"/>
                <w:jc w:val="center"/>
              </w:trPr>
              <w:tc>
                <w:tcPr>
                  <w:tcW w:w="649" w:type="dxa"/>
                  <w:tcBorders>
                    <w:top w:val="nil"/>
                    <w:left w:val="single" w:color="000000" w:sz="8" w:space="0"/>
                    <w:bottom w:val="single" w:color="000000" w:sz="8" w:space="0"/>
                    <w:right w:val="single" w:color="000000" w:sz="8" w:space="0"/>
                  </w:tcBorders>
                  <w:shd w:val="clear" w:color="auto" w:fill="auto"/>
                  <w:vAlign w:val="center"/>
                </w:tcPr>
                <w:p w14:paraId="4A3E1C8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组合二：下套管阶段（动力机、泵等）</w:t>
                  </w:r>
                </w:p>
              </w:tc>
              <w:tc>
                <w:tcPr>
                  <w:tcW w:w="543" w:type="dxa"/>
                  <w:tcBorders>
                    <w:top w:val="nil"/>
                    <w:left w:val="single" w:color="000000" w:sz="4" w:space="0"/>
                    <w:bottom w:val="single" w:color="000000" w:sz="8" w:space="0"/>
                    <w:right w:val="nil"/>
                  </w:tcBorders>
                  <w:shd w:val="clear" w:color="auto" w:fill="auto"/>
                  <w:noWrap/>
                  <w:vAlign w:val="center"/>
                </w:tcPr>
                <w:p w14:paraId="7662866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88.0 </w:t>
                  </w:r>
                </w:p>
              </w:tc>
              <w:tc>
                <w:tcPr>
                  <w:tcW w:w="587" w:type="dxa"/>
                  <w:tcBorders>
                    <w:top w:val="nil"/>
                    <w:left w:val="single" w:color="000000" w:sz="8" w:space="0"/>
                    <w:bottom w:val="single" w:color="000000" w:sz="8" w:space="0"/>
                    <w:right w:val="single" w:color="000000" w:sz="8" w:space="0"/>
                  </w:tcBorders>
                  <w:shd w:val="clear" w:color="auto" w:fill="auto"/>
                  <w:vAlign w:val="center"/>
                </w:tcPr>
                <w:p w14:paraId="3B3CF58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76.0 </w:t>
                  </w:r>
                </w:p>
              </w:tc>
              <w:tc>
                <w:tcPr>
                  <w:tcW w:w="532" w:type="dxa"/>
                  <w:tcBorders>
                    <w:top w:val="nil"/>
                    <w:left w:val="single" w:color="000000" w:sz="8" w:space="0"/>
                    <w:bottom w:val="single" w:color="000000" w:sz="8" w:space="0"/>
                    <w:right w:val="single" w:color="000000" w:sz="8" w:space="0"/>
                  </w:tcBorders>
                  <w:shd w:val="clear" w:color="auto" w:fill="auto"/>
                  <w:vAlign w:val="center"/>
                </w:tcPr>
                <w:p w14:paraId="7647374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69.9 </w:t>
                  </w:r>
                </w:p>
              </w:tc>
              <w:tc>
                <w:tcPr>
                  <w:tcW w:w="545" w:type="dxa"/>
                  <w:tcBorders>
                    <w:top w:val="nil"/>
                    <w:left w:val="single" w:color="000000" w:sz="8" w:space="0"/>
                    <w:bottom w:val="single" w:color="000000" w:sz="8" w:space="0"/>
                    <w:right w:val="single" w:color="000000" w:sz="8" w:space="0"/>
                  </w:tcBorders>
                  <w:shd w:val="clear" w:color="auto" w:fill="auto"/>
                  <w:vAlign w:val="center"/>
                </w:tcPr>
                <w:p w14:paraId="0223E03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62.0 </w:t>
                  </w:r>
                </w:p>
              </w:tc>
              <w:tc>
                <w:tcPr>
                  <w:tcW w:w="655" w:type="dxa"/>
                  <w:tcBorders>
                    <w:top w:val="nil"/>
                    <w:left w:val="single" w:color="000000" w:sz="8" w:space="0"/>
                    <w:bottom w:val="single" w:color="000000" w:sz="8" w:space="0"/>
                    <w:right w:val="single" w:color="000000" w:sz="8" w:space="0"/>
                  </w:tcBorders>
                  <w:shd w:val="clear" w:color="auto" w:fill="auto"/>
                  <w:vAlign w:val="center"/>
                </w:tcPr>
                <w:p w14:paraId="3DEE948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60.4 </w:t>
                  </w:r>
                </w:p>
              </w:tc>
              <w:tc>
                <w:tcPr>
                  <w:tcW w:w="545" w:type="dxa"/>
                  <w:tcBorders>
                    <w:top w:val="nil"/>
                    <w:left w:val="single" w:color="000000" w:sz="8" w:space="0"/>
                    <w:bottom w:val="single" w:color="000000" w:sz="8" w:space="0"/>
                    <w:right w:val="single" w:color="000000" w:sz="8" w:space="0"/>
                  </w:tcBorders>
                  <w:shd w:val="clear" w:color="auto" w:fill="auto"/>
                  <w:vAlign w:val="center"/>
                </w:tcPr>
                <w:p w14:paraId="742F4EC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58.5 </w:t>
                  </w:r>
                </w:p>
              </w:tc>
              <w:tc>
                <w:tcPr>
                  <w:tcW w:w="546" w:type="dxa"/>
                  <w:tcBorders>
                    <w:top w:val="nil"/>
                    <w:left w:val="single" w:color="000000" w:sz="8" w:space="0"/>
                    <w:bottom w:val="single" w:color="000000" w:sz="8" w:space="0"/>
                    <w:right w:val="single" w:color="000000" w:sz="8" w:space="0"/>
                  </w:tcBorders>
                  <w:shd w:val="clear" w:color="auto" w:fill="auto"/>
                  <w:vAlign w:val="center"/>
                </w:tcPr>
                <w:p w14:paraId="3C60292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56.0 </w:t>
                  </w:r>
                </w:p>
              </w:tc>
              <w:tc>
                <w:tcPr>
                  <w:tcW w:w="545" w:type="dxa"/>
                  <w:tcBorders>
                    <w:top w:val="nil"/>
                    <w:left w:val="single" w:color="000000" w:sz="8" w:space="0"/>
                    <w:bottom w:val="single" w:color="000000" w:sz="8" w:space="0"/>
                    <w:right w:val="single" w:color="000000" w:sz="8" w:space="0"/>
                  </w:tcBorders>
                  <w:shd w:val="clear" w:color="auto" w:fill="auto"/>
                  <w:vAlign w:val="center"/>
                </w:tcPr>
                <w:p w14:paraId="5A69110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54.9 </w:t>
                  </w:r>
                </w:p>
              </w:tc>
              <w:tc>
                <w:tcPr>
                  <w:tcW w:w="546" w:type="dxa"/>
                  <w:tcBorders>
                    <w:top w:val="nil"/>
                    <w:left w:val="single" w:color="000000" w:sz="8" w:space="0"/>
                    <w:bottom w:val="single" w:color="000000" w:sz="8" w:space="0"/>
                    <w:right w:val="single" w:color="000000" w:sz="8" w:space="0"/>
                  </w:tcBorders>
                  <w:shd w:val="clear" w:color="auto" w:fill="auto"/>
                  <w:vAlign w:val="center"/>
                </w:tcPr>
                <w:p w14:paraId="7E8FEC0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51.1 </w:t>
                  </w:r>
                </w:p>
              </w:tc>
              <w:tc>
                <w:tcPr>
                  <w:tcW w:w="641" w:type="dxa"/>
                  <w:tcBorders>
                    <w:top w:val="nil"/>
                    <w:left w:val="single" w:color="000000" w:sz="8" w:space="0"/>
                    <w:bottom w:val="single" w:color="000000" w:sz="8" w:space="0"/>
                    <w:right w:val="single" w:color="000000" w:sz="8" w:space="0"/>
                  </w:tcBorders>
                  <w:shd w:val="clear" w:color="auto" w:fill="auto"/>
                  <w:vAlign w:val="center"/>
                </w:tcPr>
                <w:p w14:paraId="45C1A07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49.9 </w:t>
                  </w:r>
                </w:p>
              </w:tc>
              <w:tc>
                <w:tcPr>
                  <w:tcW w:w="559" w:type="dxa"/>
                  <w:tcBorders>
                    <w:top w:val="nil"/>
                    <w:left w:val="single" w:color="000000" w:sz="8" w:space="0"/>
                    <w:bottom w:val="single" w:color="000000" w:sz="8" w:space="0"/>
                    <w:right w:val="single" w:color="000000" w:sz="8" w:space="0"/>
                  </w:tcBorders>
                  <w:shd w:val="clear" w:color="auto" w:fill="auto"/>
                  <w:vAlign w:val="center"/>
                </w:tcPr>
                <w:p w14:paraId="7CB0F7C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46.1 </w:t>
                  </w:r>
                </w:p>
              </w:tc>
              <w:tc>
                <w:tcPr>
                  <w:tcW w:w="491" w:type="dxa"/>
                  <w:tcBorders>
                    <w:top w:val="nil"/>
                    <w:left w:val="single" w:color="000000" w:sz="8" w:space="0"/>
                    <w:bottom w:val="single" w:color="000000" w:sz="8" w:space="0"/>
                    <w:right w:val="single" w:color="000000" w:sz="8" w:space="0"/>
                  </w:tcBorders>
                  <w:shd w:val="clear" w:color="auto" w:fill="auto"/>
                  <w:vAlign w:val="center"/>
                </w:tcPr>
                <w:p w14:paraId="0B4A1C07">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u w:val="none"/>
                    </w:rPr>
                  </w:pPr>
                  <w:r>
                    <w:rPr>
                      <w:rFonts w:hint="default" w:ascii="Times New Roman" w:hAnsi="Times New Roman" w:eastAsia="宋体" w:cs="Times New Roman"/>
                      <w:b/>
                      <w:bCs/>
                      <w:i w:val="0"/>
                      <w:iCs w:val="0"/>
                      <w:color w:val="auto"/>
                      <w:kern w:val="0"/>
                      <w:sz w:val="18"/>
                      <w:szCs w:val="18"/>
                      <w:u w:val="none"/>
                      <w:lang w:val="en-US" w:eastAsia="zh-CN" w:bidi="ar"/>
                    </w:rPr>
                    <w:t>40</w:t>
                  </w:r>
                </w:p>
              </w:tc>
              <w:tc>
                <w:tcPr>
                  <w:tcW w:w="546" w:type="dxa"/>
                  <w:tcBorders>
                    <w:top w:val="nil"/>
                    <w:left w:val="single" w:color="000000" w:sz="8" w:space="0"/>
                    <w:bottom w:val="single" w:color="000000" w:sz="8" w:space="0"/>
                    <w:right w:val="single" w:color="000000" w:sz="8" w:space="0"/>
                  </w:tcBorders>
                  <w:shd w:val="clear" w:color="auto" w:fill="auto"/>
                  <w:vAlign w:val="center"/>
                </w:tcPr>
                <w:p w14:paraId="6C16DFF8">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u w:val="none"/>
                    </w:rPr>
                  </w:pPr>
                  <w:r>
                    <w:rPr>
                      <w:rFonts w:hint="default" w:ascii="Times New Roman" w:hAnsi="Times New Roman" w:eastAsia="宋体" w:cs="Times New Roman"/>
                      <w:b/>
                      <w:bCs/>
                      <w:i w:val="0"/>
                      <w:iCs w:val="0"/>
                      <w:color w:val="auto"/>
                      <w:kern w:val="0"/>
                      <w:sz w:val="18"/>
                      <w:szCs w:val="18"/>
                      <w:u w:val="none"/>
                      <w:lang w:val="en-US" w:eastAsia="zh-CN" w:bidi="ar"/>
                    </w:rPr>
                    <w:t>225</w:t>
                  </w:r>
                </w:p>
              </w:tc>
            </w:tr>
          </w:tbl>
          <w:p w14:paraId="0ABB99D7">
            <w:pPr>
              <w:pStyle w:val="23"/>
              <w:adjustRightInd/>
              <w:spacing w:line="360" w:lineRule="auto"/>
              <w:ind w:firstLine="480" w:firstLineChars="200"/>
              <w:jc w:val="both"/>
              <w:rPr>
                <w:rFonts w:ascii="Times New Roman" w:hAnsi="Times New Roman"/>
                <w:color w:val="auto"/>
              </w:rPr>
            </w:pPr>
            <w:r>
              <w:rPr>
                <w:rFonts w:ascii="Times New Roman" w:hAnsi="Times New Roman"/>
                <w:color w:val="auto"/>
              </w:rPr>
              <w:t>由上表可知，多台施工机械同时施工时，昼间在</w:t>
            </w:r>
            <w:r>
              <w:rPr>
                <w:rFonts w:hint="eastAsia" w:ascii="Times New Roman" w:hAnsi="Times New Roman"/>
                <w:color w:val="auto"/>
                <w:lang w:val="en-US" w:eastAsia="zh-CN"/>
              </w:rPr>
              <w:t>103</w:t>
            </w:r>
            <w:r>
              <w:rPr>
                <w:rFonts w:ascii="Times New Roman" w:hAnsi="Times New Roman"/>
                <w:color w:val="auto"/>
              </w:rPr>
              <w:t>m处；夜间在</w:t>
            </w:r>
            <w:r>
              <w:rPr>
                <w:rFonts w:hint="eastAsia" w:ascii="Times New Roman" w:hAnsi="Times New Roman"/>
                <w:color w:val="auto"/>
                <w:lang w:val="en-US" w:eastAsia="zh-CN"/>
              </w:rPr>
              <w:t>580</w:t>
            </w:r>
            <w:r>
              <w:rPr>
                <w:rFonts w:ascii="Times New Roman" w:hAnsi="Times New Roman"/>
                <w:color w:val="auto"/>
              </w:rPr>
              <w:t>m处能够达到《建筑施工场界环境噪声排放标准》（GB12523-2011）中规定限值要求，夜间施工噪声影响很大。</w:t>
            </w:r>
          </w:p>
          <w:p w14:paraId="3E2CACDC">
            <w:pPr>
              <w:pStyle w:val="23"/>
              <w:adjustRightInd/>
              <w:spacing w:line="360" w:lineRule="auto"/>
              <w:ind w:firstLine="480" w:firstLineChars="200"/>
              <w:jc w:val="both"/>
              <w:rPr>
                <w:rFonts w:ascii="Times New Roman" w:hAnsi="Times New Roman"/>
                <w:color w:val="auto"/>
              </w:rPr>
            </w:pPr>
            <w:r>
              <w:rPr>
                <w:rFonts w:ascii="Times New Roman" w:hAnsi="Times New Roman"/>
                <w:color w:val="auto"/>
              </w:rPr>
              <w:t>在不采取任何噪声防治措施的情况下，施工噪声会对附近居民敏感点造成一定程度的影响。因此，建设单位应严格执行噪声污染防治措施，降低施工噪声对周边环境及敏感点的影响。</w:t>
            </w:r>
          </w:p>
          <w:p w14:paraId="55C70B98">
            <w:pPr>
              <w:pStyle w:val="23"/>
              <w:adjustRightInd/>
              <w:spacing w:line="360" w:lineRule="auto"/>
              <w:ind w:firstLine="480" w:firstLineChars="200"/>
              <w:jc w:val="both"/>
              <w:rPr>
                <w:rFonts w:hint="eastAsia" w:ascii="Times New Roman" w:hAnsi="Times New Roman" w:eastAsia="宋体"/>
                <w:color w:val="auto"/>
                <w:lang w:eastAsia="zh-CN"/>
              </w:rPr>
            </w:pPr>
            <w:r>
              <w:rPr>
                <w:rFonts w:hint="default" w:ascii="宋体" w:hAnsi="Times New Roman"/>
                <w:color w:val="auto"/>
              </w:rPr>
              <w:t>③</w:t>
            </w:r>
            <w:r>
              <w:rPr>
                <w:rFonts w:ascii="Times New Roman" w:hAnsi="Times New Roman"/>
                <w:color w:val="auto"/>
              </w:rPr>
              <w:t>多台施工机械同时作业时的</w:t>
            </w:r>
            <w:r>
              <w:rPr>
                <w:rFonts w:hint="eastAsia" w:ascii="Times New Roman" w:hAnsi="Times New Roman"/>
                <w:color w:val="auto"/>
                <w:lang w:val="en-US" w:eastAsia="zh-CN"/>
              </w:rPr>
              <w:t>敏感点</w:t>
            </w:r>
            <w:r>
              <w:rPr>
                <w:rFonts w:ascii="Times New Roman" w:hAnsi="Times New Roman"/>
                <w:color w:val="auto"/>
              </w:rPr>
              <w:t>噪声级预测结果见下表</w:t>
            </w:r>
            <w:r>
              <w:rPr>
                <w:rFonts w:hint="eastAsia" w:ascii="Times New Roman" w:hAnsi="Times New Roman"/>
                <w:color w:val="auto"/>
                <w:lang w:eastAsia="zh-CN"/>
              </w:rPr>
              <w:t>。</w:t>
            </w:r>
          </w:p>
          <w:p w14:paraId="5670C5F8">
            <w:pPr>
              <w:pStyle w:val="23"/>
              <w:adjustRightInd/>
              <w:spacing w:line="360" w:lineRule="auto"/>
              <w:ind w:firstLine="422" w:firstLineChars="200"/>
              <w:jc w:val="center"/>
              <w:rPr>
                <w:rFonts w:ascii="Times New Roman" w:hAnsi="Times New Roman"/>
                <w:b/>
                <w:color w:val="auto"/>
                <w:sz w:val="21"/>
                <w:szCs w:val="21"/>
              </w:rPr>
            </w:pPr>
          </w:p>
          <w:p w14:paraId="398CACF2">
            <w:pPr>
              <w:pStyle w:val="23"/>
              <w:adjustRightInd/>
              <w:spacing w:line="360" w:lineRule="auto"/>
              <w:ind w:firstLine="422" w:firstLineChars="200"/>
              <w:jc w:val="center"/>
              <w:rPr>
                <w:rFonts w:ascii="Times New Roman" w:hAnsi="Times New Roman"/>
                <w:b/>
                <w:color w:val="auto"/>
                <w:sz w:val="21"/>
                <w:szCs w:val="21"/>
              </w:rPr>
            </w:pPr>
          </w:p>
          <w:p w14:paraId="2A6D014D">
            <w:pPr>
              <w:pStyle w:val="23"/>
              <w:adjustRightInd/>
              <w:spacing w:line="360" w:lineRule="auto"/>
              <w:ind w:firstLine="422" w:firstLineChars="200"/>
              <w:jc w:val="center"/>
              <w:rPr>
                <w:rFonts w:ascii="Times New Roman" w:hAnsi="Times New Roman"/>
                <w:b/>
                <w:color w:val="auto"/>
                <w:sz w:val="21"/>
                <w:szCs w:val="21"/>
              </w:rPr>
            </w:pPr>
          </w:p>
          <w:p w14:paraId="6B41DAAB">
            <w:pPr>
              <w:pStyle w:val="23"/>
              <w:adjustRightInd/>
              <w:spacing w:line="360" w:lineRule="auto"/>
              <w:ind w:firstLine="422" w:firstLineChars="200"/>
              <w:jc w:val="center"/>
              <w:rPr>
                <w:rFonts w:ascii="Times New Roman" w:hAnsi="Times New Roman"/>
                <w:b/>
                <w:color w:val="auto"/>
                <w:sz w:val="21"/>
                <w:szCs w:val="21"/>
              </w:rPr>
            </w:pPr>
          </w:p>
          <w:p w14:paraId="57497340">
            <w:pPr>
              <w:pStyle w:val="23"/>
              <w:adjustRightInd/>
              <w:spacing w:line="360" w:lineRule="auto"/>
              <w:ind w:firstLine="422" w:firstLineChars="200"/>
              <w:jc w:val="center"/>
              <w:rPr>
                <w:rFonts w:ascii="Times New Roman" w:hAnsi="Times New Roman"/>
                <w:b/>
                <w:color w:val="auto"/>
                <w:sz w:val="21"/>
                <w:szCs w:val="21"/>
              </w:rPr>
            </w:pPr>
          </w:p>
          <w:p w14:paraId="0295EAB2">
            <w:pPr>
              <w:pStyle w:val="23"/>
              <w:adjustRightInd/>
              <w:spacing w:line="360" w:lineRule="auto"/>
              <w:ind w:firstLine="422" w:firstLineChars="200"/>
              <w:jc w:val="center"/>
              <w:rPr>
                <w:rFonts w:ascii="Times New Roman" w:hAnsi="Times New Roman"/>
                <w:b/>
                <w:color w:val="auto"/>
                <w:sz w:val="21"/>
                <w:szCs w:val="21"/>
              </w:rPr>
            </w:pPr>
          </w:p>
          <w:p w14:paraId="42C524FA">
            <w:pPr>
              <w:pStyle w:val="23"/>
              <w:adjustRightInd/>
              <w:spacing w:line="360" w:lineRule="auto"/>
              <w:ind w:firstLine="422" w:firstLineChars="200"/>
              <w:jc w:val="center"/>
              <w:rPr>
                <w:rFonts w:ascii="Times New Roman" w:hAnsi="Times New Roman"/>
                <w:color w:val="auto"/>
              </w:rPr>
            </w:pPr>
            <w:r>
              <w:rPr>
                <w:rFonts w:ascii="Times New Roman" w:hAnsi="Times New Roman"/>
                <w:b/>
                <w:color w:val="auto"/>
                <w:sz w:val="21"/>
                <w:szCs w:val="21"/>
              </w:rPr>
              <w:t>表 4-</w:t>
            </w:r>
            <w:r>
              <w:rPr>
                <w:rFonts w:hint="eastAsia" w:ascii="Times New Roman" w:hAnsi="Times New Roman"/>
                <w:b/>
                <w:color w:val="auto"/>
                <w:sz w:val="21"/>
                <w:szCs w:val="21"/>
                <w:lang w:val="en-US" w:eastAsia="zh-CN"/>
              </w:rPr>
              <w:t>3</w:t>
            </w:r>
            <w:r>
              <w:rPr>
                <w:rFonts w:ascii="Times New Roman" w:hAnsi="Times New Roman"/>
                <w:b/>
                <w:color w:val="auto"/>
                <w:sz w:val="21"/>
                <w:szCs w:val="21"/>
              </w:rPr>
              <w:t xml:space="preserve"> </w:t>
            </w:r>
            <w:r>
              <w:rPr>
                <w:rFonts w:hint="eastAsia" w:ascii="Times New Roman" w:hAnsi="Times New Roman"/>
                <w:b/>
                <w:color w:val="auto"/>
                <w:sz w:val="21"/>
                <w:szCs w:val="21"/>
              </w:rPr>
              <w:t>施工期沿线环境敏感目标处噪声预测结果</w:t>
            </w:r>
            <w:r>
              <w:rPr>
                <w:rFonts w:ascii="Times New Roman" w:hAnsi="Times New Roman"/>
                <w:b/>
                <w:color w:val="auto"/>
                <w:sz w:val="21"/>
                <w:szCs w:val="21"/>
              </w:rPr>
              <w:t xml:space="preserve">  单位：dB （A）</w:t>
            </w:r>
          </w:p>
          <w:tbl>
            <w:tblPr>
              <w:tblStyle w:val="17"/>
              <w:tblW w:w="799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63"/>
              <w:gridCol w:w="750"/>
              <w:gridCol w:w="795"/>
              <w:gridCol w:w="664"/>
              <w:gridCol w:w="1064"/>
              <w:gridCol w:w="630"/>
              <w:gridCol w:w="654"/>
              <w:gridCol w:w="540"/>
              <w:gridCol w:w="709"/>
              <w:gridCol w:w="538"/>
              <w:gridCol w:w="525"/>
              <w:gridCol w:w="563"/>
            </w:tblGrid>
            <w:tr w14:paraId="1A216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13" w:hRule="atLeast"/>
                <w:jc w:val="center"/>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6B03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22"/>
                      <w:u w:val="none"/>
                    </w:rPr>
                  </w:pPr>
                  <w:r>
                    <w:rPr>
                      <w:rFonts w:hint="default" w:ascii="Times New Roman" w:hAnsi="Times New Roman" w:eastAsia="宋体" w:cs="Times New Roman"/>
                      <w:i w:val="0"/>
                      <w:iCs w:val="0"/>
                      <w:color w:val="auto"/>
                      <w:kern w:val="0"/>
                      <w:sz w:val="18"/>
                      <w:szCs w:val="22"/>
                      <w:u w:val="none"/>
                      <w:lang w:val="en-US" w:eastAsia="zh-CN" w:bidi="ar"/>
                    </w:rPr>
                    <w:t>保护目标名称</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B8E5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22"/>
                      <w:u w:val="none"/>
                    </w:rPr>
                  </w:pPr>
                  <w:r>
                    <w:rPr>
                      <w:rFonts w:hint="default" w:ascii="Times New Roman" w:hAnsi="Times New Roman" w:eastAsia="宋体" w:cs="Times New Roman"/>
                      <w:i w:val="0"/>
                      <w:iCs w:val="0"/>
                      <w:color w:val="auto"/>
                      <w:kern w:val="0"/>
                      <w:sz w:val="18"/>
                      <w:szCs w:val="22"/>
                      <w:u w:val="none"/>
                      <w:lang w:val="en-US" w:eastAsia="zh-CN" w:bidi="ar"/>
                    </w:rPr>
                    <w:t>声环境功能区类别</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0AF82">
                  <w:pPr>
                    <w:keepNext w:val="0"/>
                    <w:keepLines w:val="0"/>
                    <w:widowControl/>
                    <w:suppressLineNumbers w:val="0"/>
                    <w:jc w:val="center"/>
                    <w:textAlignment w:val="center"/>
                    <w:rPr>
                      <w:rFonts w:hint="eastAsia" w:ascii="Times New Roman" w:hAnsi="Times New Roman" w:eastAsia="宋体" w:cs="宋体"/>
                      <w:i w:val="0"/>
                      <w:iCs w:val="0"/>
                      <w:color w:val="auto"/>
                      <w:sz w:val="18"/>
                      <w:szCs w:val="22"/>
                      <w:u w:val="none"/>
                    </w:rPr>
                  </w:pPr>
                  <w:r>
                    <w:rPr>
                      <w:rFonts w:hint="eastAsia" w:ascii="Times New Roman" w:hAnsi="Times New Roman" w:eastAsia="宋体" w:cs="宋体"/>
                      <w:i w:val="0"/>
                      <w:iCs w:val="0"/>
                      <w:color w:val="auto"/>
                      <w:kern w:val="0"/>
                      <w:sz w:val="18"/>
                      <w:szCs w:val="22"/>
                      <w:u w:val="none"/>
                      <w:lang w:val="en-US" w:eastAsia="zh-CN" w:bidi="ar"/>
                    </w:rPr>
                    <w:t>涉及工程内容</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206F4">
                  <w:pPr>
                    <w:keepNext w:val="0"/>
                    <w:keepLines w:val="0"/>
                    <w:widowControl/>
                    <w:suppressLineNumbers w:val="0"/>
                    <w:jc w:val="center"/>
                    <w:textAlignment w:val="center"/>
                    <w:rPr>
                      <w:rFonts w:hint="eastAsia" w:ascii="Times New Roman" w:hAnsi="Times New Roman" w:eastAsia="宋体" w:cs="宋体"/>
                      <w:i w:val="0"/>
                      <w:iCs w:val="0"/>
                      <w:color w:val="auto"/>
                      <w:sz w:val="18"/>
                      <w:szCs w:val="22"/>
                      <w:u w:val="none"/>
                    </w:rPr>
                  </w:pPr>
                  <w:r>
                    <w:rPr>
                      <w:rFonts w:hint="eastAsia" w:ascii="Times New Roman" w:hAnsi="Times New Roman" w:eastAsia="宋体" w:cs="宋体"/>
                      <w:i w:val="0"/>
                      <w:iCs w:val="0"/>
                      <w:color w:val="auto"/>
                      <w:kern w:val="0"/>
                      <w:sz w:val="18"/>
                      <w:szCs w:val="22"/>
                      <w:u w:val="none"/>
                      <w:lang w:val="en-US" w:eastAsia="zh-CN" w:bidi="ar"/>
                    </w:rPr>
                    <w:t>最近距离（m）</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E9D22">
                  <w:pPr>
                    <w:keepNext w:val="0"/>
                    <w:keepLines w:val="0"/>
                    <w:widowControl/>
                    <w:suppressLineNumbers w:val="0"/>
                    <w:jc w:val="center"/>
                    <w:textAlignment w:val="center"/>
                    <w:rPr>
                      <w:rFonts w:hint="eastAsia" w:ascii="Times New Roman" w:hAnsi="Times New Roman" w:eastAsia="宋体" w:cs="宋体"/>
                      <w:i w:val="0"/>
                      <w:iCs w:val="0"/>
                      <w:color w:val="auto"/>
                      <w:sz w:val="18"/>
                      <w:szCs w:val="22"/>
                      <w:u w:val="none"/>
                    </w:rPr>
                  </w:pPr>
                  <w:r>
                    <w:rPr>
                      <w:rFonts w:hint="eastAsia" w:ascii="Times New Roman" w:hAnsi="Times New Roman" w:eastAsia="宋体" w:cs="宋体"/>
                      <w:i w:val="0"/>
                      <w:iCs w:val="0"/>
                      <w:color w:val="auto"/>
                      <w:kern w:val="0"/>
                      <w:sz w:val="18"/>
                      <w:szCs w:val="22"/>
                      <w:u w:val="none"/>
                      <w:lang w:val="en-US" w:eastAsia="zh-CN" w:bidi="ar"/>
                    </w:rPr>
                    <w:t>噪声源</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04D8E">
                  <w:pPr>
                    <w:keepNext w:val="0"/>
                    <w:keepLines w:val="0"/>
                    <w:widowControl/>
                    <w:suppressLineNumbers w:val="0"/>
                    <w:jc w:val="center"/>
                    <w:textAlignment w:val="center"/>
                    <w:rPr>
                      <w:rFonts w:hint="eastAsia" w:ascii="Times New Roman" w:hAnsi="Times New Roman" w:eastAsia="宋体" w:cs="宋体"/>
                      <w:i w:val="0"/>
                      <w:iCs w:val="0"/>
                      <w:color w:val="auto"/>
                      <w:sz w:val="18"/>
                      <w:szCs w:val="22"/>
                      <w:u w:val="none"/>
                    </w:rPr>
                  </w:pPr>
                  <w:r>
                    <w:rPr>
                      <w:rFonts w:hint="eastAsia" w:ascii="Times New Roman" w:hAnsi="Times New Roman" w:eastAsia="宋体" w:cs="宋体"/>
                      <w:i w:val="0"/>
                      <w:iCs w:val="0"/>
                      <w:color w:val="auto"/>
                      <w:kern w:val="0"/>
                      <w:sz w:val="18"/>
                      <w:szCs w:val="22"/>
                      <w:u w:val="none"/>
                      <w:lang w:val="en-US" w:eastAsia="zh-CN" w:bidi="ar"/>
                    </w:rPr>
                    <w:t>源强（dB(A)）</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5CEAF">
                  <w:pPr>
                    <w:keepNext w:val="0"/>
                    <w:keepLines w:val="0"/>
                    <w:widowControl/>
                    <w:suppressLineNumbers w:val="0"/>
                    <w:jc w:val="center"/>
                    <w:textAlignment w:val="center"/>
                    <w:rPr>
                      <w:rFonts w:hint="eastAsia" w:ascii="Times New Roman" w:hAnsi="Times New Roman" w:eastAsia="宋体" w:cs="宋体"/>
                      <w:i w:val="0"/>
                      <w:iCs w:val="0"/>
                      <w:color w:val="auto"/>
                      <w:kern w:val="0"/>
                      <w:sz w:val="18"/>
                      <w:szCs w:val="22"/>
                      <w:u w:val="none"/>
                      <w:lang w:val="en-US" w:eastAsia="zh-CN" w:bidi="ar"/>
                    </w:rPr>
                  </w:pPr>
                  <w:r>
                    <w:rPr>
                      <w:rFonts w:hint="eastAsia" w:ascii="Times New Roman" w:hAnsi="Times New Roman" w:eastAsia="宋体" w:cs="宋体"/>
                      <w:i w:val="0"/>
                      <w:iCs w:val="0"/>
                      <w:color w:val="auto"/>
                      <w:kern w:val="0"/>
                      <w:sz w:val="18"/>
                      <w:szCs w:val="22"/>
                      <w:u w:val="none"/>
                      <w:lang w:val="en-US" w:eastAsia="zh-CN" w:bidi="ar"/>
                    </w:rPr>
                    <w:t>贡献值</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96E28">
                  <w:pPr>
                    <w:keepNext w:val="0"/>
                    <w:keepLines w:val="0"/>
                    <w:widowControl/>
                    <w:suppressLineNumbers w:val="0"/>
                    <w:jc w:val="center"/>
                    <w:textAlignment w:val="center"/>
                    <w:rPr>
                      <w:rFonts w:hint="eastAsia" w:ascii="Times New Roman" w:hAnsi="Times New Roman" w:eastAsia="宋体" w:cs="宋体"/>
                      <w:i w:val="0"/>
                      <w:iCs w:val="0"/>
                      <w:color w:val="auto"/>
                      <w:kern w:val="0"/>
                      <w:sz w:val="18"/>
                      <w:szCs w:val="22"/>
                      <w:u w:val="none"/>
                      <w:lang w:val="en-US" w:eastAsia="zh-CN" w:bidi="ar"/>
                    </w:rPr>
                  </w:pPr>
                  <w:r>
                    <w:rPr>
                      <w:rFonts w:hint="eastAsia" w:ascii="Times New Roman" w:hAnsi="Times New Roman" w:eastAsia="宋体" w:cs="宋体"/>
                      <w:i w:val="0"/>
                      <w:iCs w:val="0"/>
                      <w:color w:val="auto"/>
                      <w:kern w:val="0"/>
                      <w:sz w:val="18"/>
                      <w:szCs w:val="22"/>
                      <w:u w:val="none"/>
                      <w:lang w:val="en-US" w:eastAsia="zh-CN" w:bidi="ar"/>
                    </w:rPr>
                    <w:t>现状值</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A74C8">
                  <w:pPr>
                    <w:keepNext w:val="0"/>
                    <w:keepLines w:val="0"/>
                    <w:widowControl/>
                    <w:suppressLineNumbers w:val="0"/>
                    <w:jc w:val="center"/>
                    <w:textAlignment w:val="center"/>
                    <w:rPr>
                      <w:rFonts w:hint="eastAsia" w:ascii="Times New Roman" w:hAnsi="Times New Roman" w:eastAsia="宋体" w:cs="宋体"/>
                      <w:i w:val="0"/>
                      <w:iCs w:val="0"/>
                      <w:color w:val="auto"/>
                      <w:kern w:val="0"/>
                      <w:sz w:val="18"/>
                      <w:szCs w:val="22"/>
                      <w:u w:val="none"/>
                      <w:lang w:val="en-US" w:eastAsia="zh-CN" w:bidi="ar"/>
                    </w:rPr>
                  </w:pPr>
                  <w:r>
                    <w:rPr>
                      <w:rFonts w:hint="eastAsia" w:ascii="Times New Roman" w:hAnsi="Times New Roman" w:eastAsia="宋体" w:cs="宋体"/>
                      <w:i w:val="0"/>
                      <w:iCs w:val="0"/>
                      <w:color w:val="auto"/>
                      <w:kern w:val="0"/>
                      <w:sz w:val="18"/>
                      <w:szCs w:val="22"/>
                      <w:u w:val="none"/>
                      <w:lang w:val="en-US" w:eastAsia="zh-CN" w:bidi="ar"/>
                    </w:rPr>
                    <w:t>叠加值</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62FE0">
                  <w:pPr>
                    <w:keepNext w:val="0"/>
                    <w:keepLines w:val="0"/>
                    <w:widowControl/>
                    <w:suppressLineNumbers w:val="0"/>
                    <w:jc w:val="center"/>
                    <w:textAlignment w:val="center"/>
                    <w:rPr>
                      <w:rFonts w:hint="eastAsia" w:ascii="Times New Roman" w:hAnsi="Times New Roman" w:eastAsia="宋体" w:cs="宋体"/>
                      <w:i w:val="0"/>
                      <w:iCs w:val="0"/>
                      <w:color w:val="auto"/>
                      <w:sz w:val="18"/>
                      <w:szCs w:val="22"/>
                      <w:u w:val="none"/>
                    </w:rPr>
                  </w:pPr>
                  <w:r>
                    <w:rPr>
                      <w:rFonts w:hint="eastAsia" w:ascii="Times New Roman" w:hAnsi="Times New Roman" w:eastAsia="宋体" w:cs="宋体"/>
                      <w:i w:val="0"/>
                      <w:iCs w:val="0"/>
                      <w:color w:val="auto"/>
                      <w:kern w:val="0"/>
                      <w:sz w:val="18"/>
                      <w:szCs w:val="22"/>
                      <w:u w:val="none"/>
                      <w:lang w:val="en-US" w:eastAsia="zh-CN" w:bidi="ar"/>
                    </w:rPr>
                    <w:t>是否达标</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82BA5">
                  <w:pPr>
                    <w:keepNext w:val="0"/>
                    <w:keepLines w:val="0"/>
                    <w:widowControl/>
                    <w:suppressLineNumbers w:val="0"/>
                    <w:jc w:val="center"/>
                    <w:textAlignment w:val="center"/>
                    <w:rPr>
                      <w:rFonts w:hint="eastAsia" w:ascii="Times New Roman" w:hAnsi="Times New Roman" w:eastAsia="宋体" w:cs="宋体"/>
                      <w:i w:val="0"/>
                      <w:iCs w:val="0"/>
                      <w:color w:val="auto"/>
                      <w:sz w:val="18"/>
                      <w:szCs w:val="21"/>
                      <w:u w:val="none"/>
                    </w:rPr>
                  </w:pPr>
                  <w:r>
                    <w:rPr>
                      <w:rFonts w:hint="eastAsia" w:ascii="Times New Roman" w:hAnsi="Times New Roman" w:eastAsia="宋体" w:cs="宋体"/>
                      <w:i w:val="0"/>
                      <w:iCs w:val="0"/>
                      <w:color w:val="auto"/>
                      <w:kern w:val="0"/>
                      <w:sz w:val="18"/>
                      <w:szCs w:val="21"/>
                      <w:u w:val="none"/>
                      <w:lang w:val="en-US" w:eastAsia="zh-CN" w:bidi="ar"/>
                    </w:rPr>
                    <w:t>现状值来源</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830DE">
                  <w:pPr>
                    <w:keepNext w:val="0"/>
                    <w:keepLines w:val="0"/>
                    <w:widowControl/>
                    <w:suppressLineNumbers w:val="0"/>
                    <w:jc w:val="center"/>
                    <w:textAlignment w:val="center"/>
                    <w:rPr>
                      <w:rFonts w:hint="eastAsia" w:ascii="Times New Roman" w:hAnsi="Times New Roman"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贡献值（采取声屏障措施）</w:t>
                  </w:r>
                </w:p>
              </w:tc>
            </w:tr>
            <w:tr w14:paraId="75E37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5" w:hRule="atLeast"/>
                <w:jc w:val="center"/>
              </w:trPr>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BD3B5A">
                  <w:pPr>
                    <w:keepNext w:val="0"/>
                    <w:keepLines w:val="0"/>
                    <w:widowControl/>
                    <w:suppressLineNumbers w:val="0"/>
                    <w:jc w:val="center"/>
                    <w:textAlignment w:val="center"/>
                    <w:rPr>
                      <w:rFonts w:hint="eastAsia" w:ascii="Times New Roman" w:hAnsi="Times New Roman" w:eastAsia="宋体" w:cs="宋体"/>
                      <w:i w:val="0"/>
                      <w:iCs w:val="0"/>
                      <w:color w:val="auto"/>
                      <w:sz w:val="18"/>
                      <w:szCs w:val="21"/>
                      <w:u w:val="none"/>
                    </w:rPr>
                  </w:pPr>
                  <w:r>
                    <w:rPr>
                      <w:rFonts w:hint="eastAsia" w:ascii="Times New Roman" w:hAnsi="Times New Roman" w:eastAsia="宋体" w:cs="宋体"/>
                      <w:i w:val="0"/>
                      <w:iCs w:val="0"/>
                      <w:color w:val="auto"/>
                      <w:kern w:val="0"/>
                      <w:sz w:val="18"/>
                      <w:szCs w:val="21"/>
                      <w:u w:val="none"/>
                      <w:lang w:val="en-US" w:eastAsia="zh-CN" w:bidi="ar"/>
                    </w:rPr>
                    <w:t>N1（昼间）</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ABF1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类</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15437">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钻井阶段</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384A7">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FC96A">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钻机×1</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钻井泵×1</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泥浆泵×1</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绞车×1</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9C4C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96.1</w:t>
                  </w: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B589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70.1 </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AD42A">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52</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C61A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70.1 </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27696">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超标</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DC534B">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实测</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F9F31">
                  <w:pPr>
                    <w:keepNext w:val="0"/>
                    <w:keepLines w:val="0"/>
                    <w:widowControl/>
                    <w:suppressLineNumbers w:val="0"/>
                    <w:jc w:val="center"/>
                    <w:textAlignment w:val="center"/>
                    <w:rPr>
                      <w:rFonts w:hint="eastAsia" w:ascii="Times New Roman" w:hAnsi="Times New Roman"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50 </w:t>
                  </w:r>
                </w:p>
              </w:tc>
            </w:tr>
            <w:tr w14:paraId="03CFA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BCB030">
                  <w:pPr>
                    <w:jc w:val="center"/>
                    <w:rPr>
                      <w:rFonts w:hint="eastAsia" w:ascii="Times New Roman" w:hAnsi="Times New Roman" w:eastAsia="宋体" w:cs="宋体"/>
                      <w:i w:val="0"/>
                      <w:iCs w:val="0"/>
                      <w:color w:val="auto"/>
                      <w:sz w:val="18"/>
                      <w:szCs w:val="21"/>
                      <w:u w:val="none"/>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F09F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类</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5DB05">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下套管阶段</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AE324">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3CC25">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泥浆泵×1</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绞车×1</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A2BD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88</w:t>
                  </w: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238E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62.0 </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CDA59">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52</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85E2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62.4 </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2ACBC">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超标</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616C0">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实测</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052C7">
                  <w:pPr>
                    <w:keepNext w:val="0"/>
                    <w:keepLines w:val="0"/>
                    <w:widowControl/>
                    <w:suppressLineNumbers w:val="0"/>
                    <w:jc w:val="center"/>
                    <w:textAlignment w:val="center"/>
                    <w:rPr>
                      <w:rFonts w:hint="eastAsia" w:ascii="Times New Roman" w:hAnsi="Times New Roman"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37 </w:t>
                  </w:r>
                </w:p>
              </w:tc>
            </w:tr>
            <w:tr w14:paraId="17341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5" w:hRule="atLeast"/>
                <w:jc w:val="center"/>
              </w:trPr>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403600">
                  <w:pPr>
                    <w:keepNext w:val="0"/>
                    <w:keepLines w:val="0"/>
                    <w:widowControl/>
                    <w:suppressLineNumbers w:val="0"/>
                    <w:jc w:val="center"/>
                    <w:textAlignment w:val="center"/>
                    <w:rPr>
                      <w:rFonts w:hint="eastAsia" w:ascii="Times New Roman" w:hAnsi="Times New Roman" w:eastAsia="宋体" w:cs="宋体"/>
                      <w:i w:val="0"/>
                      <w:iCs w:val="0"/>
                      <w:color w:val="auto"/>
                      <w:sz w:val="18"/>
                      <w:szCs w:val="21"/>
                      <w:u w:val="none"/>
                    </w:rPr>
                  </w:pPr>
                  <w:r>
                    <w:rPr>
                      <w:rFonts w:hint="eastAsia" w:ascii="Times New Roman" w:hAnsi="Times New Roman" w:eastAsia="宋体" w:cs="宋体"/>
                      <w:i w:val="0"/>
                      <w:iCs w:val="0"/>
                      <w:color w:val="auto"/>
                      <w:kern w:val="0"/>
                      <w:sz w:val="18"/>
                      <w:szCs w:val="21"/>
                      <w:u w:val="none"/>
                      <w:lang w:val="en-US" w:eastAsia="zh-CN" w:bidi="ar"/>
                    </w:rPr>
                    <w:t>N1（夜间）</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B1B7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类</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B9A56">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钻进阶段</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71F25">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EA82D">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钻机×1</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钻井泵×1</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泥浆泵×1</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绞车×1</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291C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96.1</w:t>
                  </w: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D0F8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70.1 </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11A7A">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43</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DAB9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70.1 </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D26F1">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超标</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9B27C">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实测</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1723C">
                  <w:pPr>
                    <w:keepNext w:val="0"/>
                    <w:keepLines w:val="0"/>
                    <w:widowControl/>
                    <w:suppressLineNumbers w:val="0"/>
                    <w:jc w:val="center"/>
                    <w:textAlignment w:val="center"/>
                    <w:rPr>
                      <w:rFonts w:hint="eastAsia" w:ascii="Times New Roman" w:hAnsi="Times New Roman"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45 </w:t>
                  </w:r>
                </w:p>
              </w:tc>
            </w:tr>
            <w:tr w14:paraId="08635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8" w:hRule="atLeast"/>
                <w:jc w:val="center"/>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B86336">
                  <w:pPr>
                    <w:jc w:val="center"/>
                    <w:rPr>
                      <w:rFonts w:hint="eastAsia" w:ascii="Times New Roman" w:hAnsi="Times New Roman" w:eastAsia="宋体" w:cs="宋体"/>
                      <w:i w:val="0"/>
                      <w:iCs w:val="0"/>
                      <w:color w:val="auto"/>
                      <w:sz w:val="18"/>
                      <w:szCs w:val="21"/>
                      <w:u w:val="none"/>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BAEB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类</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8FD22">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下套管阶段</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64059">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2CB49">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泥浆泵×1</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绞车×1</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C906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88</w:t>
                  </w: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90D4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62.0 </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25B34">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43</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20CC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62.0 </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7485C">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超标</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207D8">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实测</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2833E">
                  <w:pPr>
                    <w:keepNext w:val="0"/>
                    <w:keepLines w:val="0"/>
                    <w:widowControl/>
                    <w:suppressLineNumbers w:val="0"/>
                    <w:jc w:val="center"/>
                    <w:textAlignment w:val="center"/>
                    <w:rPr>
                      <w:rFonts w:hint="eastAsia" w:ascii="Times New Roman" w:hAnsi="Times New Roman"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37 </w:t>
                  </w:r>
                </w:p>
              </w:tc>
            </w:tr>
            <w:tr w14:paraId="6B8EE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1" w:hRule="atLeast"/>
                <w:jc w:val="center"/>
              </w:trPr>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0948E0">
                  <w:pPr>
                    <w:keepNext w:val="0"/>
                    <w:keepLines w:val="0"/>
                    <w:widowControl/>
                    <w:suppressLineNumbers w:val="0"/>
                    <w:jc w:val="center"/>
                    <w:textAlignment w:val="center"/>
                    <w:rPr>
                      <w:rFonts w:hint="eastAsia" w:ascii="Times New Roman" w:hAnsi="Times New Roman" w:eastAsia="宋体" w:cs="宋体"/>
                      <w:i w:val="0"/>
                      <w:iCs w:val="0"/>
                      <w:color w:val="auto"/>
                      <w:sz w:val="18"/>
                      <w:szCs w:val="21"/>
                      <w:u w:val="none"/>
                    </w:rPr>
                  </w:pPr>
                  <w:r>
                    <w:rPr>
                      <w:rFonts w:hint="eastAsia" w:ascii="Times New Roman" w:hAnsi="Times New Roman" w:eastAsia="宋体" w:cs="宋体"/>
                      <w:i w:val="0"/>
                      <w:iCs w:val="0"/>
                      <w:color w:val="auto"/>
                      <w:kern w:val="0"/>
                      <w:sz w:val="18"/>
                      <w:szCs w:val="21"/>
                      <w:u w:val="none"/>
                      <w:lang w:val="en-US" w:eastAsia="zh-CN" w:bidi="ar"/>
                    </w:rPr>
                    <w:t>N2（昼间）</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602F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4a</w:t>
                  </w:r>
                  <w:r>
                    <w:rPr>
                      <w:rFonts w:hint="eastAsia" w:ascii="宋体" w:hAnsi="宋体" w:eastAsia="宋体" w:cs="宋体"/>
                      <w:i w:val="0"/>
                      <w:iCs w:val="0"/>
                      <w:color w:val="auto"/>
                      <w:kern w:val="0"/>
                      <w:sz w:val="18"/>
                      <w:szCs w:val="18"/>
                      <w:u w:val="none"/>
                      <w:lang w:val="en-US" w:eastAsia="zh-CN" w:bidi="ar"/>
                    </w:rPr>
                    <w:t>类</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2A086">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钻进阶段</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CF336">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42</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1DE81">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钻机×1</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钻井泵×1</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泥浆泵×1</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绞车×1</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C8EE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96.1</w:t>
                  </w: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7FEA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63.6 </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23FC3">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47</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83A0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63.7 </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F14C1">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达标</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35B0D">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实测</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48432">
                  <w:pPr>
                    <w:keepNext w:val="0"/>
                    <w:keepLines w:val="0"/>
                    <w:widowControl/>
                    <w:suppressLineNumbers w:val="0"/>
                    <w:jc w:val="center"/>
                    <w:textAlignment w:val="center"/>
                    <w:rPr>
                      <w:rFonts w:hint="eastAsia" w:ascii="Times New Roman" w:hAnsi="Times New Roman"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39 </w:t>
                  </w:r>
                </w:p>
              </w:tc>
            </w:tr>
            <w:tr w14:paraId="584D3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jc w:val="center"/>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8AE56B">
                  <w:pPr>
                    <w:jc w:val="center"/>
                    <w:rPr>
                      <w:rFonts w:hint="eastAsia" w:ascii="Times New Roman" w:hAnsi="Times New Roman" w:eastAsia="宋体" w:cs="宋体"/>
                      <w:i w:val="0"/>
                      <w:iCs w:val="0"/>
                      <w:color w:val="auto"/>
                      <w:sz w:val="18"/>
                      <w:szCs w:val="21"/>
                      <w:u w:val="none"/>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6317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4a类</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5082E">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下套管阶段</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6D546">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42</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F9429">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泥浆泵×1</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绞车×1</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E3B3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88</w:t>
                  </w: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8621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55.5 </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5FED7">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47</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9101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56.1 </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B4C9A">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达标</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EB9E6">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实测</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14CA4">
                  <w:pPr>
                    <w:keepNext w:val="0"/>
                    <w:keepLines w:val="0"/>
                    <w:widowControl/>
                    <w:suppressLineNumbers w:val="0"/>
                    <w:jc w:val="center"/>
                    <w:textAlignment w:val="center"/>
                    <w:rPr>
                      <w:rFonts w:hint="eastAsia" w:ascii="Times New Roman" w:hAnsi="Times New Roman"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31 </w:t>
                  </w:r>
                </w:p>
              </w:tc>
            </w:tr>
            <w:tr w14:paraId="5186A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1" w:hRule="atLeast"/>
                <w:jc w:val="center"/>
              </w:trPr>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21079C">
                  <w:pPr>
                    <w:keepNext w:val="0"/>
                    <w:keepLines w:val="0"/>
                    <w:widowControl/>
                    <w:suppressLineNumbers w:val="0"/>
                    <w:jc w:val="center"/>
                    <w:textAlignment w:val="center"/>
                    <w:rPr>
                      <w:rFonts w:hint="eastAsia" w:ascii="Times New Roman" w:hAnsi="Times New Roman" w:eastAsia="宋体" w:cs="宋体"/>
                      <w:i w:val="0"/>
                      <w:iCs w:val="0"/>
                      <w:color w:val="auto"/>
                      <w:sz w:val="18"/>
                      <w:szCs w:val="21"/>
                      <w:u w:val="none"/>
                    </w:rPr>
                  </w:pPr>
                  <w:r>
                    <w:rPr>
                      <w:rFonts w:hint="eastAsia" w:ascii="Times New Roman" w:hAnsi="Times New Roman" w:eastAsia="宋体" w:cs="宋体"/>
                      <w:i w:val="0"/>
                      <w:iCs w:val="0"/>
                      <w:color w:val="auto"/>
                      <w:kern w:val="0"/>
                      <w:sz w:val="18"/>
                      <w:szCs w:val="21"/>
                      <w:u w:val="none"/>
                      <w:lang w:val="en-US" w:eastAsia="zh-CN" w:bidi="ar"/>
                    </w:rPr>
                    <w:t>N2（夜间）</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B261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4a</w:t>
                  </w:r>
                  <w:r>
                    <w:rPr>
                      <w:rFonts w:hint="eastAsia" w:ascii="宋体" w:hAnsi="宋体" w:eastAsia="宋体" w:cs="宋体"/>
                      <w:i w:val="0"/>
                      <w:iCs w:val="0"/>
                      <w:color w:val="auto"/>
                      <w:kern w:val="0"/>
                      <w:sz w:val="18"/>
                      <w:szCs w:val="18"/>
                      <w:u w:val="none"/>
                      <w:lang w:val="en-US" w:eastAsia="zh-CN" w:bidi="ar"/>
                    </w:rPr>
                    <w:t>类</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6F1B7">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钻进阶段</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D8C87">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42</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321A5">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钻机×1</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钻井泵×1</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泥浆泵×1</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绞车×1</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05B5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96.1</w:t>
                  </w: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4A64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63.6 </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A3D6E">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49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0348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63.8 </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28096">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超标</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56013">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实测</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F5492">
                  <w:pPr>
                    <w:keepNext w:val="0"/>
                    <w:keepLines w:val="0"/>
                    <w:widowControl/>
                    <w:suppressLineNumbers w:val="0"/>
                    <w:jc w:val="center"/>
                    <w:textAlignment w:val="center"/>
                    <w:rPr>
                      <w:rFonts w:hint="eastAsia" w:ascii="Times New Roman" w:hAnsi="Times New Roman"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39 </w:t>
                  </w:r>
                </w:p>
              </w:tc>
            </w:tr>
            <w:tr w14:paraId="129783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6" w:hRule="atLeast"/>
                <w:jc w:val="center"/>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2247F8">
                  <w:pPr>
                    <w:jc w:val="center"/>
                    <w:rPr>
                      <w:rFonts w:hint="eastAsia" w:ascii="Times New Roman" w:hAnsi="Times New Roman" w:eastAsia="宋体" w:cs="宋体"/>
                      <w:i w:val="0"/>
                      <w:iCs w:val="0"/>
                      <w:color w:val="auto"/>
                      <w:sz w:val="18"/>
                      <w:szCs w:val="21"/>
                      <w:u w:val="none"/>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5E37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4a</w:t>
                  </w:r>
                  <w:r>
                    <w:rPr>
                      <w:rFonts w:hint="eastAsia" w:ascii="宋体" w:hAnsi="宋体" w:eastAsia="宋体" w:cs="宋体"/>
                      <w:i w:val="0"/>
                      <w:iCs w:val="0"/>
                      <w:color w:val="auto"/>
                      <w:kern w:val="0"/>
                      <w:sz w:val="18"/>
                      <w:szCs w:val="18"/>
                      <w:u w:val="none"/>
                      <w:lang w:val="en-US" w:eastAsia="zh-CN" w:bidi="ar"/>
                    </w:rPr>
                    <w:t>类</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0E003">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下套管阶段</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7123F">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42</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0915A">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泥浆泵×1</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绞车×1</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AE02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88</w:t>
                  </w: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4E0A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55.5 </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DA826">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49</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C6D0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56.4 </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4B5FB">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超标</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A2365">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实测</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304F8">
                  <w:pPr>
                    <w:keepNext w:val="0"/>
                    <w:keepLines w:val="0"/>
                    <w:widowControl/>
                    <w:suppressLineNumbers w:val="0"/>
                    <w:jc w:val="center"/>
                    <w:textAlignment w:val="center"/>
                    <w:rPr>
                      <w:rFonts w:hint="eastAsia" w:ascii="Times New Roman" w:hAnsi="Times New Roman"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31 </w:t>
                  </w:r>
                </w:p>
              </w:tc>
            </w:tr>
            <w:tr w14:paraId="7A481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5" w:hRule="atLeast"/>
                <w:jc w:val="center"/>
              </w:trPr>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7FE71A">
                  <w:pPr>
                    <w:keepNext w:val="0"/>
                    <w:keepLines w:val="0"/>
                    <w:widowControl/>
                    <w:suppressLineNumbers w:val="0"/>
                    <w:jc w:val="center"/>
                    <w:textAlignment w:val="center"/>
                    <w:rPr>
                      <w:rFonts w:hint="eastAsia" w:ascii="Times New Roman" w:hAnsi="Times New Roman" w:eastAsia="宋体" w:cs="宋体"/>
                      <w:i w:val="0"/>
                      <w:iCs w:val="0"/>
                      <w:color w:val="auto"/>
                      <w:sz w:val="18"/>
                      <w:szCs w:val="21"/>
                      <w:u w:val="none"/>
                    </w:rPr>
                  </w:pPr>
                  <w:r>
                    <w:rPr>
                      <w:rFonts w:hint="eastAsia" w:ascii="Times New Roman" w:hAnsi="Times New Roman" w:eastAsia="宋体" w:cs="宋体"/>
                      <w:i w:val="0"/>
                      <w:iCs w:val="0"/>
                      <w:color w:val="auto"/>
                      <w:kern w:val="0"/>
                      <w:sz w:val="18"/>
                      <w:szCs w:val="21"/>
                      <w:u w:val="none"/>
                      <w:lang w:val="en-US" w:eastAsia="zh-CN" w:bidi="ar"/>
                    </w:rPr>
                    <w:t>N3（昼间）</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4DD3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类</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081FE">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钻井阶段</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69051">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45</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EB41C">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钻机×1</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钻井泵×1</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泥浆泵×1</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绞车×1</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505A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96.1</w:t>
                  </w: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CDCC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63.0 </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FE7CE">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46</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A6E9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63.1 </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1B91B">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超标</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ACF18">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实测</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87B2E">
                  <w:pPr>
                    <w:keepNext w:val="0"/>
                    <w:keepLines w:val="0"/>
                    <w:widowControl/>
                    <w:suppressLineNumbers w:val="0"/>
                    <w:jc w:val="center"/>
                    <w:textAlignment w:val="center"/>
                    <w:rPr>
                      <w:rFonts w:hint="eastAsia" w:ascii="Times New Roman" w:hAnsi="Times New Roman"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38 </w:t>
                  </w:r>
                </w:p>
              </w:tc>
            </w:tr>
            <w:tr w14:paraId="02130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9" w:hRule="atLeast"/>
                <w:jc w:val="center"/>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C76886">
                  <w:pPr>
                    <w:jc w:val="center"/>
                    <w:rPr>
                      <w:rFonts w:hint="eastAsia" w:ascii="Times New Roman" w:hAnsi="Times New Roman" w:eastAsia="宋体" w:cs="宋体"/>
                      <w:i w:val="0"/>
                      <w:iCs w:val="0"/>
                      <w:color w:val="auto"/>
                      <w:sz w:val="18"/>
                      <w:szCs w:val="21"/>
                      <w:u w:val="none"/>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022C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类</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629C1">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下套管阶段</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8CC44">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45</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96254">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泥浆泵×1</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绞车×1</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2EF9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88</w:t>
                  </w: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D25E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54.9 </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06F61">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46</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1BB4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55.5 </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088AE">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超标</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3E841">
                  <w:pPr>
                    <w:keepNext w:val="0"/>
                    <w:keepLines w:val="0"/>
                    <w:widowControl/>
                    <w:suppressLineNumbers w:val="0"/>
                    <w:jc w:val="center"/>
                    <w:textAlignment w:val="center"/>
                    <w:rPr>
                      <w:rFonts w:hint="eastAsia" w:ascii="Times New Roman" w:hAnsi="Times New Roman"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实测</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4092A">
                  <w:pPr>
                    <w:keepNext w:val="0"/>
                    <w:keepLines w:val="0"/>
                    <w:widowControl/>
                    <w:suppressLineNumbers w:val="0"/>
                    <w:jc w:val="center"/>
                    <w:textAlignment w:val="center"/>
                    <w:rPr>
                      <w:rFonts w:hint="eastAsia" w:ascii="Times New Roman" w:hAnsi="Times New Roman"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30 </w:t>
                  </w:r>
                </w:p>
              </w:tc>
            </w:tr>
            <w:tr w14:paraId="399C2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5" w:hRule="atLeast"/>
                <w:jc w:val="center"/>
              </w:trPr>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B4D6AE">
                  <w:pPr>
                    <w:keepNext w:val="0"/>
                    <w:keepLines w:val="0"/>
                    <w:widowControl/>
                    <w:suppressLineNumbers w:val="0"/>
                    <w:jc w:val="center"/>
                    <w:textAlignment w:val="center"/>
                    <w:rPr>
                      <w:rFonts w:hint="eastAsia" w:ascii="Times New Roman" w:hAnsi="Times New Roman" w:eastAsia="宋体" w:cs="宋体"/>
                      <w:i w:val="0"/>
                      <w:iCs w:val="0"/>
                      <w:color w:val="auto"/>
                      <w:sz w:val="18"/>
                      <w:szCs w:val="21"/>
                      <w:u w:val="none"/>
                    </w:rPr>
                  </w:pPr>
                  <w:r>
                    <w:rPr>
                      <w:rFonts w:hint="eastAsia" w:ascii="Times New Roman" w:hAnsi="Times New Roman" w:eastAsia="宋体" w:cs="宋体"/>
                      <w:i w:val="0"/>
                      <w:iCs w:val="0"/>
                      <w:color w:val="auto"/>
                      <w:kern w:val="0"/>
                      <w:sz w:val="18"/>
                      <w:szCs w:val="21"/>
                      <w:u w:val="none"/>
                      <w:lang w:val="en-US" w:eastAsia="zh-CN" w:bidi="ar"/>
                    </w:rPr>
                    <w:t>N3（昼间）</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6727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1类</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5F49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钻井阶段</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C3AA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45</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FF70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钻机×1</w:t>
                  </w:r>
                  <w:r>
                    <w:rPr>
                      <w:rFonts w:hint="default" w:ascii="Times New Roman" w:hAnsi="Times New Roman" w:eastAsia="宋体" w:cs="Times New Roman"/>
                      <w:i w:val="0"/>
                      <w:iCs w:val="0"/>
                      <w:color w:val="auto"/>
                      <w:kern w:val="0"/>
                      <w:sz w:val="18"/>
                      <w:szCs w:val="18"/>
                      <w:u w:val="none"/>
                      <w:lang w:val="en-US" w:eastAsia="zh-CN" w:bidi="ar"/>
                    </w:rPr>
                    <w:br w:type="textWrapping"/>
                  </w:r>
                  <w:r>
                    <w:rPr>
                      <w:rFonts w:hint="default" w:ascii="Times New Roman" w:hAnsi="Times New Roman" w:eastAsia="宋体" w:cs="Times New Roman"/>
                      <w:i w:val="0"/>
                      <w:iCs w:val="0"/>
                      <w:color w:val="auto"/>
                      <w:kern w:val="0"/>
                      <w:sz w:val="18"/>
                      <w:szCs w:val="18"/>
                      <w:u w:val="none"/>
                      <w:lang w:val="en-US" w:eastAsia="zh-CN" w:bidi="ar"/>
                    </w:rPr>
                    <w:t>钻井泵×1</w:t>
                  </w:r>
                  <w:r>
                    <w:rPr>
                      <w:rFonts w:hint="default" w:ascii="Times New Roman" w:hAnsi="Times New Roman" w:eastAsia="宋体" w:cs="Times New Roman"/>
                      <w:i w:val="0"/>
                      <w:iCs w:val="0"/>
                      <w:color w:val="auto"/>
                      <w:kern w:val="0"/>
                      <w:sz w:val="18"/>
                      <w:szCs w:val="18"/>
                      <w:u w:val="none"/>
                      <w:lang w:val="en-US" w:eastAsia="zh-CN" w:bidi="ar"/>
                    </w:rPr>
                    <w:br w:type="textWrapping"/>
                  </w:r>
                  <w:r>
                    <w:rPr>
                      <w:rFonts w:hint="default" w:ascii="Times New Roman" w:hAnsi="Times New Roman" w:eastAsia="宋体" w:cs="Times New Roman"/>
                      <w:i w:val="0"/>
                      <w:iCs w:val="0"/>
                      <w:color w:val="auto"/>
                      <w:kern w:val="0"/>
                      <w:sz w:val="18"/>
                      <w:szCs w:val="18"/>
                      <w:u w:val="none"/>
                      <w:lang w:val="en-US" w:eastAsia="zh-CN" w:bidi="ar"/>
                    </w:rPr>
                    <w:t>泥浆泵×1</w:t>
                  </w:r>
                  <w:r>
                    <w:rPr>
                      <w:rFonts w:hint="default" w:ascii="Times New Roman" w:hAnsi="Times New Roman" w:eastAsia="宋体" w:cs="Times New Roman"/>
                      <w:i w:val="0"/>
                      <w:iCs w:val="0"/>
                      <w:color w:val="auto"/>
                      <w:kern w:val="0"/>
                      <w:sz w:val="18"/>
                      <w:szCs w:val="18"/>
                      <w:u w:val="none"/>
                      <w:lang w:val="en-US" w:eastAsia="zh-CN" w:bidi="ar"/>
                    </w:rPr>
                    <w:br w:type="textWrapping"/>
                  </w:r>
                  <w:r>
                    <w:rPr>
                      <w:rFonts w:hint="default" w:ascii="Times New Roman" w:hAnsi="Times New Roman" w:eastAsia="宋体" w:cs="Times New Roman"/>
                      <w:i w:val="0"/>
                      <w:iCs w:val="0"/>
                      <w:color w:val="auto"/>
                      <w:kern w:val="0"/>
                      <w:sz w:val="18"/>
                      <w:szCs w:val="18"/>
                      <w:u w:val="none"/>
                      <w:lang w:val="en-US" w:eastAsia="zh-CN" w:bidi="ar"/>
                    </w:rPr>
                    <w:t>绞车×1</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E9D2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96.1</w:t>
                  </w: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BA1B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63.0 </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3AAA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38</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C2D1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63.0 </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A734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超标</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4C69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实测</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C90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38 </w:t>
                  </w:r>
                </w:p>
              </w:tc>
            </w:tr>
            <w:tr w14:paraId="6C294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0" w:hRule="atLeast"/>
                <w:jc w:val="center"/>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880B10">
                  <w:pPr>
                    <w:jc w:val="center"/>
                    <w:rPr>
                      <w:rFonts w:hint="eastAsia" w:ascii="Times New Roman" w:hAnsi="Times New Roman" w:eastAsia="宋体" w:cs="宋体"/>
                      <w:i w:val="0"/>
                      <w:iCs w:val="0"/>
                      <w:color w:val="auto"/>
                      <w:sz w:val="18"/>
                      <w:szCs w:val="21"/>
                      <w:u w:val="none"/>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1656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1类</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A392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下套管阶段</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BF0A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45</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E6C4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泥浆泵×1</w:t>
                  </w:r>
                  <w:r>
                    <w:rPr>
                      <w:rFonts w:hint="default" w:ascii="Times New Roman" w:hAnsi="Times New Roman" w:eastAsia="宋体" w:cs="Times New Roman"/>
                      <w:i w:val="0"/>
                      <w:iCs w:val="0"/>
                      <w:color w:val="auto"/>
                      <w:kern w:val="0"/>
                      <w:sz w:val="18"/>
                      <w:szCs w:val="18"/>
                      <w:u w:val="none"/>
                      <w:lang w:val="en-US" w:eastAsia="zh-CN" w:bidi="ar"/>
                    </w:rPr>
                    <w:br w:type="textWrapping"/>
                  </w:r>
                  <w:r>
                    <w:rPr>
                      <w:rFonts w:hint="default" w:ascii="Times New Roman" w:hAnsi="Times New Roman" w:eastAsia="宋体" w:cs="Times New Roman"/>
                      <w:i w:val="0"/>
                      <w:iCs w:val="0"/>
                      <w:color w:val="auto"/>
                      <w:kern w:val="0"/>
                      <w:sz w:val="18"/>
                      <w:szCs w:val="18"/>
                      <w:u w:val="none"/>
                      <w:lang w:val="en-US" w:eastAsia="zh-CN" w:bidi="ar"/>
                    </w:rPr>
                    <w:t>绞车×1</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968D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88</w:t>
                  </w: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6C97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54.9 </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0AFD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38</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06E0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 xml:space="preserve">55.0 </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4083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超标</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61A8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实测</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A756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30 </w:t>
                  </w:r>
                </w:p>
              </w:tc>
            </w:tr>
          </w:tbl>
          <w:p w14:paraId="6D8F4D27">
            <w:pPr>
              <w:pStyle w:val="5"/>
              <w:spacing w:line="360" w:lineRule="auto"/>
              <w:ind w:firstLine="482"/>
              <w:rPr>
                <w:rFonts w:hint="eastAsia" w:ascii="Times New Roman" w:hAnsi="Times New Roman"/>
                <w:b w:val="0"/>
                <w:bCs w:val="0"/>
                <w:color w:val="auto"/>
                <w:sz w:val="24"/>
                <w:lang w:val="en-US" w:eastAsia="zh-CN"/>
              </w:rPr>
            </w:pPr>
            <w:r>
              <w:rPr>
                <w:rFonts w:hint="eastAsia" w:ascii="Times New Roman" w:hAnsi="Times New Roman"/>
                <w:b w:val="0"/>
                <w:bCs w:val="0"/>
                <w:color w:val="auto"/>
                <w:sz w:val="24"/>
                <w:lang w:val="en-US" w:eastAsia="zh-CN"/>
              </w:rPr>
              <w:t>施工单位需合理安排施工时间，高噪声设备夜间禁止施工；若因工期紧张，必须进行夜间施工的，需采用移动声屏障，并提前告知村民，降低噪声影响。昼间施工噪声应采取如下治理措施以保证敏感点声环境质量达标：</w:t>
            </w:r>
          </w:p>
          <w:p w14:paraId="52081FC1">
            <w:pPr>
              <w:pStyle w:val="5"/>
              <w:spacing w:line="360" w:lineRule="auto"/>
              <w:ind w:firstLine="482"/>
              <w:rPr>
                <w:rFonts w:hint="eastAsia" w:ascii="Times New Roman" w:hAnsi="Times New Roman"/>
                <w:b w:val="0"/>
                <w:bCs w:val="0"/>
                <w:color w:val="auto"/>
                <w:sz w:val="24"/>
                <w:lang w:val="en-US" w:eastAsia="zh-CN"/>
              </w:rPr>
            </w:pPr>
            <w:r>
              <w:rPr>
                <w:rFonts w:hint="eastAsia" w:ascii="Times New Roman" w:hAnsi="Times New Roman"/>
                <w:b w:val="0"/>
                <w:bCs w:val="0"/>
                <w:color w:val="auto"/>
                <w:sz w:val="24"/>
                <w:lang w:val="en-US" w:eastAsia="zh-CN"/>
              </w:rPr>
              <w:t>①采用声屏障措施：根据预测结果，项目施工过程中，存在敏感目标噪声值超标，2号井场、3号井场、4号井场噪声敏感保护目标距离较近，考虑采取移动式隔声屏障，其隔声降噪措施降低噪声15~30dB（A），本次评价选取25dB（A）。</w:t>
            </w:r>
          </w:p>
          <w:p w14:paraId="23A1F8D7">
            <w:pPr>
              <w:pStyle w:val="5"/>
              <w:spacing w:line="360" w:lineRule="auto"/>
              <w:ind w:firstLine="482"/>
              <w:rPr>
                <w:rFonts w:hint="eastAsia" w:ascii="Times New Roman" w:hAnsi="Times New Roman"/>
                <w:b w:val="0"/>
                <w:bCs w:val="0"/>
                <w:color w:val="auto"/>
                <w:sz w:val="24"/>
                <w:lang w:val="en-US" w:eastAsia="zh-CN"/>
              </w:rPr>
            </w:pPr>
            <w:r>
              <w:rPr>
                <w:rFonts w:hint="eastAsia" w:ascii="Times New Roman" w:hAnsi="Times New Roman"/>
                <w:b w:val="0"/>
                <w:bCs w:val="0"/>
                <w:color w:val="auto"/>
                <w:sz w:val="24"/>
                <w:lang w:val="en-US" w:eastAsia="zh-CN"/>
              </w:rPr>
              <w:t>②施工过程中使用的主要机械设备应为低噪声机械设备，同时在施工过程中施工单位应设专人对设备进行定期保养和维护，避免由于设备故障而导致噪声增强现象的发生。并负责对现场工作人员进行培训，严格按操作规范使用各类机械。</w:t>
            </w:r>
          </w:p>
          <w:p w14:paraId="00FF7A0F">
            <w:pPr>
              <w:pStyle w:val="5"/>
              <w:spacing w:line="360" w:lineRule="auto"/>
              <w:ind w:firstLine="482"/>
              <w:rPr>
                <w:rFonts w:hint="eastAsia" w:ascii="Times New Roman" w:hAnsi="Times New Roman"/>
                <w:b w:val="0"/>
                <w:bCs w:val="0"/>
                <w:color w:val="auto"/>
                <w:sz w:val="24"/>
                <w:lang w:val="en-US" w:eastAsia="zh-CN"/>
              </w:rPr>
            </w:pPr>
            <w:r>
              <w:rPr>
                <w:rFonts w:hint="eastAsia" w:ascii="Times New Roman" w:hAnsi="Times New Roman"/>
                <w:b w:val="0"/>
                <w:bCs w:val="0"/>
                <w:color w:val="auto"/>
                <w:sz w:val="24"/>
                <w:lang w:val="en-US" w:eastAsia="zh-CN"/>
              </w:rPr>
              <w:t>③采用距离防护措施：在不影响施工情况下将噪声设备不集中安排，并将其移至距离居民住宅等敏感点较远处。</w:t>
            </w:r>
          </w:p>
          <w:p w14:paraId="40763BA8">
            <w:pPr>
              <w:pStyle w:val="5"/>
              <w:spacing w:line="360" w:lineRule="auto"/>
              <w:ind w:firstLine="482"/>
              <w:rPr>
                <w:rFonts w:hint="eastAsia" w:ascii="Times New Roman" w:hAnsi="Times New Roman"/>
                <w:b w:val="0"/>
                <w:bCs w:val="0"/>
                <w:color w:val="auto"/>
                <w:sz w:val="24"/>
                <w:lang w:val="en-US" w:eastAsia="zh-CN"/>
              </w:rPr>
            </w:pPr>
            <w:r>
              <w:rPr>
                <w:rFonts w:hint="eastAsia" w:ascii="Times New Roman" w:hAnsi="Times New Roman"/>
                <w:b w:val="0"/>
                <w:bCs w:val="0"/>
                <w:color w:val="auto"/>
                <w:sz w:val="24"/>
                <w:lang w:val="en-US" w:eastAsia="zh-CN"/>
              </w:rPr>
              <w:t>④施工场地的施工车辆出入地点应远离敏感点，车辆出入现场时应低速、禁鸣。</w:t>
            </w:r>
          </w:p>
          <w:p w14:paraId="4ED35AE8">
            <w:pPr>
              <w:pStyle w:val="5"/>
              <w:spacing w:line="360" w:lineRule="auto"/>
              <w:ind w:firstLine="482"/>
              <w:rPr>
                <w:rFonts w:hint="eastAsia" w:ascii="Times New Roman" w:hAnsi="Times New Roman"/>
                <w:b w:val="0"/>
                <w:bCs w:val="0"/>
                <w:color w:val="auto"/>
                <w:sz w:val="24"/>
                <w:lang w:val="en-US" w:eastAsia="zh-CN"/>
              </w:rPr>
            </w:pPr>
            <w:r>
              <w:rPr>
                <w:rFonts w:hint="eastAsia" w:ascii="Times New Roman" w:hAnsi="Times New Roman"/>
                <w:b w:val="0"/>
                <w:bCs w:val="0"/>
                <w:color w:val="auto"/>
                <w:sz w:val="24"/>
                <w:lang w:val="en-US" w:eastAsia="zh-CN"/>
              </w:rPr>
              <w:t>⑤建设管理部门应加强对施工场地的噪声管理，施工企业也应对施工噪声进行自律，文明施工，避免因施工噪声产生纠纷。</w:t>
            </w:r>
          </w:p>
          <w:p w14:paraId="4CEB10BA">
            <w:pPr>
              <w:pStyle w:val="5"/>
              <w:spacing w:line="360" w:lineRule="auto"/>
              <w:ind w:firstLine="482"/>
              <w:rPr>
                <w:rFonts w:hint="eastAsia" w:ascii="Times New Roman" w:hAnsi="Times New Roman"/>
                <w:b w:val="0"/>
                <w:bCs w:val="0"/>
                <w:color w:val="auto"/>
                <w:sz w:val="24"/>
                <w:lang w:val="en-US" w:eastAsia="zh-CN"/>
              </w:rPr>
            </w:pPr>
            <w:r>
              <w:rPr>
                <w:rFonts w:hint="eastAsia" w:ascii="Times New Roman" w:hAnsi="Times New Roman"/>
                <w:b w:val="0"/>
                <w:bCs w:val="0"/>
                <w:color w:val="auto"/>
                <w:sz w:val="24"/>
                <w:lang w:val="en-US" w:eastAsia="zh-CN"/>
              </w:rPr>
              <w:t>⑥加强施工期噪声监测，发现施工噪声超标并对附近居民点产生影响时必须首先停止施工，并应及时采取有效的噪声污染防治措施，在验证可做到噪声达标排放的前提下方可继续施工。</w:t>
            </w:r>
          </w:p>
          <w:p w14:paraId="72EB182D">
            <w:pPr>
              <w:pStyle w:val="5"/>
              <w:spacing w:line="360" w:lineRule="auto"/>
              <w:ind w:firstLine="482"/>
              <w:rPr>
                <w:rFonts w:ascii="Times New Roman" w:hAnsi="Times New Roman"/>
                <w:b/>
                <w:bCs/>
                <w:color w:val="auto"/>
                <w:sz w:val="24"/>
                <w:lang w:val="en-US" w:eastAsia="zh-CN"/>
              </w:rPr>
            </w:pPr>
            <w:r>
              <w:rPr>
                <w:rFonts w:ascii="Times New Roman" w:hAnsi="Times New Roman"/>
                <w:b/>
                <w:bCs/>
                <w:color w:val="auto"/>
                <w:sz w:val="24"/>
                <w:lang w:val="en-US" w:eastAsia="zh-CN"/>
              </w:rPr>
              <w:t>4、施工固体废物处理处置</w:t>
            </w:r>
          </w:p>
          <w:p w14:paraId="6361C648">
            <w:pPr>
              <w:pStyle w:val="5"/>
              <w:spacing w:line="360" w:lineRule="auto"/>
              <w:ind w:firstLine="480"/>
              <w:rPr>
                <w:rFonts w:ascii="Times New Roman" w:hAnsi="Times New Roman"/>
                <w:bCs/>
                <w:color w:val="auto"/>
                <w:sz w:val="24"/>
                <w:lang w:val="en-US" w:eastAsia="zh-CN"/>
              </w:rPr>
            </w:pPr>
            <w:r>
              <w:rPr>
                <w:rFonts w:ascii="Times New Roman" w:hAnsi="Times New Roman"/>
                <w:bCs/>
                <w:color w:val="auto"/>
                <w:sz w:val="24"/>
                <w:lang w:val="en-US" w:eastAsia="zh-CN"/>
              </w:rPr>
              <w:t>本项目产生的固体废物主要为一般固废、生活垃圾和危险废物。</w:t>
            </w:r>
          </w:p>
          <w:p w14:paraId="63E2F71C">
            <w:pPr>
              <w:pStyle w:val="3"/>
              <w:spacing w:line="360" w:lineRule="auto"/>
              <w:ind w:left="0" w:firstLine="480" w:firstLineChars="200"/>
              <w:rPr>
                <w:rFonts w:ascii="Times New Roman" w:hAnsi="Times New Roman" w:cs="Times New Roman"/>
                <w:b w:val="0"/>
                <w:color w:val="auto"/>
                <w:lang w:val="en-US" w:bidi="ar-SA"/>
              </w:rPr>
            </w:pPr>
            <w:r>
              <w:rPr>
                <w:rFonts w:ascii="Times New Roman" w:hAnsi="Times New Roman" w:cs="Times New Roman"/>
                <w:b w:val="0"/>
                <w:color w:val="auto"/>
                <w:lang w:val="en-US" w:bidi="ar-SA"/>
              </w:rPr>
              <w:t>（1）一般固废</w:t>
            </w:r>
          </w:p>
          <w:p w14:paraId="73E69134">
            <w:pPr>
              <w:pStyle w:val="5"/>
              <w:spacing w:line="360" w:lineRule="auto"/>
              <w:ind w:firstLine="480"/>
              <w:rPr>
                <w:rFonts w:ascii="Times New Roman" w:hAnsi="Times New Roman"/>
                <w:bCs/>
                <w:color w:val="auto"/>
                <w:sz w:val="24"/>
                <w:lang w:val="en-US" w:eastAsia="zh-CN"/>
              </w:rPr>
            </w:pPr>
            <w:r>
              <w:rPr>
                <w:rFonts w:ascii="Times New Roman" w:hAnsi="Times New Roman"/>
                <w:bCs/>
                <w:color w:val="auto"/>
                <w:sz w:val="24"/>
                <w:lang w:val="en-US" w:eastAsia="zh-CN"/>
              </w:rPr>
              <w:t>一般固废主要为钻井废液、钻井岩屑和废包装材料。</w:t>
            </w:r>
          </w:p>
          <w:p w14:paraId="60D0466C">
            <w:pPr>
              <w:pStyle w:val="5"/>
              <w:spacing w:line="360" w:lineRule="auto"/>
              <w:ind w:firstLine="480"/>
              <w:rPr>
                <w:rFonts w:ascii="Times New Roman" w:hAnsi="Times New Roman"/>
                <w:bCs/>
                <w:color w:val="auto"/>
                <w:sz w:val="24"/>
                <w:lang w:val="en-US" w:eastAsia="zh-CN"/>
              </w:rPr>
            </w:pPr>
            <w:r>
              <w:rPr>
                <w:rFonts w:ascii="宋体" w:hAnsi="宋体"/>
                <w:bCs/>
                <w:color w:val="auto"/>
                <w:sz w:val="24"/>
                <w:lang w:val="en-US" w:eastAsia="zh-CN"/>
              </w:rPr>
              <w:t>①</w:t>
            </w:r>
            <w:r>
              <w:rPr>
                <w:rFonts w:ascii="Times New Roman" w:hAnsi="宋体"/>
                <w:bCs/>
                <w:color w:val="auto"/>
                <w:sz w:val="24"/>
                <w:lang w:val="en-US" w:eastAsia="zh-CN"/>
              </w:rPr>
              <w:t>钻井废液</w:t>
            </w:r>
          </w:p>
          <w:p w14:paraId="1776BDDF">
            <w:pPr>
              <w:pStyle w:val="5"/>
              <w:spacing w:line="360" w:lineRule="auto"/>
              <w:ind w:firstLine="480"/>
              <w:rPr>
                <w:rFonts w:ascii="Times New Roman" w:hAnsi="Times New Roman"/>
                <w:bCs/>
                <w:color w:val="auto"/>
                <w:sz w:val="24"/>
                <w:lang w:val="en-US" w:eastAsia="zh-CN"/>
              </w:rPr>
            </w:pPr>
            <w:r>
              <w:rPr>
                <w:rFonts w:ascii="Times New Roman" w:hAnsi="宋体"/>
                <w:bCs/>
                <w:color w:val="auto"/>
                <w:sz w:val="24"/>
                <w:lang w:val="en-US" w:eastAsia="zh-CN"/>
              </w:rPr>
              <w:t>钻井废液主要来源于被更换的不适于钻井工程和地质要求的钻井液（泥浆），因部分性能不合格而被排放的钻井泥浆。项目钻井泥浆为水基泥浆，根据设计资料及类比同类钻井行业，项目产生的钻井废液</w:t>
            </w:r>
            <w:r>
              <w:rPr>
                <w:rFonts w:hint="eastAsia" w:ascii="Times New Roman" w:hAnsi="宋体"/>
                <w:bCs/>
                <w:color w:val="auto"/>
                <w:sz w:val="24"/>
                <w:lang w:val="en-US" w:eastAsia="zh-CN"/>
              </w:rPr>
              <w:t>总计</w:t>
            </w:r>
            <w:r>
              <w:rPr>
                <w:rFonts w:ascii="Times New Roman" w:hAnsi="宋体"/>
                <w:bCs/>
                <w:color w:val="auto"/>
                <w:sz w:val="24"/>
                <w:lang w:val="en-US" w:eastAsia="zh-CN"/>
              </w:rPr>
              <w:t>约为</w:t>
            </w:r>
            <w:r>
              <w:rPr>
                <w:rFonts w:hint="eastAsia" w:ascii="Times New Roman" w:hAnsi="Times New Roman"/>
                <w:bCs/>
                <w:color w:val="auto"/>
                <w:sz w:val="24"/>
                <w:highlight w:val="none"/>
                <w:lang w:val="en-US" w:eastAsia="zh-CN"/>
              </w:rPr>
              <w:t>243</w:t>
            </w:r>
            <w:r>
              <w:rPr>
                <w:rFonts w:ascii="Times New Roman" w:hAnsi="Times New Roman"/>
                <w:bCs/>
                <w:color w:val="auto"/>
                <w:sz w:val="24"/>
                <w:highlight w:val="none"/>
                <w:lang w:val="en-US" w:eastAsia="zh-CN"/>
              </w:rPr>
              <w:t>m</w:t>
            </w:r>
            <w:r>
              <w:rPr>
                <w:rFonts w:ascii="Times New Roman" w:hAnsi="Times New Roman"/>
                <w:bCs/>
                <w:color w:val="auto"/>
                <w:sz w:val="24"/>
                <w:highlight w:val="none"/>
                <w:vertAlign w:val="superscript"/>
                <w:lang w:val="en-US" w:eastAsia="zh-CN"/>
              </w:rPr>
              <w:t>3</w:t>
            </w:r>
            <w:r>
              <w:rPr>
                <w:rFonts w:ascii="Times New Roman" w:hAnsi="宋体"/>
                <w:bCs/>
                <w:color w:val="auto"/>
                <w:sz w:val="24"/>
                <w:highlight w:val="none"/>
                <w:lang w:val="en-US" w:eastAsia="zh-CN"/>
              </w:rPr>
              <w:t>，暂存</w:t>
            </w:r>
            <w:r>
              <w:rPr>
                <w:rFonts w:ascii="Times New Roman" w:hAnsi="宋体"/>
                <w:bCs/>
                <w:color w:val="auto"/>
                <w:sz w:val="24"/>
                <w:lang w:val="en-US" w:eastAsia="zh-CN"/>
              </w:rPr>
              <w:t>于废浆池中，待钻井结束后投加泥浆固化剂固化后作为周边路基维护的建材使用。</w:t>
            </w:r>
          </w:p>
          <w:p w14:paraId="056D9DF6">
            <w:pPr>
              <w:pStyle w:val="5"/>
              <w:spacing w:line="360" w:lineRule="auto"/>
              <w:ind w:firstLine="480"/>
              <w:rPr>
                <w:rFonts w:ascii="Times New Roman" w:hAnsi="Times New Roman"/>
                <w:bCs/>
                <w:color w:val="auto"/>
                <w:sz w:val="24"/>
                <w:lang w:val="en-US" w:eastAsia="zh-CN"/>
              </w:rPr>
            </w:pPr>
            <w:r>
              <w:rPr>
                <w:rFonts w:ascii="宋体" w:hAnsi="宋体"/>
                <w:bCs/>
                <w:color w:val="auto"/>
                <w:sz w:val="24"/>
                <w:lang w:val="en-US" w:eastAsia="zh-CN"/>
              </w:rPr>
              <w:t>②</w:t>
            </w:r>
            <w:r>
              <w:rPr>
                <w:rFonts w:ascii="Times New Roman" w:hAnsi="宋体"/>
                <w:bCs/>
                <w:color w:val="auto"/>
                <w:sz w:val="24"/>
                <w:lang w:val="en-US" w:eastAsia="zh-CN"/>
              </w:rPr>
              <w:t>钻井岩屑</w:t>
            </w:r>
          </w:p>
          <w:p w14:paraId="381B5558">
            <w:pPr>
              <w:pStyle w:val="5"/>
              <w:spacing w:line="360" w:lineRule="auto"/>
              <w:ind w:firstLine="480"/>
              <w:rPr>
                <w:rFonts w:ascii="Times New Roman" w:hAnsi="Times New Roman"/>
                <w:bCs/>
                <w:color w:val="auto"/>
                <w:sz w:val="24"/>
                <w:lang w:val="en-US" w:eastAsia="zh-CN"/>
              </w:rPr>
            </w:pPr>
            <w:r>
              <w:rPr>
                <w:rFonts w:ascii="Times New Roman" w:hAnsi="宋体"/>
                <w:bCs/>
                <w:color w:val="auto"/>
                <w:sz w:val="24"/>
                <w:lang w:val="en-US" w:eastAsia="zh-CN"/>
              </w:rPr>
              <w:t>钻井岩屑是在钻井过程中钻头切屑地层岩石而产生的碎屑，并通过钻井泥浆带出至地面，主要成分为岩石、土壤及钻井泥浆液，其产生量与井眼长度、平均井径有关。根据本项目各开次钻头尺寸、钻深核算钻井岩屑产生量及企业提供资料估算，</w:t>
            </w:r>
            <w:r>
              <w:rPr>
                <w:rFonts w:hint="eastAsia" w:ascii="Times New Roman" w:hAnsi="宋体"/>
                <w:bCs/>
                <w:color w:val="auto"/>
                <w:sz w:val="24"/>
                <w:lang w:val="en-US" w:eastAsia="zh-CN"/>
              </w:rPr>
              <w:t>本项目产生的</w:t>
            </w:r>
            <w:r>
              <w:rPr>
                <w:rFonts w:ascii="Times New Roman" w:hAnsi="宋体"/>
                <w:bCs/>
                <w:color w:val="auto"/>
                <w:sz w:val="24"/>
                <w:lang w:val="en-US" w:eastAsia="zh-CN"/>
              </w:rPr>
              <w:t>钻井岩屑</w:t>
            </w:r>
            <w:r>
              <w:rPr>
                <w:rFonts w:hint="eastAsia" w:ascii="Times New Roman" w:hAnsi="宋体"/>
                <w:bCs/>
                <w:color w:val="auto"/>
                <w:sz w:val="24"/>
                <w:lang w:val="en-US" w:eastAsia="zh-CN"/>
              </w:rPr>
              <w:t>总计</w:t>
            </w:r>
            <w:r>
              <w:rPr>
                <w:rFonts w:ascii="Times New Roman" w:hAnsi="宋体"/>
                <w:bCs/>
                <w:color w:val="auto"/>
                <w:sz w:val="24"/>
                <w:lang w:val="en-US" w:eastAsia="zh-CN"/>
              </w:rPr>
              <w:t>约</w:t>
            </w:r>
            <w:r>
              <w:rPr>
                <w:rFonts w:ascii="Times New Roman" w:hAnsi="宋体"/>
                <w:bCs/>
                <w:color w:val="auto"/>
                <w:sz w:val="24"/>
                <w:highlight w:val="none"/>
                <w:lang w:val="en-US" w:eastAsia="zh-CN"/>
              </w:rPr>
              <w:t>为</w:t>
            </w:r>
            <w:r>
              <w:rPr>
                <w:rFonts w:hint="eastAsia" w:ascii="Times New Roman" w:hAnsi="Times New Roman" w:cs="Times New Roman"/>
                <w:bCs/>
                <w:color w:val="auto"/>
                <w:sz w:val="24"/>
                <w:highlight w:val="none"/>
                <w:lang w:val="en-US" w:eastAsia="zh-CN"/>
              </w:rPr>
              <w:t>26t</w:t>
            </w:r>
            <w:r>
              <w:rPr>
                <w:rFonts w:hint="eastAsia" w:ascii="Times New Roman" w:hAnsi="Times New Roman" w:eastAsia="宋体" w:cs="Times New Roman"/>
                <w:bCs/>
                <w:color w:val="auto"/>
                <w:sz w:val="24"/>
                <w:highlight w:val="none"/>
                <w:lang w:val="en-US" w:eastAsia="zh-CN"/>
              </w:rPr>
              <w:t>，</w:t>
            </w:r>
            <w:r>
              <w:rPr>
                <w:rFonts w:ascii="Times New Roman" w:hAnsi="宋体"/>
                <w:bCs/>
                <w:color w:val="auto"/>
                <w:sz w:val="24"/>
                <w:highlight w:val="none"/>
                <w:lang w:val="en-US" w:eastAsia="zh-CN"/>
              </w:rPr>
              <w:t>产生</w:t>
            </w:r>
            <w:r>
              <w:rPr>
                <w:rFonts w:ascii="Times New Roman" w:hAnsi="宋体"/>
                <w:bCs/>
                <w:color w:val="auto"/>
                <w:sz w:val="24"/>
                <w:lang w:val="en-US" w:eastAsia="zh-CN"/>
              </w:rPr>
              <w:t>的废屑随泥浆循环至地面经岩屑沉淀池沉淀后暂存于废浆池</w:t>
            </w:r>
            <w:r>
              <w:rPr>
                <w:rFonts w:hint="eastAsia" w:ascii="Times New Roman" w:hAnsi="宋体"/>
                <w:bCs/>
                <w:color w:val="auto"/>
                <w:sz w:val="24"/>
                <w:lang w:val="en-US" w:eastAsia="zh-CN"/>
              </w:rPr>
              <w:t>中</w:t>
            </w:r>
            <w:r>
              <w:rPr>
                <w:rFonts w:ascii="Times New Roman" w:hAnsi="宋体"/>
                <w:bCs/>
                <w:color w:val="auto"/>
                <w:sz w:val="24"/>
                <w:lang w:val="en-US" w:eastAsia="zh-CN"/>
              </w:rPr>
              <w:t>。由于本项目使用水基泥浆钻，该阶段产生的岩屑未被列入《国家危险废物名录》（</w:t>
            </w:r>
            <w:r>
              <w:rPr>
                <w:rFonts w:ascii="Times New Roman" w:hAnsi="Times New Roman"/>
                <w:bCs/>
                <w:color w:val="auto"/>
                <w:sz w:val="24"/>
                <w:lang w:val="en-US" w:eastAsia="zh-CN"/>
              </w:rPr>
              <w:t>202</w:t>
            </w:r>
            <w:r>
              <w:rPr>
                <w:rFonts w:hint="eastAsia" w:ascii="Times New Roman" w:hAnsi="Times New Roman"/>
                <w:bCs/>
                <w:color w:val="auto"/>
                <w:sz w:val="24"/>
                <w:lang w:val="en-US" w:eastAsia="zh-CN"/>
              </w:rPr>
              <w:t>5</w:t>
            </w:r>
            <w:r>
              <w:rPr>
                <w:rFonts w:ascii="Times New Roman" w:hAnsi="宋体"/>
                <w:bCs/>
                <w:color w:val="auto"/>
                <w:sz w:val="24"/>
                <w:lang w:val="en-US" w:eastAsia="zh-CN"/>
              </w:rPr>
              <w:t>年版）中规定的危险废物，钻井岩屑经泥浆循环携带出井口，泥浆存于废浆池中，</w:t>
            </w:r>
            <w:r>
              <w:rPr>
                <w:rFonts w:ascii="Times New Roman" w:hAnsi="宋体"/>
                <w:color w:val="auto"/>
                <w:sz w:val="24"/>
                <w:lang w:val="en-US" w:eastAsia="zh-CN"/>
              </w:rPr>
              <w:t>本项目不以矿物油为连续相配制钻井泥浆，项目采用纤维素等进行钻井工作，泥浆干化后属于一般固废，作为周边路基维护的建材使用</w:t>
            </w:r>
            <w:r>
              <w:rPr>
                <w:rFonts w:ascii="Times New Roman" w:hAnsi="宋体"/>
                <w:bCs/>
                <w:color w:val="auto"/>
                <w:sz w:val="24"/>
                <w:lang w:val="en-US" w:eastAsia="zh-CN"/>
              </w:rPr>
              <w:t>。</w:t>
            </w:r>
          </w:p>
          <w:p w14:paraId="7D2096DB">
            <w:pPr>
              <w:pStyle w:val="5"/>
              <w:spacing w:line="360" w:lineRule="auto"/>
              <w:ind w:firstLine="480"/>
              <w:rPr>
                <w:rFonts w:ascii="Times New Roman" w:hAnsi="Times New Roman"/>
                <w:color w:val="auto"/>
                <w:sz w:val="24"/>
                <w:lang w:val="en-US" w:eastAsia="zh-CN"/>
              </w:rPr>
            </w:pPr>
            <w:r>
              <w:rPr>
                <w:rFonts w:ascii="宋体" w:hAnsi="宋体"/>
                <w:color w:val="auto"/>
                <w:sz w:val="24"/>
                <w:lang w:val="en-US" w:eastAsia="zh-CN"/>
              </w:rPr>
              <w:t>③</w:t>
            </w:r>
            <w:r>
              <w:rPr>
                <w:rFonts w:ascii="Times New Roman" w:hAnsi="宋体"/>
                <w:color w:val="auto"/>
                <w:sz w:val="24"/>
                <w:lang w:val="en-US" w:eastAsia="zh-CN"/>
              </w:rPr>
              <w:t>废包装材料</w:t>
            </w:r>
          </w:p>
          <w:p w14:paraId="47FE5760">
            <w:pPr>
              <w:pStyle w:val="5"/>
              <w:spacing w:line="360" w:lineRule="auto"/>
              <w:ind w:firstLine="480"/>
              <w:rPr>
                <w:rFonts w:ascii="Times New Roman" w:hAnsi="Times New Roman"/>
                <w:color w:val="auto"/>
                <w:sz w:val="24"/>
                <w:lang w:val="en-US" w:eastAsia="zh-CN"/>
              </w:rPr>
            </w:pPr>
            <w:r>
              <w:rPr>
                <w:rFonts w:ascii="Times New Roman" w:hAnsi="宋体"/>
                <w:color w:val="auto"/>
                <w:sz w:val="24"/>
                <w:lang w:val="en-US" w:eastAsia="zh-CN"/>
              </w:rPr>
              <w:t>本项目在钻井过程中会使用一定量的原辅材料，根据企业提供资料，废包装袋产生量约</w:t>
            </w:r>
            <w:r>
              <w:rPr>
                <w:rFonts w:ascii="Times New Roman" w:hAnsi="宋体"/>
                <w:color w:val="auto"/>
                <w:sz w:val="24"/>
                <w:highlight w:val="none"/>
                <w:lang w:val="en-US" w:eastAsia="zh-CN"/>
              </w:rPr>
              <w:t>为</w:t>
            </w:r>
            <w:r>
              <w:rPr>
                <w:rFonts w:ascii="Times New Roman" w:hAnsi="Times New Roman"/>
                <w:color w:val="auto"/>
                <w:sz w:val="24"/>
                <w:highlight w:val="none"/>
                <w:lang w:val="en-US" w:eastAsia="zh-CN"/>
              </w:rPr>
              <w:t>0.</w:t>
            </w:r>
            <w:r>
              <w:rPr>
                <w:rFonts w:hint="eastAsia" w:ascii="Times New Roman" w:hAnsi="Times New Roman"/>
                <w:color w:val="auto"/>
                <w:sz w:val="24"/>
                <w:highlight w:val="none"/>
                <w:lang w:val="en-US" w:eastAsia="zh-CN"/>
              </w:rPr>
              <w:t>6</w:t>
            </w:r>
            <w:r>
              <w:rPr>
                <w:rFonts w:ascii="Times New Roman" w:hAnsi="Times New Roman"/>
                <w:color w:val="auto"/>
                <w:sz w:val="24"/>
                <w:highlight w:val="none"/>
                <w:lang w:val="en-US" w:eastAsia="zh-CN"/>
              </w:rPr>
              <w:t>t/a</w:t>
            </w:r>
            <w:r>
              <w:rPr>
                <w:rFonts w:ascii="Times New Roman" w:hAnsi="宋体"/>
                <w:color w:val="auto"/>
                <w:sz w:val="24"/>
                <w:highlight w:val="none"/>
                <w:lang w:val="en-US" w:eastAsia="zh-CN"/>
              </w:rPr>
              <w:t>，集中</w:t>
            </w:r>
            <w:r>
              <w:rPr>
                <w:rFonts w:ascii="Times New Roman" w:hAnsi="宋体"/>
                <w:color w:val="auto"/>
                <w:sz w:val="24"/>
                <w:lang w:val="en-US" w:eastAsia="zh-CN"/>
              </w:rPr>
              <w:t>收集后外售处理。</w:t>
            </w:r>
          </w:p>
          <w:p w14:paraId="54C97DA6">
            <w:pPr>
              <w:pStyle w:val="5"/>
              <w:spacing w:line="360" w:lineRule="auto"/>
              <w:ind w:firstLine="480"/>
              <w:rPr>
                <w:rFonts w:ascii="Times New Roman" w:hAnsi="Times New Roman"/>
                <w:color w:val="auto"/>
                <w:sz w:val="24"/>
                <w:lang w:val="en-US" w:eastAsia="zh-CN"/>
              </w:rPr>
            </w:pPr>
            <w:r>
              <w:rPr>
                <w:rFonts w:ascii="Times New Roman" w:hAnsi="Times New Roman"/>
                <w:color w:val="auto"/>
                <w:sz w:val="24"/>
                <w:lang w:val="en-US" w:eastAsia="zh-CN"/>
              </w:rPr>
              <w:t>（2）生活垃圾</w:t>
            </w:r>
          </w:p>
          <w:p w14:paraId="1A6C9391">
            <w:pPr>
              <w:pStyle w:val="5"/>
              <w:spacing w:line="360" w:lineRule="auto"/>
              <w:ind w:firstLine="480"/>
              <w:rPr>
                <w:rFonts w:ascii="Times New Roman" w:hAnsi="Times New Roman"/>
                <w:bCs/>
                <w:color w:val="auto"/>
                <w:sz w:val="24"/>
                <w:lang w:val="en-US" w:eastAsia="zh-CN"/>
              </w:rPr>
            </w:pPr>
            <w:r>
              <w:rPr>
                <w:rFonts w:ascii="Times New Roman" w:hAnsi="Times New Roman"/>
                <w:color w:val="auto"/>
                <w:sz w:val="24"/>
                <w:lang w:val="en-US" w:eastAsia="zh-CN"/>
              </w:rPr>
              <w:t>生活垃圾主要来自员工办公。本项目劳动定员</w:t>
            </w:r>
            <w:r>
              <w:rPr>
                <w:rFonts w:hint="eastAsia" w:ascii="Times New Roman" w:hAnsi="Times New Roman"/>
                <w:color w:val="auto"/>
                <w:sz w:val="24"/>
                <w:lang w:val="en-US" w:eastAsia="zh-CN"/>
              </w:rPr>
              <w:t>50</w:t>
            </w:r>
            <w:r>
              <w:rPr>
                <w:rFonts w:ascii="Times New Roman" w:hAnsi="Times New Roman"/>
                <w:color w:val="auto"/>
                <w:sz w:val="24"/>
                <w:lang w:val="en-US" w:eastAsia="zh-CN"/>
              </w:rPr>
              <w:t>人，租赁周边农村民房，用于员工食宿，施工现场不设施工营地，生活垃圾按0.5kg/人·d计算，则生活垃圾的产生量为</w:t>
            </w:r>
            <w:r>
              <w:rPr>
                <w:rFonts w:hint="eastAsia" w:ascii="Times New Roman" w:hAnsi="Times New Roman"/>
                <w:color w:val="auto"/>
                <w:sz w:val="24"/>
                <w:lang w:val="en-US" w:eastAsia="zh-CN"/>
              </w:rPr>
              <w:t>25</w:t>
            </w:r>
            <w:r>
              <w:rPr>
                <w:rFonts w:ascii="Times New Roman" w:hAnsi="Times New Roman"/>
                <w:color w:val="auto"/>
                <w:sz w:val="24"/>
                <w:lang w:val="en-US" w:eastAsia="zh-CN"/>
              </w:rPr>
              <w:t>kg/d</w:t>
            </w:r>
            <w:r>
              <w:rPr>
                <w:rFonts w:hint="eastAsia" w:ascii="Times New Roman" w:hAnsi="Times New Roman"/>
                <w:color w:val="auto"/>
                <w:sz w:val="24"/>
                <w:lang w:val="en-US" w:eastAsia="zh-CN"/>
              </w:rPr>
              <w:t>，年产生量为9.125t/a</w:t>
            </w:r>
            <w:r>
              <w:rPr>
                <w:rFonts w:ascii="Times New Roman" w:hAnsi="Times New Roman"/>
                <w:color w:val="auto"/>
                <w:sz w:val="24"/>
                <w:lang w:val="en-US" w:eastAsia="zh-CN"/>
              </w:rPr>
              <w:t>。产生的生活垃圾利用周边农村农户现有的设施进行收集，由环卫部门统一清运处理。</w:t>
            </w:r>
          </w:p>
          <w:p w14:paraId="00B7A2C6">
            <w:pPr>
              <w:pStyle w:val="5"/>
              <w:spacing w:line="360" w:lineRule="auto"/>
              <w:ind w:firstLine="480"/>
              <w:rPr>
                <w:rFonts w:ascii="Times New Roman" w:hAnsi="Times New Roman"/>
                <w:bCs/>
                <w:color w:val="auto"/>
                <w:sz w:val="24"/>
                <w:lang w:val="en-US" w:eastAsia="zh-CN"/>
              </w:rPr>
            </w:pPr>
            <w:r>
              <w:rPr>
                <w:rFonts w:ascii="Times New Roman" w:hAnsi="Times New Roman"/>
                <w:color w:val="auto"/>
                <w:sz w:val="24"/>
                <w:lang w:val="en-US" w:eastAsia="zh-CN"/>
              </w:rPr>
              <w:t>（3）</w:t>
            </w:r>
            <w:r>
              <w:rPr>
                <w:rFonts w:ascii="Times New Roman" w:hAnsi="Times New Roman"/>
                <w:bCs/>
                <w:color w:val="auto"/>
                <w:sz w:val="24"/>
                <w:lang w:val="en-US" w:eastAsia="zh-CN"/>
              </w:rPr>
              <w:t>危险废物</w:t>
            </w:r>
          </w:p>
          <w:p w14:paraId="1E2E5D2B">
            <w:pPr>
              <w:pStyle w:val="5"/>
              <w:spacing w:line="360" w:lineRule="auto"/>
              <w:ind w:firstLine="480"/>
              <w:rPr>
                <w:rFonts w:ascii="Times New Roman" w:hAnsi="Times New Roman"/>
                <w:bCs/>
                <w:color w:val="auto"/>
                <w:sz w:val="24"/>
                <w:lang w:val="en-US" w:eastAsia="zh-CN"/>
              </w:rPr>
            </w:pPr>
            <w:r>
              <w:rPr>
                <w:rFonts w:ascii="Times New Roman" w:hAnsi="Times New Roman"/>
                <w:bCs/>
                <w:color w:val="auto"/>
                <w:sz w:val="24"/>
                <w:lang w:val="en-US" w:eastAsia="zh-CN"/>
              </w:rPr>
              <w:t>危险废物主要为废润滑油和废润滑油桶、</w:t>
            </w:r>
            <w:r>
              <w:rPr>
                <w:rFonts w:ascii="Times New Roman" w:hAnsi="Times New Roman"/>
                <w:color w:val="auto"/>
                <w:sz w:val="24"/>
                <w:lang w:val="en-US" w:eastAsia="zh-CN"/>
              </w:rPr>
              <w:t>分类后的</w:t>
            </w:r>
            <w:r>
              <w:rPr>
                <w:rFonts w:ascii="Times New Roman" w:hAnsi="Times New Roman"/>
                <w:bCs/>
                <w:color w:val="auto"/>
                <w:sz w:val="24"/>
                <w:lang w:val="en-US" w:eastAsia="zh-CN"/>
              </w:rPr>
              <w:t>废含油抹布和废含油手套。</w:t>
            </w:r>
          </w:p>
          <w:p w14:paraId="0FAA8CA9">
            <w:pPr>
              <w:pStyle w:val="5"/>
              <w:spacing w:line="360" w:lineRule="auto"/>
              <w:ind w:firstLine="480"/>
              <w:rPr>
                <w:rFonts w:ascii="Times New Roman" w:hAnsi="Times New Roman"/>
                <w:bCs/>
                <w:color w:val="auto"/>
                <w:sz w:val="24"/>
                <w:lang w:val="en-US" w:eastAsia="zh-CN"/>
              </w:rPr>
            </w:pPr>
            <w:r>
              <w:rPr>
                <w:rFonts w:ascii="宋体" w:hAnsi="Times New Roman"/>
                <w:bCs/>
                <w:color w:val="auto"/>
                <w:sz w:val="24"/>
                <w:lang w:val="en-US" w:eastAsia="zh-CN"/>
              </w:rPr>
              <w:t>①</w:t>
            </w:r>
            <w:r>
              <w:rPr>
                <w:rFonts w:ascii="Times New Roman" w:hAnsi="Times New Roman"/>
                <w:bCs/>
                <w:color w:val="auto"/>
                <w:sz w:val="24"/>
                <w:lang w:val="en-US" w:eastAsia="zh-CN"/>
              </w:rPr>
              <w:t>废润滑油和废润滑油桶</w:t>
            </w:r>
          </w:p>
          <w:p w14:paraId="68BEEAAE">
            <w:pPr>
              <w:pStyle w:val="5"/>
              <w:spacing w:line="360" w:lineRule="auto"/>
              <w:ind w:firstLine="480"/>
              <w:rPr>
                <w:rFonts w:ascii="Times New Roman" w:hAnsi="Times New Roman"/>
                <w:color w:val="auto"/>
                <w:sz w:val="24"/>
                <w:lang w:val="en-US" w:eastAsia="zh-CN"/>
              </w:rPr>
            </w:pPr>
            <w:r>
              <w:rPr>
                <w:rFonts w:ascii="Times New Roman" w:hAnsi="Times New Roman"/>
                <w:bCs/>
                <w:color w:val="auto"/>
                <w:sz w:val="24"/>
                <w:lang w:val="en-US" w:eastAsia="zh-CN"/>
              </w:rPr>
              <w:t>钻井期间，机械设备运行及维护过程中会产生废润滑油和废润滑油桶。类比同类项目，废润滑油产生量约为0.</w:t>
            </w:r>
            <w:r>
              <w:rPr>
                <w:rFonts w:hint="eastAsia" w:ascii="Times New Roman" w:hAnsi="Times New Roman"/>
                <w:bCs/>
                <w:color w:val="auto"/>
                <w:sz w:val="24"/>
                <w:lang w:val="en-US" w:eastAsia="zh-CN"/>
              </w:rPr>
              <w:t>1</w:t>
            </w:r>
            <w:r>
              <w:rPr>
                <w:rFonts w:ascii="Times New Roman" w:hAnsi="Times New Roman"/>
                <w:bCs/>
                <w:color w:val="auto"/>
                <w:sz w:val="24"/>
                <w:lang w:val="en-US" w:eastAsia="zh-CN"/>
              </w:rPr>
              <w:t>t/a，废润滑油桶产生量约为0.0</w:t>
            </w:r>
            <w:r>
              <w:rPr>
                <w:rFonts w:hint="eastAsia" w:ascii="Times New Roman" w:hAnsi="Times New Roman"/>
                <w:bCs/>
                <w:color w:val="auto"/>
                <w:sz w:val="24"/>
                <w:lang w:val="en-US" w:eastAsia="zh-CN"/>
              </w:rPr>
              <w:t>4</w:t>
            </w:r>
            <w:r>
              <w:rPr>
                <w:rFonts w:ascii="Times New Roman" w:hAnsi="Times New Roman"/>
                <w:bCs/>
                <w:color w:val="auto"/>
                <w:sz w:val="24"/>
                <w:lang w:val="en-US" w:eastAsia="zh-CN"/>
              </w:rPr>
              <w:t>t/a。根据《国家危险废物名录》（202</w:t>
            </w:r>
            <w:r>
              <w:rPr>
                <w:rFonts w:hint="eastAsia" w:ascii="Times New Roman" w:hAnsi="Times New Roman"/>
                <w:bCs/>
                <w:color w:val="auto"/>
                <w:sz w:val="24"/>
                <w:lang w:val="en-US" w:eastAsia="zh-CN"/>
              </w:rPr>
              <w:t>5</w:t>
            </w:r>
            <w:r>
              <w:rPr>
                <w:rFonts w:ascii="Times New Roman" w:hAnsi="Times New Roman"/>
                <w:bCs/>
                <w:color w:val="auto"/>
                <w:sz w:val="24"/>
                <w:lang w:val="en-US" w:eastAsia="zh-CN"/>
              </w:rPr>
              <w:t>年版）可知，废润滑油属于危险废物，废物类别编号为HW08，废物代码为900-214-08；废润滑油桶属于危险废物，废物类别编号为HW</w:t>
            </w:r>
            <w:r>
              <w:rPr>
                <w:rFonts w:hint="eastAsia" w:ascii="Times New Roman" w:hAnsi="Times New Roman"/>
                <w:bCs/>
                <w:color w:val="auto"/>
                <w:sz w:val="24"/>
                <w:lang w:val="en-US" w:eastAsia="zh-CN"/>
              </w:rPr>
              <w:t>08</w:t>
            </w:r>
            <w:r>
              <w:rPr>
                <w:rFonts w:ascii="Times New Roman" w:hAnsi="Times New Roman"/>
                <w:bCs/>
                <w:color w:val="auto"/>
                <w:sz w:val="24"/>
                <w:lang w:val="en-US" w:eastAsia="zh-CN"/>
              </w:rPr>
              <w:t>，废物代码为</w:t>
            </w:r>
            <w:r>
              <w:rPr>
                <w:rFonts w:hint="eastAsia" w:ascii="Times New Roman" w:hAnsi="Times New Roman"/>
                <w:bCs/>
                <w:color w:val="auto"/>
                <w:sz w:val="24"/>
                <w:lang w:val="en-US" w:eastAsia="zh-CN"/>
              </w:rPr>
              <w:t>900-249-08</w:t>
            </w:r>
            <w:r>
              <w:rPr>
                <w:rFonts w:ascii="Times New Roman" w:hAnsi="Times New Roman"/>
                <w:bCs/>
                <w:color w:val="auto"/>
                <w:sz w:val="24"/>
                <w:lang w:val="en-US" w:eastAsia="zh-CN"/>
              </w:rPr>
              <w:t>。废润滑油、废润滑油桶需集中收集，</w:t>
            </w:r>
            <w:r>
              <w:rPr>
                <w:rFonts w:hint="eastAsia" w:ascii="Times New Roman" w:hAnsi="Times New Roman"/>
                <w:bCs/>
                <w:color w:val="auto"/>
                <w:sz w:val="24"/>
                <w:lang w:val="en-US" w:eastAsia="zh-CN"/>
              </w:rPr>
              <w:t>依托于朱集西煤矿危废暂存间暂存</w:t>
            </w:r>
            <w:r>
              <w:rPr>
                <w:rFonts w:ascii="Times New Roman" w:hAnsi="Times New Roman"/>
                <w:color w:val="auto"/>
                <w:sz w:val="24"/>
                <w:lang w:val="en-US" w:eastAsia="zh-CN"/>
              </w:rPr>
              <w:t>，交由有资质单位处置。</w:t>
            </w:r>
          </w:p>
          <w:p w14:paraId="1CF2C525">
            <w:pPr>
              <w:pStyle w:val="5"/>
              <w:spacing w:line="360" w:lineRule="auto"/>
              <w:ind w:firstLine="480"/>
              <w:rPr>
                <w:rFonts w:ascii="Times New Roman" w:hAnsi="Times New Roman"/>
                <w:color w:val="auto"/>
                <w:sz w:val="24"/>
                <w:lang w:val="en-US" w:eastAsia="zh-CN"/>
              </w:rPr>
            </w:pPr>
            <w:r>
              <w:rPr>
                <w:rFonts w:ascii="Times New Roman" w:hAnsi="Times New Roman"/>
                <w:color w:val="auto"/>
                <w:sz w:val="24"/>
                <w:lang w:val="en-US" w:eastAsia="zh-CN"/>
              </w:rPr>
              <w:t>②分类后的废含油抹布和废含油手套</w:t>
            </w:r>
          </w:p>
          <w:p w14:paraId="2CA5BBE8">
            <w:pPr>
              <w:pStyle w:val="5"/>
              <w:spacing w:line="360" w:lineRule="auto"/>
              <w:ind w:firstLine="480"/>
              <w:rPr>
                <w:rFonts w:ascii="Times New Roman" w:hAnsi="Times New Roman"/>
                <w:color w:val="auto"/>
                <w:sz w:val="24"/>
                <w:lang w:val="en-US" w:eastAsia="zh-CN"/>
              </w:rPr>
            </w:pPr>
            <w:r>
              <w:rPr>
                <w:rFonts w:ascii="Times New Roman" w:hAnsi="Times New Roman"/>
                <w:color w:val="auto"/>
                <w:sz w:val="24"/>
                <w:lang w:val="en-US" w:eastAsia="zh-CN"/>
              </w:rPr>
              <w:t>钻井期间，机械设备运转及维护过程中会产生废含油抹布和废含油手套，根据企业提供资料，分类后的废含油抹布和废含油手套产生量约为0.0</w:t>
            </w:r>
            <w:r>
              <w:rPr>
                <w:rFonts w:hint="eastAsia" w:ascii="Times New Roman" w:hAnsi="Times New Roman"/>
                <w:color w:val="auto"/>
                <w:sz w:val="24"/>
                <w:lang w:val="en-US" w:eastAsia="zh-CN"/>
              </w:rPr>
              <w:t>2</w:t>
            </w:r>
            <w:r>
              <w:rPr>
                <w:rFonts w:ascii="Times New Roman" w:hAnsi="Times New Roman"/>
                <w:color w:val="auto"/>
                <w:sz w:val="24"/>
                <w:lang w:val="en-US" w:eastAsia="zh-CN"/>
              </w:rPr>
              <w:t>t/a。根据《国家危险废物名录》（202</w:t>
            </w:r>
            <w:r>
              <w:rPr>
                <w:rFonts w:hint="eastAsia" w:ascii="Times New Roman" w:hAnsi="Times New Roman"/>
                <w:color w:val="auto"/>
                <w:sz w:val="24"/>
                <w:lang w:val="en-US" w:eastAsia="zh-CN"/>
              </w:rPr>
              <w:t>5</w:t>
            </w:r>
            <w:r>
              <w:rPr>
                <w:rFonts w:ascii="Times New Roman" w:hAnsi="Times New Roman"/>
                <w:color w:val="auto"/>
                <w:sz w:val="24"/>
                <w:lang w:val="en-US" w:eastAsia="zh-CN"/>
              </w:rPr>
              <w:t>年版）可知，分类后的废含油抹布和废含油手套属于危险废物，废物类别编号为HW49，废物代码为900-041-49，</w:t>
            </w:r>
            <w:r>
              <w:rPr>
                <w:rFonts w:hint="eastAsia" w:ascii="Times New Roman" w:hAnsi="Times New Roman"/>
                <w:color w:val="auto"/>
                <w:sz w:val="24"/>
                <w:lang w:val="en-US" w:eastAsia="zh-CN"/>
              </w:rPr>
              <w:t>依托于朱集西煤矿危废暂存间暂存</w:t>
            </w:r>
            <w:r>
              <w:rPr>
                <w:rFonts w:ascii="Times New Roman" w:hAnsi="Times New Roman"/>
                <w:color w:val="auto"/>
                <w:sz w:val="24"/>
                <w:lang w:val="en-US" w:eastAsia="zh-CN"/>
              </w:rPr>
              <w:t>，交由有资质单位处置。</w:t>
            </w:r>
          </w:p>
          <w:p w14:paraId="60BD846A">
            <w:pPr>
              <w:pStyle w:val="3"/>
              <w:ind w:left="0"/>
              <w:jc w:val="center"/>
              <w:rPr>
                <w:rFonts w:ascii="Times New Roman" w:hAnsi="Times New Roman" w:cs="Times New Roman"/>
                <w:color w:val="auto"/>
                <w:sz w:val="21"/>
                <w:szCs w:val="21"/>
                <w:lang w:val="en-US" w:bidi="ar-SA"/>
              </w:rPr>
            </w:pPr>
            <w:r>
              <w:rPr>
                <w:rFonts w:ascii="Times New Roman" w:hAnsi="Times New Roman" w:cs="Times New Roman"/>
                <w:color w:val="auto"/>
                <w:sz w:val="21"/>
                <w:szCs w:val="21"/>
                <w:lang w:val="en-US" w:bidi="ar-SA"/>
              </w:rPr>
              <w:t>表4-3 固体废弃物产生情况一览表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117"/>
              <w:gridCol w:w="1153"/>
              <w:gridCol w:w="1274"/>
              <w:gridCol w:w="852"/>
              <w:gridCol w:w="952"/>
              <w:gridCol w:w="1860"/>
            </w:tblGrid>
            <w:tr w14:paraId="02237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noWrap w:val="0"/>
                  <w:vAlign w:val="center"/>
                </w:tcPr>
                <w:p w14:paraId="7FB37A32">
                  <w:pPr>
                    <w:jc w:val="center"/>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1117" w:type="dxa"/>
                  <w:noWrap w:val="0"/>
                  <w:vAlign w:val="center"/>
                </w:tcPr>
                <w:p w14:paraId="1313F2B5">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w:t>
                  </w:r>
                </w:p>
              </w:tc>
              <w:tc>
                <w:tcPr>
                  <w:tcW w:w="1153" w:type="dxa"/>
                  <w:noWrap w:val="0"/>
                  <w:vAlign w:val="center"/>
                </w:tcPr>
                <w:p w14:paraId="4083FAC5">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废物类别</w:t>
                  </w:r>
                </w:p>
              </w:tc>
              <w:tc>
                <w:tcPr>
                  <w:tcW w:w="1274" w:type="dxa"/>
                  <w:noWrap w:val="0"/>
                  <w:vAlign w:val="center"/>
                </w:tcPr>
                <w:p w14:paraId="0960B762">
                  <w:pPr>
                    <w:jc w:val="center"/>
                    <w:rPr>
                      <w:rFonts w:hint="default" w:ascii="Times New Roman" w:hAnsi="Times New Roman" w:cs="Times New Roman"/>
                      <w:color w:val="auto"/>
                      <w:szCs w:val="21"/>
                    </w:rPr>
                  </w:pPr>
                  <w:r>
                    <w:rPr>
                      <w:rFonts w:hint="default" w:ascii="Times New Roman" w:hAnsi="Times New Roman" w:cs="Times New Roman"/>
                      <w:color w:val="auto"/>
                      <w:szCs w:val="21"/>
                    </w:rPr>
                    <w:t>固废编号/编号</w:t>
                  </w:r>
                </w:p>
              </w:tc>
              <w:tc>
                <w:tcPr>
                  <w:tcW w:w="852" w:type="dxa"/>
                  <w:noWrap w:val="0"/>
                  <w:vAlign w:val="center"/>
                </w:tcPr>
                <w:p w14:paraId="7E45AFD5">
                  <w:pPr>
                    <w:jc w:val="center"/>
                    <w:rPr>
                      <w:rFonts w:hint="default" w:ascii="Times New Roman" w:hAnsi="Times New Roman" w:cs="Times New Roman"/>
                      <w:color w:val="auto"/>
                      <w:szCs w:val="21"/>
                    </w:rPr>
                  </w:pPr>
                  <w:r>
                    <w:rPr>
                      <w:rFonts w:hint="default" w:ascii="Times New Roman" w:hAnsi="Times New Roman" w:cs="Times New Roman"/>
                      <w:color w:val="auto"/>
                      <w:szCs w:val="21"/>
                    </w:rPr>
                    <w:t>来源</w:t>
                  </w:r>
                </w:p>
              </w:tc>
              <w:tc>
                <w:tcPr>
                  <w:tcW w:w="952" w:type="dxa"/>
                  <w:noWrap w:val="0"/>
                  <w:vAlign w:val="center"/>
                </w:tcPr>
                <w:p w14:paraId="42DABF53">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产生量</w:t>
                  </w:r>
                </w:p>
              </w:tc>
              <w:tc>
                <w:tcPr>
                  <w:tcW w:w="1860" w:type="dxa"/>
                  <w:noWrap w:val="0"/>
                  <w:vAlign w:val="center"/>
                </w:tcPr>
                <w:p w14:paraId="6248D9E4">
                  <w:pPr>
                    <w:jc w:val="center"/>
                    <w:rPr>
                      <w:rFonts w:hint="default" w:ascii="Times New Roman" w:hAnsi="Times New Roman" w:cs="Times New Roman"/>
                      <w:color w:val="auto"/>
                      <w:szCs w:val="21"/>
                    </w:rPr>
                  </w:pPr>
                  <w:r>
                    <w:rPr>
                      <w:rFonts w:hint="default" w:ascii="Times New Roman" w:hAnsi="Times New Roman" w:cs="Times New Roman"/>
                      <w:color w:val="auto"/>
                      <w:szCs w:val="21"/>
                    </w:rPr>
                    <w:t>处理措施</w:t>
                  </w:r>
                </w:p>
              </w:tc>
            </w:tr>
            <w:tr w14:paraId="4E92E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noWrap w:val="0"/>
                  <w:vAlign w:val="center"/>
                </w:tcPr>
                <w:p w14:paraId="3BD44932">
                  <w:pPr>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117" w:type="dxa"/>
                  <w:noWrap w:val="0"/>
                  <w:vAlign w:val="center"/>
                </w:tcPr>
                <w:p w14:paraId="29244A73">
                  <w:pPr>
                    <w:jc w:val="center"/>
                    <w:rPr>
                      <w:rFonts w:hint="default" w:ascii="Times New Roman" w:hAnsi="Times New Roman" w:cs="Times New Roman"/>
                      <w:color w:val="auto"/>
                      <w:szCs w:val="21"/>
                    </w:rPr>
                  </w:pPr>
                  <w:r>
                    <w:rPr>
                      <w:rFonts w:hint="default" w:ascii="Times New Roman" w:hAnsi="Times New Roman" w:cs="Times New Roman"/>
                      <w:color w:val="auto"/>
                      <w:szCs w:val="21"/>
                    </w:rPr>
                    <w:t>钻井废液</w:t>
                  </w:r>
                </w:p>
              </w:tc>
              <w:tc>
                <w:tcPr>
                  <w:tcW w:w="1153" w:type="dxa"/>
                  <w:noWrap w:val="0"/>
                  <w:vAlign w:val="center"/>
                </w:tcPr>
                <w:p w14:paraId="7CBC70BB">
                  <w:pPr>
                    <w:jc w:val="center"/>
                    <w:rPr>
                      <w:rFonts w:hint="default" w:ascii="Times New Roman" w:hAnsi="Times New Roman" w:cs="Times New Roman"/>
                      <w:color w:val="auto"/>
                      <w:szCs w:val="21"/>
                    </w:rPr>
                  </w:pPr>
                  <w:r>
                    <w:rPr>
                      <w:rFonts w:hint="default" w:ascii="Times New Roman" w:hAnsi="Times New Roman" w:cs="Times New Roman"/>
                      <w:color w:val="auto"/>
                      <w:szCs w:val="21"/>
                    </w:rPr>
                    <w:t>一般固废</w:t>
                  </w:r>
                </w:p>
              </w:tc>
              <w:tc>
                <w:tcPr>
                  <w:tcW w:w="1274" w:type="dxa"/>
                  <w:noWrap w:val="0"/>
                  <w:vAlign w:val="center"/>
                </w:tcPr>
                <w:p w14:paraId="2C463593">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lang w:eastAsia="zh-CN"/>
                    </w:rPr>
                    <w:t>072-001-S12</w:t>
                  </w:r>
                </w:p>
              </w:tc>
              <w:tc>
                <w:tcPr>
                  <w:tcW w:w="852" w:type="dxa"/>
                  <w:noWrap w:val="0"/>
                  <w:vAlign w:val="center"/>
                </w:tcPr>
                <w:p w14:paraId="2563DF32">
                  <w:pPr>
                    <w:jc w:val="center"/>
                    <w:rPr>
                      <w:rFonts w:hint="default" w:ascii="Times New Roman" w:hAnsi="Times New Roman" w:cs="Times New Roman"/>
                      <w:color w:val="auto"/>
                      <w:szCs w:val="21"/>
                    </w:rPr>
                  </w:pPr>
                  <w:r>
                    <w:rPr>
                      <w:rFonts w:hint="default" w:ascii="Times New Roman" w:hAnsi="Times New Roman" w:cs="Times New Roman"/>
                      <w:color w:val="auto"/>
                      <w:szCs w:val="21"/>
                    </w:rPr>
                    <w:t>钻井</w:t>
                  </w:r>
                </w:p>
              </w:tc>
              <w:tc>
                <w:tcPr>
                  <w:tcW w:w="952" w:type="dxa"/>
                  <w:noWrap w:val="0"/>
                  <w:vAlign w:val="center"/>
                </w:tcPr>
                <w:p w14:paraId="6DB93B2B">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267.3</w:t>
                  </w:r>
                  <w:r>
                    <w:rPr>
                      <w:rFonts w:hint="default" w:ascii="Times New Roman" w:hAnsi="Times New Roman" w:cs="Times New Roman"/>
                      <w:color w:val="auto"/>
                      <w:szCs w:val="21"/>
                      <w:vertAlign w:val="baseline"/>
                      <w:lang w:val="en-US" w:eastAsia="zh-CN"/>
                    </w:rPr>
                    <w:t>m</w:t>
                  </w:r>
                  <w:r>
                    <w:rPr>
                      <w:rFonts w:hint="default" w:ascii="Times New Roman" w:hAnsi="Times New Roman" w:cs="Times New Roman"/>
                      <w:color w:val="auto"/>
                      <w:szCs w:val="21"/>
                      <w:vertAlign w:val="superscript"/>
                      <w:lang w:val="en-US" w:eastAsia="zh-CN"/>
                    </w:rPr>
                    <w:t>3</w:t>
                  </w:r>
                </w:p>
              </w:tc>
              <w:tc>
                <w:tcPr>
                  <w:tcW w:w="1860" w:type="dxa"/>
                  <w:noWrap w:val="0"/>
                  <w:vAlign w:val="center"/>
                </w:tcPr>
                <w:p w14:paraId="712EB19E">
                  <w:pPr>
                    <w:jc w:val="center"/>
                    <w:rPr>
                      <w:rFonts w:hint="default" w:ascii="Times New Roman" w:hAnsi="Times New Roman" w:cs="Times New Roman"/>
                      <w:color w:val="auto"/>
                      <w:szCs w:val="21"/>
                    </w:rPr>
                  </w:pPr>
                  <w:r>
                    <w:rPr>
                      <w:rFonts w:hint="default" w:ascii="Times New Roman" w:hAnsi="Times New Roman" w:cs="Times New Roman"/>
                      <w:color w:val="auto"/>
                      <w:szCs w:val="21"/>
                    </w:rPr>
                    <w:t>暂存于废浆池中，待钻井结束后投加泥浆固化剂后作为周边路基维护的建材使用。</w:t>
                  </w:r>
                </w:p>
              </w:tc>
            </w:tr>
            <w:tr w14:paraId="3D503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noWrap w:val="0"/>
                  <w:vAlign w:val="center"/>
                </w:tcPr>
                <w:p w14:paraId="5D0D0C25">
                  <w:pPr>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117" w:type="dxa"/>
                  <w:noWrap w:val="0"/>
                  <w:vAlign w:val="center"/>
                </w:tcPr>
                <w:p w14:paraId="0CA17580">
                  <w:pPr>
                    <w:jc w:val="center"/>
                    <w:rPr>
                      <w:rFonts w:hint="default" w:ascii="Times New Roman" w:hAnsi="Times New Roman" w:cs="Times New Roman"/>
                      <w:color w:val="auto"/>
                      <w:szCs w:val="21"/>
                    </w:rPr>
                  </w:pPr>
                  <w:r>
                    <w:rPr>
                      <w:rFonts w:hint="default" w:ascii="Times New Roman" w:hAnsi="Times New Roman" w:cs="Times New Roman"/>
                      <w:color w:val="auto"/>
                      <w:szCs w:val="21"/>
                    </w:rPr>
                    <w:t>钻井岩屑</w:t>
                  </w:r>
                </w:p>
              </w:tc>
              <w:tc>
                <w:tcPr>
                  <w:tcW w:w="1153" w:type="dxa"/>
                  <w:noWrap w:val="0"/>
                  <w:vAlign w:val="center"/>
                </w:tcPr>
                <w:p w14:paraId="65CA9928">
                  <w:pPr>
                    <w:jc w:val="center"/>
                    <w:rPr>
                      <w:rFonts w:hint="default" w:ascii="Times New Roman" w:hAnsi="Times New Roman" w:cs="Times New Roman"/>
                      <w:color w:val="auto"/>
                      <w:szCs w:val="21"/>
                    </w:rPr>
                  </w:pPr>
                  <w:r>
                    <w:rPr>
                      <w:rFonts w:hint="default" w:ascii="Times New Roman" w:hAnsi="Times New Roman" w:cs="Times New Roman"/>
                      <w:color w:val="auto"/>
                      <w:szCs w:val="21"/>
                    </w:rPr>
                    <w:t>一般固废</w:t>
                  </w:r>
                </w:p>
              </w:tc>
              <w:tc>
                <w:tcPr>
                  <w:tcW w:w="1274" w:type="dxa"/>
                  <w:noWrap w:val="0"/>
                  <w:vAlign w:val="center"/>
                </w:tcPr>
                <w:p w14:paraId="207CFA80">
                  <w:pPr>
                    <w:jc w:val="center"/>
                    <w:rPr>
                      <w:rFonts w:hint="default" w:ascii="Times New Roman" w:hAnsi="Times New Roman" w:eastAsia="宋体" w:cs="Times New Roman"/>
                      <w:color w:val="auto"/>
                      <w:szCs w:val="21"/>
                      <w:lang w:eastAsia="zh-CN"/>
                    </w:rPr>
                  </w:pPr>
                  <w:r>
                    <w:rPr>
                      <w:rFonts w:hint="default" w:ascii="Times New Roman" w:hAnsi="Times New Roman" w:cs="Times New Roman"/>
                      <w:bCs/>
                      <w:color w:val="auto"/>
                      <w:szCs w:val="21"/>
                      <w:lang w:eastAsia="zh-CN"/>
                    </w:rPr>
                    <w:t>072-001-S12</w:t>
                  </w:r>
                </w:p>
              </w:tc>
              <w:tc>
                <w:tcPr>
                  <w:tcW w:w="852" w:type="dxa"/>
                  <w:noWrap w:val="0"/>
                  <w:vAlign w:val="center"/>
                </w:tcPr>
                <w:p w14:paraId="181F3726">
                  <w:pPr>
                    <w:jc w:val="center"/>
                    <w:rPr>
                      <w:rFonts w:hint="default" w:ascii="Times New Roman" w:hAnsi="Times New Roman" w:cs="Times New Roman"/>
                      <w:color w:val="auto"/>
                      <w:szCs w:val="21"/>
                    </w:rPr>
                  </w:pPr>
                  <w:r>
                    <w:rPr>
                      <w:rFonts w:hint="default" w:ascii="Times New Roman" w:hAnsi="Times New Roman" w:cs="Times New Roman"/>
                      <w:color w:val="auto"/>
                      <w:szCs w:val="21"/>
                    </w:rPr>
                    <w:t>钻井</w:t>
                  </w:r>
                </w:p>
              </w:tc>
              <w:tc>
                <w:tcPr>
                  <w:tcW w:w="952" w:type="dxa"/>
                  <w:noWrap w:val="0"/>
                  <w:vAlign w:val="center"/>
                </w:tcPr>
                <w:p w14:paraId="25411796">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26</w:t>
                  </w:r>
                  <w:r>
                    <w:rPr>
                      <w:rFonts w:hint="default" w:ascii="Times New Roman" w:hAnsi="Times New Roman" w:cs="Times New Roman"/>
                      <w:color w:val="auto"/>
                      <w:sz w:val="24"/>
                      <w:highlight w:val="none"/>
                      <w:lang w:val="en-US" w:eastAsia="zh-CN"/>
                    </w:rPr>
                    <w:t>t</w:t>
                  </w:r>
                </w:p>
              </w:tc>
              <w:tc>
                <w:tcPr>
                  <w:tcW w:w="1860" w:type="dxa"/>
                  <w:noWrap w:val="0"/>
                  <w:vAlign w:val="center"/>
                </w:tcPr>
                <w:p w14:paraId="3411A51D">
                  <w:pPr>
                    <w:jc w:val="center"/>
                    <w:rPr>
                      <w:rFonts w:hint="default" w:ascii="Times New Roman" w:hAnsi="Times New Roman" w:cs="Times New Roman"/>
                      <w:color w:val="auto"/>
                      <w:szCs w:val="21"/>
                    </w:rPr>
                  </w:pPr>
                  <w:r>
                    <w:rPr>
                      <w:rFonts w:hint="default" w:ascii="Times New Roman" w:hAnsi="Times New Roman" w:cs="Times New Roman"/>
                      <w:color w:val="auto"/>
                      <w:szCs w:val="21"/>
                    </w:rPr>
                    <w:t>泥浆干化后作为周边路基维护的建材使用</w:t>
                  </w:r>
                </w:p>
              </w:tc>
            </w:tr>
            <w:tr w14:paraId="41CC2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noWrap w:val="0"/>
                  <w:vAlign w:val="center"/>
                </w:tcPr>
                <w:p w14:paraId="508CCA90">
                  <w:pPr>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1117" w:type="dxa"/>
                  <w:noWrap w:val="0"/>
                  <w:vAlign w:val="center"/>
                </w:tcPr>
                <w:p w14:paraId="40C22D99">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废包装材料</w:t>
                  </w:r>
                </w:p>
              </w:tc>
              <w:tc>
                <w:tcPr>
                  <w:tcW w:w="1153" w:type="dxa"/>
                  <w:noWrap w:val="0"/>
                  <w:vAlign w:val="center"/>
                </w:tcPr>
                <w:p w14:paraId="1D979307">
                  <w:pPr>
                    <w:jc w:val="center"/>
                    <w:rPr>
                      <w:rFonts w:hint="default" w:ascii="Times New Roman" w:hAnsi="Times New Roman" w:cs="Times New Roman"/>
                      <w:color w:val="auto"/>
                      <w:szCs w:val="21"/>
                    </w:rPr>
                  </w:pPr>
                  <w:r>
                    <w:rPr>
                      <w:rFonts w:hint="default" w:ascii="Times New Roman" w:hAnsi="Times New Roman" w:cs="Times New Roman"/>
                      <w:color w:val="auto"/>
                      <w:szCs w:val="21"/>
                    </w:rPr>
                    <w:t>一般固废</w:t>
                  </w:r>
                </w:p>
              </w:tc>
              <w:tc>
                <w:tcPr>
                  <w:tcW w:w="1274" w:type="dxa"/>
                  <w:noWrap w:val="0"/>
                  <w:vAlign w:val="center"/>
                </w:tcPr>
                <w:p w14:paraId="3108039A">
                  <w:pPr>
                    <w:jc w:val="center"/>
                    <w:rPr>
                      <w:rFonts w:hint="default" w:ascii="Times New Roman" w:hAnsi="Times New Roman" w:cs="Times New Roman"/>
                      <w:color w:val="auto"/>
                      <w:szCs w:val="21"/>
                    </w:rPr>
                  </w:pPr>
                  <w:r>
                    <w:rPr>
                      <w:rFonts w:hint="default" w:ascii="Times New Roman" w:hAnsi="Times New Roman" w:cs="Times New Roman"/>
                      <w:color w:val="auto"/>
                      <w:szCs w:val="21"/>
                    </w:rPr>
                    <w:t>900-099-S59</w:t>
                  </w:r>
                </w:p>
              </w:tc>
              <w:tc>
                <w:tcPr>
                  <w:tcW w:w="852" w:type="dxa"/>
                  <w:noWrap w:val="0"/>
                  <w:vAlign w:val="center"/>
                </w:tcPr>
                <w:p w14:paraId="37D29529">
                  <w:pPr>
                    <w:jc w:val="center"/>
                    <w:rPr>
                      <w:rFonts w:hint="default" w:ascii="Times New Roman" w:hAnsi="Times New Roman" w:cs="Times New Roman"/>
                      <w:color w:val="auto"/>
                      <w:szCs w:val="21"/>
                    </w:rPr>
                  </w:pPr>
                  <w:r>
                    <w:rPr>
                      <w:rFonts w:hint="default" w:ascii="Times New Roman" w:hAnsi="Times New Roman" w:cs="Times New Roman"/>
                      <w:color w:val="auto"/>
                      <w:szCs w:val="21"/>
                    </w:rPr>
                    <w:t>原辅材料</w:t>
                  </w:r>
                </w:p>
              </w:tc>
              <w:tc>
                <w:tcPr>
                  <w:tcW w:w="952" w:type="dxa"/>
                  <w:noWrap w:val="0"/>
                  <w:vAlign w:val="center"/>
                </w:tcPr>
                <w:p w14:paraId="24EB207A">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r>
                    <w:rPr>
                      <w:rFonts w:hint="default" w:ascii="Times New Roman" w:hAnsi="Times New Roman" w:cs="Times New Roman"/>
                      <w:color w:val="auto"/>
                      <w:szCs w:val="21"/>
                      <w:lang w:val="en-US" w:eastAsia="zh-CN"/>
                    </w:rPr>
                    <w:t>6</w:t>
                  </w:r>
                  <w:r>
                    <w:rPr>
                      <w:rFonts w:hint="default" w:ascii="Times New Roman" w:hAnsi="Times New Roman" w:cs="Times New Roman"/>
                      <w:color w:val="auto"/>
                      <w:sz w:val="24"/>
                      <w:highlight w:val="none"/>
                      <w:lang w:val="en-US" w:eastAsia="zh-CN"/>
                    </w:rPr>
                    <w:t>t/a</w:t>
                  </w:r>
                </w:p>
              </w:tc>
              <w:tc>
                <w:tcPr>
                  <w:tcW w:w="1860" w:type="dxa"/>
                  <w:noWrap w:val="0"/>
                  <w:vAlign w:val="center"/>
                </w:tcPr>
                <w:p w14:paraId="2A0FC3DF">
                  <w:pPr>
                    <w:jc w:val="center"/>
                    <w:rPr>
                      <w:rFonts w:hint="default" w:ascii="Times New Roman" w:hAnsi="Times New Roman" w:cs="Times New Roman"/>
                      <w:color w:val="auto"/>
                      <w:szCs w:val="21"/>
                    </w:rPr>
                  </w:pPr>
                  <w:r>
                    <w:rPr>
                      <w:rFonts w:hint="default" w:ascii="Times New Roman" w:hAnsi="Times New Roman" w:cs="Times New Roman"/>
                      <w:color w:val="auto"/>
                      <w:szCs w:val="21"/>
                    </w:rPr>
                    <w:t>集中收集后外售处理</w:t>
                  </w:r>
                </w:p>
              </w:tc>
            </w:tr>
            <w:tr w14:paraId="5CAE9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noWrap w:val="0"/>
                  <w:vAlign w:val="center"/>
                </w:tcPr>
                <w:p w14:paraId="04732250">
                  <w:pPr>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1117" w:type="dxa"/>
                  <w:noWrap w:val="0"/>
                  <w:vAlign w:val="center"/>
                </w:tcPr>
                <w:p w14:paraId="2A30366E">
                  <w:pPr>
                    <w:jc w:val="center"/>
                    <w:rPr>
                      <w:rFonts w:hint="default" w:ascii="Times New Roman" w:hAnsi="Times New Roman" w:cs="Times New Roman"/>
                      <w:color w:val="auto"/>
                      <w:szCs w:val="21"/>
                    </w:rPr>
                  </w:pPr>
                  <w:r>
                    <w:rPr>
                      <w:rFonts w:hint="default" w:ascii="Times New Roman" w:hAnsi="Times New Roman" w:cs="Times New Roman"/>
                      <w:color w:val="auto"/>
                      <w:szCs w:val="21"/>
                    </w:rPr>
                    <w:t>生活垃圾</w:t>
                  </w:r>
                </w:p>
              </w:tc>
              <w:tc>
                <w:tcPr>
                  <w:tcW w:w="1153" w:type="dxa"/>
                  <w:noWrap w:val="0"/>
                  <w:vAlign w:val="center"/>
                </w:tcPr>
                <w:p w14:paraId="4DFB5C74">
                  <w:pPr>
                    <w:jc w:val="center"/>
                    <w:rPr>
                      <w:rFonts w:hint="default" w:ascii="Times New Roman" w:hAnsi="Times New Roman" w:cs="Times New Roman"/>
                      <w:color w:val="auto"/>
                      <w:szCs w:val="21"/>
                    </w:rPr>
                  </w:pPr>
                  <w:r>
                    <w:rPr>
                      <w:rFonts w:hint="default" w:ascii="Times New Roman" w:hAnsi="Times New Roman" w:cs="Times New Roman"/>
                      <w:color w:val="auto"/>
                      <w:szCs w:val="21"/>
                    </w:rPr>
                    <w:t>生活垃圾</w:t>
                  </w:r>
                </w:p>
              </w:tc>
              <w:tc>
                <w:tcPr>
                  <w:tcW w:w="1274" w:type="dxa"/>
                  <w:noWrap w:val="0"/>
                  <w:vAlign w:val="center"/>
                </w:tcPr>
                <w:p w14:paraId="3B7EACD7">
                  <w:pPr>
                    <w:jc w:val="center"/>
                    <w:rPr>
                      <w:rFonts w:hint="default" w:ascii="Times New Roman" w:hAnsi="Times New Roman" w:eastAsia="宋体" w:cs="Times New Roman"/>
                      <w:color w:val="auto"/>
                      <w:szCs w:val="21"/>
                      <w:lang w:eastAsia="zh-CN"/>
                    </w:rPr>
                  </w:pPr>
                  <w:r>
                    <w:rPr>
                      <w:rFonts w:hint="default" w:ascii="Times New Roman" w:hAnsi="Times New Roman" w:cs="Times New Roman"/>
                      <w:bCs/>
                      <w:color w:val="auto"/>
                      <w:szCs w:val="21"/>
                      <w:lang w:val="en-US" w:eastAsia="zh-CN"/>
                    </w:rPr>
                    <w:t>/</w:t>
                  </w:r>
                </w:p>
              </w:tc>
              <w:tc>
                <w:tcPr>
                  <w:tcW w:w="852" w:type="dxa"/>
                  <w:noWrap w:val="0"/>
                  <w:vAlign w:val="center"/>
                </w:tcPr>
                <w:p w14:paraId="4ED253FA">
                  <w:pPr>
                    <w:jc w:val="center"/>
                    <w:rPr>
                      <w:rFonts w:hint="default" w:ascii="Times New Roman" w:hAnsi="Times New Roman" w:cs="Times New Roman"/>
                      <w:color w:val="auto"/>
                      <w:szCs w:val="21"/>
                    </w:rPr>
                  </w:pPr>
                  <w:r>
                    <w:rPr>
                      <w:rFonts w:hint="default" w:ascii="Times New Roman" w:hAnsi="Times New Roman" w:cs="Times New Roman"/>
                      <w:color w:val="auto"/>
                      <w:szCs w:val="21"/>
                    </w:rPr>
                    <w:t>员工</w:t>
                  </w:r>
                </w:p>
              </w:tc>
              <w:tc>
                <w:tcPr>
                  <w:tcW w:w="952" w:type="dxa"/>
                  <w:noWrap w:val="0"/>
                  <w:vAlign w:val="center"/>
                </w:tcPr>
                <w:p w14:paraId="7E19BE8E">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9.125</w:t>
                  </w:r>
                  <w:r>
                    <w:rPr>
                      <w:rFonts w:hint="default" w:ascii="Times New Roman" w:hAnsi="Times New Roman" w:cs="Times New Roman"/>
                      <w:color w:val="auto"/>
                      <w:sz w:val="24"/>
                      <w:highlight w:val="none"/>
                      <w:lang w:val="en-US" w:eastAsia="zh-CN"/>
                    </w:rPr>
                    <w:t>t/a</w:t>
                  </w:r>
                </w:p>
              </w:tc>
              <w:tc>
                <w:tcPr>
                  <w:tcW w:w="1860" w:type="dxa"/>
                  <w:noWrap w:val="0"/>
                  <w:vAlign w:val="center"/>
                </w:tcPr>
                <w:p w14:paraId="1B57BF20">
                  <w:pPr>
                    <w:jc w:val="center"/>
                    <w:rPr>
                      <w:rFonts w:hint="default" w:ascii="Times New Roman" w:hAnsi="Times New Roman" w:cs="Times New Roman"/>
                      <w:color w:val="auto"/>
                      <w:szCs w:val="21"/>
                    </w:rPr>
                  </w:pPr>
                  <w:r>
                    <w:rPr>
                      <w:rFonts w:hint="default" w:ascii="Times New Roman" w:hAnsi="Times New Roman" w:cs="Times New Roman"/>
                      <w:color w:val="auto"/>
                      <w:szCs w:val="21"/>
                    </w:rPr>
                    <w:t>纳入周边农村的生活垃圾收集设施，由环卫部门统一清运</w:t>
                  </w:r>
                </w:p>
              </w:tc>
            </w:tr>
            <w:tr w14:paraId="7C923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noWrap w:val="0"/>
                  <w:vAlign w:val="center"/>
                </w:tcPr>
                <w:p w14:paraId="7D329913">
                  <w:pPr>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1117" w:type="dxa"/>
                  <w:noWrap w:val="0"/>
                  <w:vAlign w:val="center"/>
                </w:tcPr>
                <w:p w14:paraId="3C316E01">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废润滑油</w:t>
                  </w:r>
                </w:p>
              </w:tc>
              <w:tc>
                <w:tcPr>
                  <w:tcW w:w="1153" w:type="dxa"/>
                  <w:vMerge w:val="restart"/>
                  <w:noWrap w:val="0"/>
                  <w:vAlign w:val="center"/>
                </w:tcPr>
                <w:p w14:paraId="1D364369">
                  <w:pPr>
                    <w:jc w:val="center"/>
                    <w:rPr>
                      <w:rFonts w:hint="default" w:ascii="Times New Roman" w:hAnsi="Times New Roman" w:cs="Times New Roman"/>
                      <w:color w:val="auto"/>
                      <w:szCs w:val="21"/>
                    </w:rPr>
                  </w:pPr>
                  <w:r>
                    <w:rPr>
                      <w:rFonts w:hint="default" w:ascii="Times New Roman" w:hAnsi="Times New Roman" w:cs="Times New Roman"/>
                      <w:color w:val="auto"/>
                      <w:szCs w:val="21"/>
                    </w:rPr>
                    <w:t>危险废物</w:t>
                  </w:r>
                </w:p>
              </w:tc>
              <w:tc>
                <w:tcPr>
                  <w:tcW w:w="1274" w:type="dxa"/>
                  <w:noWrap w:val="0"/>
                  <w:vAlign w:val="center"/>
                </w:tcPr>
                <w:p w14:paraId="0A8948DB">
                  <w:pPr>
                    <w:jc w:val="center"/>
                    <w:rPr>
                      <w:rFonts w:hint="default" w:ascii="Times New Roman" w:hAnsi="Times New Roman" w:cs="Times New Roman"/>
                      <w:color w:val="auto"/>
                      <w:szCs w:val="21"/>
                    </w:rPr>
                  </w:pPr>
                  <w:r>
                    <w:rPr>
                      <w:rFonts w:hint="default" w:ascii="Times New Roman" w:hAnsi="Times New Roman" w:cs="Times New Roman"/>
                      <w:bCs/>
                      <w:color w:val="auto"/>
                      <w:szCs w:val="21"/>
                    </w:rPr>
                    <w:t>HW08，900-214-08</w:t>
                  </w:r>
                </w:p>
              </w:tc>
              <w:tc>
                <w:tcPr>
                  <w:tcW w:w="852" w:type="dxa"/>
                  <w:noWrap w:val="0"/>
                  <w:vAlign w:val="center"/>
                </w:tcPr>
                <w:p w14:paraId="7E642EDC">
                  <w:pPr>
                    <w:jc w:val="center"/>
                    <w:rPr>
                      <w:rFonts w:hint="default" w:ascii="Times New Roman" w:hAnsi="Times New Roman" w:cs="Times New Roman"/>
                      <w:color w:val="auto"/>
                      <w:szCs w:val="21"/>
                    </w:rPr>
                  </w:pPr>
                  <w:r>
                    <w:rPr>
                      <w:rFonts w:hint="default" w:ascii="Times New Roman" w:hAnsi="Times New Roman" w:cs="Times New Roman"/>
                      <w:color w:val="auto"/>
                      <w:szCs w:val="21"/>
                    </w:rPr>
                    <w:t>机械设备</w:t>
                  </w:r>
                </w:p>
              </w:tc>
              <w:tc>
                <w:tcPr>
                  <w:tcW w:w="952" w:type="dxa"/>
                  <w:noWrap w:val="0"/>
                  <w:vAlign w:val="center"/>
                </w:tcPr>
                <w:p w14:paraId="64E59AB8">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 w:val="24"/>
                      <w:highlight w:val="none"/>
                      <w:lang w:val="en-US" w:eastAsia="zh-CN"/>
                    </w:rPr>
                    <w:t>t/a</w:t>
                  </w:r>
                </w:p>
              </w:tc>
              <w:tc>
                <w:tcPr>
                  <w:tcW w:w="1860" w:type="dxa"/>
                  <w:vMerge w:val="restart"/>
                  <w:noWrap w:val="0"/>
                  <w:vAlign w:val="center"/>
                </w:tcPr>
                <w:p w14:paraId="7CC8DA10">
                  <w:pPr>
                    <w:jc w:val="center"/>
                    <w:rPr>
                      <w:rFonts w:hint="default" w:ascii="Times New Roman" w:hAnsi="Times New Roman" w:cs="Times New Roman"/>
                      <w:color w:val="auto"/>
                      <w:szCs w:val="21"/>
                    </w:rPr>
                  </w:pPr>
                  <w:r>
                    <w:rPr>
                      <w:rFonts w:hint="default" w:ascii="Times New Roman" w:hAnsi="Times New Roman" w:cs="Times New Roman"/>
                      <w:color w:val="auto"/>
                      <w:szCs w:val="21"/>
                    </w:rPr>
                    <w:t>朱集西煤矿危废暂存间暂存，交由有资质单位处置</w:t>
                  </w:r>
                </w:p>
              </w:tc>
            </w:tr>
            <w:tr w14:paraId="3AC9C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noWrap w:val="0"/>
                  <w:vAlign w:val="center"/>
                </w:tcPr>
                <w:p w14:paraId="4B5A9898">
                  <w:pPr>
                    <w:jc w:val="center"/>
                    <w:rPr>
                      <w:rFonts w:hint="default" w:ascii="Times New Roman" w:hAnsi="Times New Roman" w:cs="Times New Roman"/>
                      <w:color w:val="auto"/>
                      <w:szCs w:val="21"/>
                    </w:rPr>
                  </w:pPr>
                  <w:r>
                    <w:rPr>
                      <w:rFonts w:hint="default" w:ascii="Times New Roman" w:hAnsi="Times New Roman" w:cs="Times New Roman"/>
                      <w:color w:val="auto"/>
                      <w:szCs w:val="21"/>
                    </w:rPr>
                    <w:t>6</w:t>
                  </w:r>
                </w:p>
              </w:tc>
              <w:tc>
                <w:tcPr>
                  <w:tcW w:w="1117" w:type="dxa"/>
                  <w:noWrap w:val="0"/>
                  <w:vAlign w:val="center"/>
                </w:tcPr>
                <w:p w14:paraId="2C313C80">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废润滑油桶</w:t>
                  </w:r>
                </w:p>
              </w:tc>
              <w:tc>
                <w:tcPr>
                  <w:tcW w:w="1153" w:type="dxa"/>
                  <w:vMerge w:val="continue"/>
                  <w:noWrap w:val="0"/>
                  <w:vAlign w:val="center"/>
                </w:tcPr>
                <w:p w14:paraId="7AAA2136">
                  <w:pPr>
                    <w:jc w:val="center"/>
                    <w:rPr>
                      <w:rFonts w:hint="default" w:ascii="Times New Roman" w:hAnsi="Times New Roman" w:cs="Times New Roman"/>
                      <w:color w:val="auto"/>
                      <w:szCs w:val="21"/>
                    </w:rPr>
                  </w:pPr>
                </w:p>
              </w:tc>
              <w:tc>
                <w:tcPr>
                  <w:tcW w:w="1274" w:type="dxa"/>
                  <w:noWrap w:val="0"/>
                  <w:vAlign w:val="center"/>
                </w:tcPr>
                <w:p w14:paraId="5967097F">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bCs/>
                      <w:color w:val="auto"/>
                      <w:szCs w:val="21"/>
                    </w:rPr>
                    <w:t>HW</w:t>
                  </w:r>
                  <w:r>
                    <w:rPr>
                      <w:rFonts w:hint="default" w:ascii="Times New Roman" w:hAnsi="Times New Roman" w:cs="Times New Roman"/>
                      <w:bCs/>
                      <w:color w:val="auto"/>
                      <w:szCs w:val="21"/>
                      <w:lang w:val="en-US" w:eastAsia="zh-CN"/>
                    </w:rPr>
                    <w:t>08</w:t>
                  </w:r>
                  <w:r>
                    <w:rPr>
                      <w:rFonts w:hint="default" w:ascii="Times New Roman" w:hAnsi="Times New Roman" w:cs="Times New Roman"/>
                      <w:bCs/>
                      <w:color w:val="auto"/>
                      <w:szCs w:val="21"/>
                    </w:rPr>
                    <w:t>，900-</w:t>
                  </w:r>
                  <w:r>
                    <w:rPr>
                      <w:rFonts w:hint="default" w:ascii="Times New Roman" w:hAnsi="Times New Roman" w:cs="Times New Roman"/>
                      <w:bCs/>
                      <w:color w:val="auto"/>
                      <w:szCs w:val="21"/>
                      <w:lang w:val="en-US" w:eastAsia="zh-CN"/>
                    </w:rPr>
                    <w:t>249</w:t>
                  </w:r>
                  <w:r>
                    <w:rPr>
                      <w:rFonts w:hint="default" w:ascii="Times New Roman" w:hAnsi="Times New Roman" w:cs="Times New Roman"/>
                      <w:bCs/>
                      <w:color w:val="auto"/>
                      <w:szCs w:val="21"/>
                    </w:rPr>
                    <w:t>-</w:t>
                  </w:r>
                  <w:r>
                    <w:rPr>
                      <w:rFonts w:hint="default" w:ascii="Times New Roman" w:hAnsi="Times New Roman" w:cs="Times New Roman"/>
                      <w:bCs/>
                      <w:color w:val="auto"/>
                      <w:szCs w:val="21"/>
                      <w:lang w:val="en-US" w:eastAsia="zh-CN"/>
                    </w:rPr>
                    <w:t>08</w:t>
                  </w:r>
                </w:p>
              </w:tc>
              <w:tc>
                <w:tcPr>
                  <w:tcW w:w="852" w:type="dxa"/>
                  <w:noWrap w:val="0"/>
                  <w:vAlign w:val="center"/>
                </w:tcPr>
                <w:p w14:paraId="39D71AB9">
                  <w:pPr>
                    <w:jc w:val="center"/>
                    <w:rPr>
                      <w:rFonts w:hint="default" w:ascii="Times New Roman" w:hAnsi="Times New Roman" w:cs="Times New Roman"/>
                      <w:color w:val="auto"/>
                      <w:szCs w:val="21"/>
                    </w:rPr>
                  </w:pPr>
                  <w:r>
                    <w:rPr>
                      <w:rFonts w:hint="default" w:ascii="Times New Roman" w:hAnsi="Times New Roman" w:cs="Times New Roman"/>
                      <w:color w:val="auto"/>
                      <w:szCs w:val="21"/>
                    </w:rPr>
                    <w:t>机械设备</w:t>
                  </w:r>
                </w:p>
              </w:tc>
              <w:tc>
                <w:tcPr>
                  <w:tcW w:w="952" w:type="dxa"/>
                  <w:noWrap w:val="0"/>
                  <w:vAlign w:val="center"/>
                </w:tcPr>
                <w:p w14:paraId="2604145D">
                  <w:pPr>
                    <w:jc w:val="center"/>
                    <w:rPr>
                      <w:rFonts w:hint="default" w:ascii="Times New Roman" w:hAnsi="Times New Roman" w:cs="Times New Roman"/>
                      <w:color w:val="auto"/>
                      <w:szCs w:val="21"/>
                    </w:rPr>
                  </w:pPr>
                  <w:r>
                    <w:rPr>
                      <w:rFonts w:hint="default" w:ascii="Times New Roman" w:hAnsi="Times New Roman" w:cs="Times New Roman"/>
                      <w:color w:val="auto"/>
                      <w:szCs w:val="21"/>
                    </w:rPr>
                    <w:t>0.0</w:t>
                  </w:r>
                  <w:r>
                    <w:rPr>
                      <w:rFonts w:hint="default" w:ascii="Times New Roman" w:hAnsi="Times New Roman" w:cs="Times New Roman"/>
                      <w:color w:val="auto"/>
                      <w:szCs w:val="21"/>
                      <w:lang w:val="en-US" w:eastAsia="zh-CN"/>
                    </w:rPr>
                    <w:t>4</w:t>
                  </w:r>
                  <w:r>
                    <w:rPr>
                      <w:rFonts w:hint="default" w:ascii="Times New Roman" w:hAnsi="Times New Roman" w:cs="Times New Roman"/>
                      <w:color w:val="auto"/>
                      <w:sz w:val="24"/>
                      <w:highlight w:val="none"/>
                      <w:lang w:val="en-US" w:eastAsia="zh-CN"/>
                    </w:rPr>
                    <w:t>t/a</w:t>
                  </w:r>
                </w:p>
              </w:tc>
              <w:tc>
                <w:tcPr>
                  <w:tcW w:w="1860" w:type="dxa"/>
                  <w:vMerge w:val="continue"/>
                  <w:noWrap w:val="0"/>
                  <w:vAlign w:val="center"/>
                </w:tcPr>
                <w:p w14:paraId="57578841">
                  <w:pPr>
                    <w:jc w:val="center"/>
                    <w:rPr>
                      <w:rFonts w:hint="default" w:ascii="Times New Roman" w:hAnsi="Times New Roman" w:cs="Times New Roman"/>
                      <w:color w:val="auto"/>
                      <w:szCs w:val="21"/>
                    </w:rPr>
                  </w:pPr>
                </w:p>
              </w:tc>
            </w:tr>
            <w:tr w14:paraId="76DC3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noWrap w:val="0"/>
                  <w:vAlign w:val="center"/>
                </w:tcPr>
                <w:p w14:paraId="762DACE8">
                  <w:pPr>
                    <w:jc w:val="center"/>
                    <w:rPr>
                      <w:rFonts w:hint="default" w:ascii="Times New Roman" w:hAnsi="Times New Roman" w:cs="Times New Roman"/>
                      <w:color w:val="auto"/>
                      <w:szCs w:val="21"/>
                    </w:rPr>
                  </w:pPr>
                  <w:r>
                    <w:rPr>
                      <w:rFonts w:hint="default" w:ascii="Times New Roman" w:hAnsi="Times New Roman" w:cs="Times New Roman"/>
                      <w:color w:val="auto"/>
                      <w:szCs w:val="21"/>
                    </w:rPr>
                    <w:t>7</w:t>
                  </w:r>
                </w:p>
              </w:tc>
              <w:tc>
                <w:tcPr>
                  <w:tcW w:w="1117" w:type="dxa"/>
                  <w:noWrap w:val="0"/>
                  <w:vAlign w:val="center"/>
                </w:tcPr>
                <w:p w14:paraId="5879C1A6">
                  <w:pPr>
                    <w:jc w:val="center"/>
                    <w:rPr>
                      <w:rFonts w:hint="default" w:ascii="Times New Roman" w:hAnsi="Times New Roman" w:cs="Times New Roman"/>
                      <w:color w:val="auto"/>
                      <w:szCs w:val="21"/>
                    </w:rPr>
                  </w:pPr>
                  <w:r>
                    <w:rPr>
                      <w:rFonts w:hint="default" w:ascii="Times New Roman" w:hAnsi="Times New Roman" w:cs="Times New Roman"/>
                      <w:color w:val="auto"/>
                      <w:szCs w:val="21"/>
                    </w:rPr>
                    <w:t>分类后的废含油抹布和废含油手套</w:t>
                  </w:r>
                </w:p>
              </w:tc>
              <w:tc>
                <w:tcPr>
                  <w:tcW w:w="1153" w:type="dxa"/>
                  <w:vMerge w:val="continue"/>
                  <w:noWrap w:val="0"/>
                  <w:vAlign w:val="center"/>
                </w:tcPr>
                <w:p w14:paraId="67A4DDC2">
                  <w:pPr>
                    <w:jc w:val="center"/>
                    <w:rPr>
                      <w:rFonts w:hint="default" w:ascii="Times New Roman" w:hAnsi="Times New Roman" w:cs="Times New Roman"/>
                      <w:color w:val="auto"/>
                      <w:szCs w:val="21"/>
                    </w:rPr>
                  </w:pPr>
                </w:p>
              </w:tc>
              <w:tc>
                <w:tcPr>
                  <w:tcW w:w="1274" w:type="dxa"/>
                  <w:noWrap w:val="0"/>
                  <w:vAlign w:val="center"/>
                </w:tcPr>
                <w:p w14:paraId="74A76500">
                  <w:pPr>
                    <w:jc w:val="center"/>
                    <w:rPr>
                      <w:rFonts w:hint="default" w:ascii="Times New Roman" w:hAnsi="Times New Roman" w:cs="Times New Roman"/>
                      <w:color w:val="auto"/>
                      <w:szCs w:val="21"/>
                    </w:rPr>
                  </w:pPr>
                  <w:r>
                    <w:rPr>
                      <w:rFonts w:hint="default" w:ascii="Times New Roman" w:hAnsi="Times New Roman" w:cs="Times New Roman"/>
                      <w:color w:val="auto"/>
                      <w:szCs w:val="21"/>
                    </w:rPr>
                    <w:t>HW49，900-041-49</w:t>
                  </w:r>
                </w:p>
              </w:tc>
              <w:tc>
                <w:tcPr>
                  <w:tcW w:w="852" w:type="dxa"/>
                  <w:noWrap w:val="0"/>
                  <w:vAlign w:val="center"/>
                </w:tcPr>
                <w:p w14:paraId="0D033402">
                  <w:pPr>
                    <w:jc w:val="center"/>
                    <w:rPr>
                      <w:rFonts w:hint="default" w:ascii="Times New Roman" w:hAnsi="Times New Roman" w:cs="Times New Roman"/>
                      <w:color w:val="auto"/>
                      <w:szCs w:val="21"/>
                    </w:rPr>
                  </w:pPr>
                  <w:r>
                    <w:rPr>
                      <w:rFonts w:hint="default" w:ascii="Times New Roman" w:hAnsi="Times New Roman" w:cs="Times New Roman"/>
                      <w:color w:val="auto"/>
                      <w:szCs w:val="21"/>
                    </w:rPr>
                    <w:t>机械设备维护</w:t>
                  </w:r>
                </w:p>
              </w:tc>
              <w:tc>
                <w:tcPr>
                  <w:tcW w:w="952" w:type="dxa"/>
                  <w:noWrap w:val="0"/>
                  <w:vAlign w:val="center"/>
                </w:tcPr>
                <w:p w14:paraId="72FCDD21">
                  <w:pPr>
                    <w:jc w:val="center"/>
                    <w:rPr>
                      <w:rFonts w:hint="default" w:ascii="Times New Roman" w:hAnsi="Times New Roman" w:cs="Times New Roman"/>
                      <w:color w:val="auto"/>
                      <w:szCs w:val="21"/>
                    </w:rPr>
                  </w:pPr>
                  <w:r>
                    <w:rPr>
                      <w:rFonts w:hint="default" w:ascii="Times New Roman" w:hAnsi="Times New Roman" w:cs="Times New Roman"/>
                      <w:color w:val="auto"/>
                      <w:szCs w:val="21"/>
                    </w:rPr>
                    <w:t>0.0</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 w:val="24"/>
                      <w:highlight w:val="none"/>
                      <w:lang w:val="en-US" w:eastAsia="zh-CN"/>
                    </w:rPr>
                    <w:t>t/a</w:t>
                  </w:r>
                </w:p>
              </w:tc>
              <w:tc>
                <w:tcPr>
                  <w:tcW w:w="1860" w:type="dxa"/>
                  <w:vMerge w:val="continue"/>
                  <w:noWrap w:val="0"/>
                  <w:vAlign w:val="center"/>
                </w:tcPr>
                <w:p w14:paraId="2949EA5C">
                  <w:pPr>
                    <w:jc w:val="center"/>
                    <w:rPr>
                      <w:rFonts w:hint="default" w:ascii="Times New Roman" w:hAnsi="Times New Roman" w:cs="Times New Roman"/>
                      <w:color w:val="auto"/>
                      <w:szCs w:val="21"/>
                    </w:rPr>
                  </w:pPr>
                </w:p>
              </w:tc>
            </w:tr>
          </w:tbl>
          <w:p w14:paraId="30B01618">
            <w:pPr>
              <w:pStyle w:val="5"/>
              <w:spacing w:line="360" w:lineRule="auto"/>
              <w:ind w:firstLine="482"/>
              <w:rPr>
                <w:rFonts w:hint="default" w:ascii="Times New Roman" w:hAnsi="Times New Roman"/>
                <w:b/>
                <w:bCs/>
                <w:color w:val="auto"/>
                <w:sz w:val="24"/>
                <w:lang w:val="en-US" w:eastAsia="zh-CN"/>
              </w:rPr>
            </w:pPr>
            <w:r>
              <w:rPr>
                <w:rFonts w:hint="eastAsia" w:ascii="Times New Roman" w:hAnsi="Times New Roman"/>
                <w:bCs/>
                <w:color w:val="auto"/>
                <w:sz w:val="24"/>
                <w:lang w:val="en-US" w:eastAsia="zh-CN"/>
              </w:rPr>
              <w:t>朱集西煤矿危废库建筑面积300平方米，贮存能力30吨，地面已采取防</w:t>
            </w:r>
            <w:bookmarkStart w:id="11" w:name="_GoBack"/>
            <w:bookmarkEnd w:id="11"/>
            <w:r>
              <w:rPr>
                <w:rFonts w:hint="eastAsia" w:ascii="Times New Roman" w:hAnsi="Times New Roman"/>
                <w:bCs/>
                <w:color w:val="auto"/>
                <w:sz w:val="24"/>
                <w:lang w:val="en-US" w:eastAsia="zh-CN"/>
              </w:rPr>
              <w:t>渗等措施，朱集西煤矿危废库目前暂存7.191吨，本项目危废产生量为0.16t/a，从本项目最远井场运输至朱集西煤矿危废库的运输距离约2.4公里，全程以水泥路面为主，无复杂路况（如陡坡、窄桥），单程运输时间约10分钟，可避免危废长时间运输导致的风险，运输过程中采用密封包装转移至朱集西煤矿危废库。因此，本项目可依托朱集西煤矿危废库暂存危废。</w:t>
            </w:r>
          </w:p>
          <w:p w14:paraId="5763D13C">
            <w:pPr>
              <w:pStyle w:val="5"/>
              <w:spacing w:line="360" w:lineRule="auto"/>
              <w:ind w:firstLine="482"/>
              <w:rPr>
                <w:rFonts w:ascii="Times New Roman" w:hAnsi="Times New Roman"/>
                <w:b/>
                <w:bCs/>
                <w:color w:val="auto"/>
                <w:sz w:val="24"/>
                <w:lang w:val="en-US" w:eastAsia="zh-CN"/>
              </w:rPr>
            </w:pPr>
            <w:r>
              <w:rPr>
                <w:rFonts w:ascii="Times New Roman" w:hAnsi="Times New Roman"/>
                <w:b/>
                <w:bCs/>
                <w:color w:val="auto"/>
                <w:sz w:val="24"/>
                <w:lang w:val="en-US" w:eastAsia="zh-CN"/>
              </w:rPr>
              <w:t>5、土壤环境影响分析</w:t>
            </w:r>
          </w:p>
          <w:p w14:paraId="05BD7CE7">
            <w:pPr>
              <w:pStyle w:val="5"/>
              <w:spacing w:line="360" w:lineRule="auto"/>
              <w:ind w:firstLine="480"/>
              <w:rPr>
                <w:rFonts w:ascii="Times New Roman" w:hAnsi="Times New Roman"/>
                <w:color w:val="auto"/>
                <w:sz w:val="24"/>
                <w:lang w:val="en-US" w:eastAsia="zh-CN"/>
              </w:rPr>
            </w:pPr>
            <w:r>
              <w:rPr>
                <w:rFonts w:hint="eastAsia" w:ascii="Times New Roman" w:hAnsi="Times New Roman"/>
                <w:color w:val="auto"/>
                <w:sz w:val="24"/>
                <w:lang w:val="en-US" w:eastAsia="zh-CN"/>
              </w:rPr>
              <w:t>根据《环境影响评价技术导则 土壤环境（试行）》（HJ964-2018）附录A土壤环境影响评价项目类别分类表，结合建设项目行业特征、工艺特点或规模大小，将建设项目分为I、II、III、IV类四类，I、II、III类建设项目的土壤环境影响评价应执行本标准，IV类建设项目不开展土壤环境影响评价。本项目属于土壤环境影响评价类别“其他行业”，属于IV类项目，因此本项目不开展土壤环境影响评价，只进行简单分析。</w:t>
            </w:r>
          </w:p>
          <w:p w14:paraId="3EF99038">
            <w:pPr>
              <w:pStyle w:val="5"/>
              <w:spacing w:line="360" w:lineRule="auto"/>
              <w:ind w:firstLine="480"/>
              <w:rPr>
                <w:rFonts w:ascii="Times New Roman" w:hAnsi="Times New Roman"/>
                <w:color w:val="auto"/>
                <w:sz w:val="24"/>
                <w:lang w:val="en-US" w:eastAsia="zh-CN"/>
              </w:rPr>
            </w:pPr>
            <w:r>
              <w:rPr>
                <w:rFonts w:ascii="Times New Roman" w:hAnsi="Times New Roman"/>
                <w:color w:val="auto"/>
                <w:sz w:val="24"/>
                <w:lang w:val="en-US" w:eastAsia="zh-CN"/>
              </w:rPr>
              <w:t>正常工况下，钻井工程对土壤无影响，事故工程下，钻井过程对土壤可能产生不利影响的途径主要有以下几个方面：</w:t>
            </w:r>
          </w:p>
          <w:p w14:paraId="13F33612">
            <w:pPr>
              <w:pStyle w:val="5"/>
              <w:spacing w:line="360" w:lineRule="auto"/>
              <w:ind w:firstLine="480"/>
              <w:rPr>
                <w:rFonts w:ascii="Times New Roman" w:hAnsi="Times New Roman"/>
                <w:color w:val="auto"/>
                <w:sz w:val="24"/>
                <w:lang w:val="en-US" w:eastAsia="zh-CN"/>
              </w:rPr>
            </w:pPr>
            <w:r>
              <w:rPr>
                <w:rFonts w:ascii="Times New Roman" w:hAnsi="Times New Roman"/>
                <w:color w:val="auto"/>
                <w:sz w:val="24"/>
                <w:lang w:val="en-US" w:eastAsia="zh-CN"/>
              </w:rPr>
              <w:t>①大气沉降影响分析</w:t>
            </w:r>
          </w:p>
          <w:p w14:paraId="3082FE78">
            <w:pPr>
              <w:pStyle w:val="5"/>
              <w:spacing w:line="360" w:lineRule="auto"/>
              <w:ind w:firstLine="480"/>
              <w:rPr>
                <w:rFonts w:ascii="Times New Roman" w:hAnsi="Times New Roman"/>
                <w:color w:val="auto"/>
                <w:sz w:val="24"/>
                <w:lang w:val="en-US" w:eastAsia="zh-CN"/>
              </w:rPr>
            </w:pPr>
            <w:r>
              <w:rPr>
                <w:rFonts w:ascii="Times New Roman" w:hAnsi="Times New Roman"/>
                <w:color w:val="auto"/>
                <w:sz w:val="24"/>
                <w:lang w:val="en-US" w:eastAsia="zh-CN"/>
              </w:rPr>
              <w:t>建设项目仅施工期有少量废气产生，且施工时间短，大气污染物中不含重金属及粉尘。因此，本次评价不考虑大气沉降对土壤的影响。</w:t>
            </w:r>
          </w:p>
          <w:p w14:paraId="71012F48">
            <w:pPr>
              <w:pStyle w:val="5"/>
              <w:spacing w:line="360" w:lineRule="auto"/>
              <w:ind w:firstLine="480"/>
              <w:rPr>
                <w:rFonts w:ascii="Times New Roman" w:hAnsi="Times New Roman"/>
                <w:color w:val="auto"/>
                <w:sz w:val="24"/>
                <w:lang w:val="en-US" w:eastAsia="zh-CN"/>
              </w:rPr>
            </w:pPr>
            <w:r>
              <w:rPr>
                <w:rFonts w:ascii="Times New Roman" w:hAnsi="Times New Roman"/>
                <w:color w:val="auto"/>
                <w:sz w:val="24"/>
                <w:lang w:val="en-US" w:eastAsia="zh-CN"/>
              </w:rPr>
              <w:t>②入渗影响分析</w:t>
            </w:r>
          </w:p>
          <w:p w14:paraId="001AFA46">
            <w:pPr>
              <w:pStyle w:val="5"/>
              <w:spacing w:line="360" w:lineRule="auto"/>
              <w:ind w:firstLine="480"/>
              <w:rPr>
                <w:rFonts w:ascii="Times New Roman" w:hAnsi="Times New Roman"/>
                <w:color w:val="auto"/>
                <w:sz w:val="24"/>
                <w:lang w:val="en-US" w:eastAsia="zh-CN"/>
              </w:rPr>
            </w:pPr>
            <w:r>
              <w:rPr>
                <w:rFonts w:ascii="Times New Roman" w:hAnsi="Times New Roman"/>
                <w:color w:val="auto"/>
                <w:sz w:val="24"/>
                <w:lang w:val="en-US" w:eastAsia="zh-CN"/>
              </w:rPr>
              <w:t>本项目属于钻井期短期影响，项目产生的固体废物均外运处置，不长期储存，钻井污染物渗透进入土壤环境的量很小，通过采取的源头控制和分区防渗措施，进一步有效减少污染物的渗透。固体废物渗透进入井场及周边土壤的量很少，渗入点分散、量小，不会对土壤环境产生明显不利影响，不会造成评价范围及周边土壤环境质量超标。</w:t>
            </w:r>
          </w:p>
          <w:p w14:paraId="35204243">
            <w:pPr>
              <w:pStyle w:val="5"/>
              <w:spacing w:line="360" w:lineRule="auto"/>
              <w:ind w:firstLine="480"/>
              <w:rPr>
                <w:rFonts w:ascii="Times New Roman" w:hAnsi="Times New Roman"/>
                <w:color w:val="auto"/>
                <w:sz w:val="24"/>
                <w:lang w:val="en-US" w:eastAsia="zh-CN"/>
              </w:rPr>
            </w:pPr>
            <w:r>
              <w:rPr>
                <w:rFonts w:ascii="Times New Roman" w:hAnsi="Times New Roman"/>
                <w:color w:val="auto"/>
                <w:sz w:val="24"/>
                <w:lang w:val="en-US" w:eastAsia="zh-CN"/>
              </w:rPr>
              <w:t>③地面漫流影响分析</w:t>
            </w:r>
          </w:p>
          <w:p w14:paraId="6D08B8D6">
            <w:pPr>
              <w:pStyle w:val="5"/>
              <w:spacing w:line="360" w:lineRule="auto"/>
              <w:ind w:firstLine="480"/>
              <w:rPr>
                <w:rFonts w:ascii="Times New Roman" w:hAnsi="Times New Roman"/>
                <w:color w:val="auto"/>
                <w:sz w:val="24"/>
                <w:lang w:val="en-US" w:eastAsia="zh-CN"/>
              </w:rPr>
            </w:pPr>
            <w:r>
              <w:rPr>
                <w:rFonts w:ascii="Times New Roman" w:hAnsi="Times New Roman"/>
                <w:color w:val="auto"/>
                <w:sz w:val="24"/>
                <w:lang w:val="en-US" w:eastAsia="zh-CN"/>
              </w:rPr>
              <w:t>在井场四周设置雨水排水沟，场外雨水随雨水沟排放；井场内的雨水随场内雨水沟汇集后经进入集水坑收集，且通过场地内设置的沉淀池沉淀处理后外排。雨水漫流带走的污染物很少；采取全面防控措施，避免可能受污染的雨水发生地面漫流进入土壤。在全面落实相应措施的情况下，物料或污染物的地面漫流对土壤影响较小。</w:t>
            </w:r>
          </w:p>
          <w:p w14:paraId="74F040C0">
            <w:pPr>
              <w:pStyle w:val="5"/>
              <w:spacing w:line="360" w:lineRule="auto"/>
              <w:ind w:firstLine="482"/>
              <w:rPr>
                <w:rFonts w:ascii="Times New Roman" w:hAnsi="Times New Roman"/>
                <w:b/>
                <w:bCs/>
                <w:color w:val="auto"/>
                <w:sz w:val="24"/>
                <w:lang w:val="en-US" w:eastAsia="zh-CN"/>
              </w:rPr>
            </w:pPr>
            <w:r>
              <w:rPr>
                <w:rFonts w:ascii="Times New Roman" w:hAnsi="Times New Roman"/>
                <w:b/>
                <w:bCs/>
                <w:color w:val="auto"/>
                <w:sz w:val="24"/>
                <w:lang w:val="en-US" w:eastAsia="zh-CN"/>
              </w:rPr>
              <w:t>6、地下水环境影响分析</w:t>
            </w:r>
          </w:p>
          <w:p w14:paraId="5CC24852">
            <w:pPr>
              <w:spacing w:line="360" w:lineRule="auto"/>
              <w:ind w:firstLine="480" w:firstLineChars="200"/>
              <w:rPr>
                <w:rFonts w:hint="eastAsia" w:ascii="Times New Roman" w:hAnsi="Times New Roman"/>
                <w:color w:val="auto"/>
                <w:sz w:val="24"/>
              </w:rPr>
            </w:pPr>
            <w:r>
              <w:rPr>
                <w:rFonts w:hint="eastAsia" w:ascii="Times New Roman" w:hAnsi="Times New Roman"/>
                <w:color w:val="auto"/>
                <w:sz w:val="24"/>
              </w:rPr>
              <w:t>根据《环境影响评价技术导则</w:t>
            </w:r>
            <w:r>
              <w:rPr>
                <w:rFonts w:hint="eastAsia" w:ascii="Times New Roman" w:hAnsi="Times New Roman"/>
                <w:color w:val="auto"/>
                <w:sz w:val="24"/>
                <w:lang w:val="en-US" w:eastAsia="zh-CN"/>
              </w:rPr>
              <w:t xml:space="preserve"> </w:t>
            </w:r>
            <w:r>
              <w:rPr>
                <w:rFonts w:hint="eastAsia" w:ascii="Times New Roman" w:hAnsi="Times New Roman"/>
                <w:color w:val="auto"/>
                <w:sz w:val="24"/>
              </w:rPr>
              <w:t>地下水》（HJ610-2016)中附录A地下水环境影响评价分类表，将建设项目分为I、II、III、IV类四类，I、II、III类建设项目的地下水环境影响评价应执行本标准，IV类建设项目不开展地下水环境影响评价。本项目为陆地矿产资源地质勘察，属于地下水环境影响评价类别“C地质勘察--24、矿产资源地质勘查（包括勘探活动）”属于Ⅳ类项目，本项目可不开展地下水环境影响评价。本次评价仅对地下水环境做简要分析。</w:t>
            </w:r>
          </w:p>
          <w:p w14:paraId="79833BD7">
            <w:pPr>
              <w:spacing w:line="360" w:lineRule="auto"/>
              <w:ind w:firstLine="480" w:firstLineChars="200"/>
              <w:rPr>
                <w:rFonts w:hint="eastAsia" w:ascii="Times New Roman" w:hAnsi="Times New Roman"/>
                <w:color w:val="auto"/>
                <w:sz w:val="24"/>
              </w:rPr>
            </w:pPr>
            <w:r>
              <w:rPr>
                <w:rFonts w:hint="eastAsia" w:ascii="Times New Roman" w:hAnsi="Times New Roman"/>
                <w:color w:val="auto"/>
                <w:sz w:val="24"/>
              </w:rPr>
              <w:t>由于各地层岩性、孔隙度不同，对于孔隙度大的地层，在钻井过程中可能会发生钻井液漏失的现象，若漏失地层与含水层之间存在较多的断裂或裂隙，漏失的钻井液就有可能顺着岩层断裂、裂隙进入地下水，造成地下水污染。另外，固井过程中固井液的漏失对地下水也有一定的影响。</w:t>
            </w:r>
          </w:p>
          <w:p w14:paraId="130080CC">
            <w:pPr>
              <w:spacing w:line="360" w:lineRule="auto"/>
              <w:ind w:firstLine="480" w:firstLineChars="200"/>
              <w:rPr>
                <w:rFonts w:hint="eastAsia" w:ascii="Times New Roman" w:hAnsi="Times New Roman"/>
                <w:color w:val="auto"/>
                <w:sz w:val="24"/>
              </w:rPr>
            </w:pPr>
            <w:r>
              <w:rPr>
                <w:rFonts w:hint="eastAsia" w:ascii="Times New Roman" w:hAnsi="Times New Roman"/>
                <w:color w:val="auto"/>
                <w:sz w:val="24"/>
              </w:rPr>
              <w:t>由于本项目钻井段的地层岩性以砂岩为主，地层孔隙度小，渗透率极低，泥浆漏失的几率很小。此外，本项目钻井阶段利用清水泥浆钻井，在套管的保护下能有效地保护浅层地下水；每开钻井结束后通过固井作业封隔地层与套管之间的环形空间，也可降低污染物进入地层的风险；在钻井过程对泥浆进行实时监测，一旦有漏失发生，立即采取堵漏措施。</w:t>
            </w:r>
          </w:p>
          <w:p w14:paraId="24FFB530">
            <w:pPr>
              <w:spacing w:line="360" w:lineRule="auto"/>
              <w:ind w:firstLine="480" w:firstLineChars="200"/>
              <w:rPr>
                <w:rFonts w:ascii="Times New Roman" w:hAnsi="Times New Roman"/>
                <w:color w:val="auto"/>
                <w:sz w:val="24"/>
              </w:rPr>
            </w:pPr>
            <w:r>
              <w:rPr>
                <w:rFonts w:hint="eastAsia" w:ascii="Times New Roman" w:hAnsi="Times New Roman"/>
                <w:color w:val="auto"/>
                <w:sz w:val="24"/>
              </w:rPr>
              <w:t>钻井工程在井场内实施，井身有套管保护，故井筒不易发生泄露事故。对地下水环境可能造成影响的污染源主要是场地内暂存的钻井工程废水、废泥浆等的渗滤液以及钻井泥浆连续混配过程中的跑、冒、滴、漏，开井返排阶段返排废水收集贮存的跑、冒、滴、漏污染地下水环境。周边村镇均已接通自来水，无分散饮用水井分布。因此，本项目钻井过程对地下水环境的影响较小。</w:t>
            </w:r>
          </w:p>
          <w:p w14:paraId="002DC66B">
            <w:pPr>
              <w:spacing w:line="360" w:lineRule="auto"/>
              <w:ind w:firstLine="480" w:firstLineChars="200"/>
              <w:rPr>
                <w:rFonts w:ascii="Times New Roman" w:hAnsi="Times New Roman"/>
                <w:color w:val="auto"/>
                <w:sz w:val="24"/>
              </w:rPr>
            </w:pPr>
            <w:r>
              <w:rPr>
                <w:rFonts w:ascii="Times New Roman" w:hAnsi="Times New Roman"/>
                <w:color w:val="auto"/>
                <w:sz w:val="24"/>
              </w:rPr>
              <w:t>根据《环境影响评价技术导则</w:t>
            </w:r>
            <w:r>
              <w:rPr>
                <w:rFonts w:hint="eastAsia" w:ascii="Times New Roman" w:hAnsi="Times New Roman"/>
                <w:color w:val="auto"/>
                <w:sz w:val="24"/>
                <w:lang w:val="en-US" w:eastAsia="zh-CN"/>
              </w:rPr>
              <w:t xml:space="preserve"> </w:t>
            </w:r>
            <w:r>
              <w:rPr>
                <w:rFonts w:ascii="Times New Roman" w:hAnsi="Times New Roman"/>
                <w:color w:val="auto"/>
                <w:sz w:val="24"/>
              </w:rPr>
              <w:t>地下水环境》（HJ610-2016），将本项目划分为重点防渗区、一般防渗区以及简单防渗区，具体划分区域如下：</w:t>
            </w:r>
          </w:p>
          <w:p w14:paraId="538A3C07">
            <w:pPr>
              <w:spacing w:line="360" w:lineRule="auto"/>
              <w:ind w:firstLine="480" w:firstLineChars="200"/>
              <w:rPr>
                <w:rFonts w:hint="eastAsia" w:ascii="Times New Roman" w:hAnsi="Times New Roman" w:eastAsia="宋体"/>
                <w:color w:val="auto"/>
                <w:sz w:val="24"/>
                <w:lang w:eastAsia="zh-CN"/>
              </w:rPr>
            </w:pPr>
            <w:r>
              <w:rPr>
                <w:rFonts w:ascii="Times New Roman" w:hAnsi="Times New Roman"/>
                <w:color w:val="auto"/>
                <w:sz w:val="24"/>
              </w:rPr>
              <w:t>重点防渗区：钻</w:t>
            </w:r>
            <w:r>
              <w:rPr>
                <w:rFonts w:hint="eastAsia" w:ascii="Times New Roman" w:hAnsi="Times New Roman"/>
                <w:color w:val="auto"/>
                <w:sz w:val="24"/>
              </w:rPr>
              <w:t>机</w:t>
            </w:r>
            <w:r>
              <w:rPr>
                <w:rFonts w:ascii="Times New Roman" w:hAnsi="Times New Roman"/>
                <w:color w:val="auto"/>
                <w:sz w:val="24"/>
              </w:rPr>
              <w:t>房井口区域、废浆池、沉淀池、干化池。防渗要求</w:t>
            </w:r>
            <w:r>
              <w:rPr>
                <w:rFonts w:hint="eastAsia" w:ascii="Times New Roman" w:hAnsi="Times New Roman"/>
                <w:color w:val="auto"/>
                <w:sz w:val="24"/>
              </w:rPr>
              <w:t>：</w:t>
            </w:r>
            <w:r>
              <w:rPr>
                <w:rFonts w:ascii="Times New Roman" w:hAnsi="Times New Roman"/>
                <w:color w:val="auto"/>
                <w:sz w:val="24"/>
              </w:rPr>
              <w:t>采用“防渗混凝土+防渗布+砂浆层”进行防渗，等效厚度≥6.0m，确保渗透系数不大于10</w:t>
            </w:r>
            <w:r>
              <w:rPr>
                <w:rFonts w:ascii="Times New Roman" w:hAnsi="Times New Roman"/>
                <w:color w:val="auto"/>
                <w:sz w:val="24"/>
                <w:vertAlign w:val="superscript"/>
              </w:rPr>
              <w:t>-</w:t>
            </w:r>
            <w:r>
              <w:rPr>
                <w:rFonts w:hint="eastAsia" w:ascii="Times New Roman" w:hAnsi="Times New Roman"/>
                <w:color w:val="auto"/>
                <w:sz w:val="24"/>
                <w:vertAlign w:val="superscript"/>
              </w:rPr>
              <w:t>7</w:t>
            </w:r>
            <w:r>
              <w:rPr>
                <w:rFonts w:ascii="Times New Roman" w:hAnsi="Times New Roman"/>
                <w:color w:val="auto"/>
                <w:sz w:val="24"/>
              </w:rPr>
              <w:t>cm/s</w:t>
            </w:r>
            <w:r>
              <w:rPr>
                <w:rFonts w:hint="eastAsia" w:ascii="Times New Roman" w:hAnsi="Times New Roman"/>
                <w:color w:val="auto"/>
                <w:sz w:val="24"/>
                <w:lang w:eastAsia="zh-CN"/>
              </w:rPr>
              <w:t>。</w:t>
            </w:r>
          </w:p>
          <w:p w14:paraId="015F2F9E">
            <w:pPr>
              <w:spacing w:line="360" w:lineRule="auto"/>
              <w:ind w:firstLine="480" w:firstLineChars="200"/>
              <w:rPr>
                <w:rFonts w:hint="eastAsia" w:ascii="Times New Roman" w:hAnsi="Times New Roman" w:eastAsia="宋体"/>
                <w:color w:val="auto"/>
                <w:sz w:val="24"/>
                <w:lang w:eastAsia="zh-CN"/>
              </w:rPr>
            </w:pPr>
            <w:r>
              <w:rPr>
                <w:rFonts w:ascii="Times New Roman" w:hAnsi="Times New Roman"/>
                <w:color w:val="auto"/>
                <w:sz w:val="24"/>
              </w:rPr>
              <w:t>一般防渗区：除井口区域以外的钻机房其他区域、</w:t>
            </w:r>
            <w:r>
              <w:rPr>
                <w:rFonts w:hint="eastAsia" w:ascii="Times New Roman" w:hAnsi="Times New Roman"/>
                <w:color w:val="auto"/>
                <w:sz w:val="24"/>
              </w:rPr>
              <w:t>原料库房</w:t>
            </w:r>
            <w:r>
              <w:rPr>
                <w:rFonts w:ascii="Times New Roman" w:hAnsi="Times New Roman"/>
                <w:color w:val="auto"/>
                <w:sz w:val="24"/>
              </w:rPr>
              <w:t>。防渗要求</w:t>
            </w:r>
            <w:r>
              <w:rPr>
                <w:rFonts w:hint="eastAsia" w:ascii="Times New Roman" w:hAnsi="Times New Roman"/>
                <w:color w:val="auto"/>
                <w:sz w:val="24"/>
              </w:rPr>
              <w:t>：</w:t>
            </w:r>
            <w:r>
              <w:rPr>
                <w:rFonts w:ascii="Times New Roman" w:hAnsi="Times New Roman"/>
                <w:color w:val="auto"/>
                <w:sz w:val="24"/>
              </w:rPr>
              <w:t>采取防渗混凝土进行防渗，等效厚度≥1.5m</w:t>
            </w:r>
            <w:r>
              <w:rPr>
                <w:rFonts w:hint="eastAsia" w:ascii="Times New Roman" w:hAnsi="Times New Roman"/>
                <w:color w:val="auto"/>
                <w:sz w:val="24"/>
                <w:lang w:eastAsia="zh-CN"/>
              </w:rPr>
              <w:t>。</w:t>
            </w:r>
          </w:p>
          <w:p w14:paraId="4880D985">
            <w:pPr>
              <w:spacing w:line="360" w:lineRule="auto"/>
              <w:ind w:firstLine="480" w:firstLineChars="200"/>
              <w:rPr>
                <w:rFonts w:hint="eastAsia" w:ascii="Times New Roman" w:hAnsi="Times New Roman"/>
                <w:color w:val="auto"/>
                <w:sz w:val="24"/>
              </w:rPr>
            </w:pPr>
            <w:r>
              <w:rPr>
                <w:rFonts w:ascii="Times New Roman" w:hAnsi="Times New Roman"/>
                <w:color w:val="auto"/>
                <w:sz w:val="24"/>
              </w:rPr>
              <w:t>简单防渗区：除重点防渗区和一般防渗区以外的其他区域。防渗要求</w:t>
            </w:r>
            <w:r>
              <w:rPr>
                <w:rFonts w:hint="eastAsia" w:ascii="Times New Roman" w:hAnsi="Times New Roman"/>
                <w:color w:val="auto"/>
                <w:sz w:val="24"/>
              </w:rPr>
              <w:t>：</w:t>
            </w:r>
            <w:r>
              <w:rPr>
                <w:rFonts w:ascii="Times New Roman" w:hAnsi="Times New Roman"/>
                <w:color w:val="auto"/>
                <w:sz w:val="24"/>
              </w:rPr>
              <w:t>采用一般地面硬化。</w:t>
            </w:r>
          </w:p>
          <w:p w14:paraId="1D7B1449">
            <w:pPr>
              <w:spacing w:line="360" w:lineRule="auto"/>
              <w:jc w:val="center"/>
              <w:rPr>
                <w:rFonts w:ascii="Times New Roman" w:hAnsi="Times New Roman"/>
                <w:b/>
                <w:bCs/>
                <w:color w:val="auto"/>
                <w:szCs w:val="21"/>
              </w:rPr>
            </w:pPr>
            <w:r>
              <w:rPr>
                <w:rFonts w:ascii="Times New Roman" w:hAnsi="宋体"/>
                <w:b/>
                <w:bCs/>
                <w:color w:val="auto"/>
                <w:szCs w:val="21"/>
              </w:rPr>
              <w:t>表</w:t>
            </w:r>
            <w:r>
              <w:rPr>
                <w:rFonts w:ascii="Times New Roman" w:hAnsi="Times New Roman"/>
                <w:b/>
                <w:bCs/>
                <w:color w:val="auto"/>
                <w:szCs w:val="21"/>
              </w:rPr>
              <w:t xml:space="preserve">4-4  </w:t>
            </w:r>
            <w:r>
              <w:rPr>
                <w:rFonts w:ascii="Times New Roman" w:hAnsi="宋体"/>
                <w:b/>
                <w:bCs/>
                <w:color w:val="auto"/>
                <w:szCs w:val="21"/>
              </w:rPr>
              <w:t>本项目分区防渗一览表</w:t>
            </w:r>
          </w:p>
          <w:tbl>
            <w:tblPr>
              <w:tblStyle w:val="17"/>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212"/>
              <w:gridCol w:w="1377"/>
              <w:gridCol w:w="3326"/>
            </w:tblGrid>
            <w:tr w14:paraId="46EB36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029" w:type="pct"/>
                  <w:noWrap w:val="0"/>
                  <w:vAlign w:val="center"/>
                </w:tcPr>
                <w:p w14:paraId="77ADA866">
                  <w:pPr>
                    <w:autoSpaceDE w:val="0"/>
                    <w:autoSpaceDN w:val="0"/>
                    <w:jc w:val="center"/>
                    <w:rPr>
                      <w:rFonts w:ascii="Times New Roman" w:hAnsi="Times New Roman"/>
                      <w:b/>
                      <w:color w:val="auto"/>
                      <w:szCs w:val="21"/>
                    </w:rPr>
                  </w:pPr>
                  <w:r>
                    <w:rPr>
                      <w:rFonts w:ascii="Times New Roman" w:hAnsi="宋体"/>
                      <w:b/>
                      <w:color w:val="auto"/>
                      <w:szCs w:val="21"/>
                    </w:rPr>
                    <w:t>区域</w:t>
                  </w:r>
                </w:p>
              </w:tc>
              <w:tc>
                <w:tcPr>
                  <w:tcW w:w="870" w:type="pct"/>
                  <w:noWrap w:val="0"/>
                  <w:vAlign w:val="center"/>
                </w:tcPr>
                <w:p w14:paraId="336E3EC1">
                  <w:pPr>
                    <w:autoSpaceDE w:val="0"/>
                    <w:autoSpaceDN w:val="0"/>
                    <w:jc w:val="center"/>
                    <w:rPr>
                      <w:rFonts w:ascii="Times New Roman" w:hAnsi="Times New Roman"/>
                      <w:b/>
                      <w:color w:val="auto"/>
                      <w:szCs w:val="21"/>
                    </w:rPr>
                  </w:pPr>
                  <w:r>
                    <w:rPr>
                      <w:rFonts w:ascii="Times New Roman" w:hAnsi="宋体"/>
                      <w:b/>
                      <w:color w:val="auto"/>
                      <w:szCs w:val="21"/>
                    </w:rPr>
                    <w:t>防渗等级</w:t>
                  </w:r>
                </w:p>
              </w:tc>
              <w:tc>
                <w:tcPr>
                  <w:tcW w:w="2101" w:type="pct"/>
                  <w:noWrap w:val="0"/>
                  <w:vAlign w:val="center"/>
                </w:tcPr>
                <w:p w14:paraId="358431B0">
                  <w:pPr>
                    <w:autoSpaceDE w:val="0"/>
                    <w:autoSpaceDN w:val="0"/>
                    <w:jc w:val="center"/>
                    <w:rPr>
                      <w:rFonts w:ascii="Times New Roman" w:hAnsi="Times New Roman"/>
                      <w:b/>
                      <w:color w:val="auto"/>
                      <w:szCs w:val="21"/>
                    </w:rPr>
                  </w:pPr>
                  <w:r>
                    <w:rPr>
                      <w:rFonts w:ascii="Times New Roman" w:hAnsi="宋体"/>
                      <w:b/>
                      <w:color w:val="auto"/>
                      <w:szCs w:val="21"/>
                    </w:rPr>
                    <w:t>防渗技术要求</w:t>
                  </w:r>
                </w:p>
              </w:tc>
            </w:tr>
            <w:tr w14:paraId="1E5269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029" w:type="pct"/>
                  <w:noWrap w:val="0"/>
                  <w:vAlign w:val="center"/>
                </w:tcPr>
                <w:p w14:paraId="464ED42B">
                  <w:pPr>
                    <w:autoSpaceDE w:val="0"/>
                    <w:autoSpaceDN w:val="0"/>
                    <w:jc w:val="center"/>
                    <w:rPr>
                      <w:rFonts w:ascii="Times New Roman" w:hAnsi="Times New Roman"/>
                      <w:color w:val="auto"/>
                      <w:szCs w:val="21"/>
                    </w:rPr>
                  </w:pPr>
                  <w:r>
                    <w:rPr>
                      <w:rFonts w:ascii="Times New Roman" w:hAnsi="Times New Roman"/>
                      <w:color w:val="auto"/>
                      <w:szCs w:val="21"/>
                    </w:rPr>
                    <w:t>钻</w:t>
                  </w:r>
                  <w:r>
                    <w:rPr>
                      <w:rFonts w:hint="eastAsia" w:ascii="Times New Roman" w:hAnsi="Times New Roman"/>
                      <w:color w:val="auto"/>
                      <w:szCs w:val="21"/>
                    </w:rPr>
                    <w:t>机</w:t>
                  </w:r>
                  <w:r>
                    <w:rPr>
                      <w:rFonts w:ascii="Times New Roman" w:hAnsi="Times New Roman"/>
                      <w:color w:val="auto"/>
                      <w:szCs w:val="21"/>
                    </w:rPr>
                    <w:t>房井口区域、废浆池、沉淀池、干化池</w:t>
                  </w:r>
                </w:p>
              </w:tc>
              <w:tc>
                <w:tcPr>
                  <w:tcW w:w="870" w:type="pct"/>
                  <w:noWrap w:val="0"/>
                  <w:vAlign w:val="center"/>
                </w:tcPr>
                <w:p w14:paraId="7D363864">
                  <w:pPr>
                    <w:autoSpaceDE w:val="0"/>
                    <w:autoSpaceDN w:val="0"/>
                    <w:jc w:val="center"/>
                    <w:rPr>
                      <w:rFonts w:ascii="Times New Roman" w:hAnsi="Times New Roman"/>
                      <w:color w:val="auto"/>
                      <w:szCs w:val="21"/>
                    </w:rPr>
                  </w:pPr>
                  <w:r>
                    <w:rPr>
                      <w:rFonts w:ascii="Times New Roman" w:hAnsi="宋体"/>
                      <w:color w:val="auto"/>
                      <w:szCs w:val="21"/>
                    </w:rPr>
                    <w:t>重点防渗区</w:t>
                  </w:r>
                </w:p>
              </w:tc>
              <w:tc>
                <w:tcPr>
                  <w:tcW w:w="2101" w:type="pct"/>
                  <w:noWrap w:val="0"/>
                  <w:vAlign w:val="center"/>
                </w:tcPr>
                <w:p w14:paraId="0F6555B2">
                  <w:pPr>
                    <w:autoSpaceDE w:val="0"/>
                    <w:autoSpaceDN w:val="0"/>
                    <w:jc w:val="center"/>
                    <w:rPr>
                      <w:rFonts w:ascii="Times New Roman" w:hAnsi="Times New Roman"/>
                      <w:color w:val="auto"/>
                      <w:szCs w:val="21"/>
                    </w:rPr>
                  </w:pPr>
                  <w:r>
                    <w:rPr>
                      <w:rFonts w:ascii="Times New Roman" w:hAnsi="Times New Roman"/>
                      <w:color w:val="auto"/>
                      <w:szCs w:val="21"/>
                    </w:rPr>
                    <w:t>采用“防渗混凝土+防渗布+砂浆层”进行防渗，等效厚度≥6.0m，确保渗透系数不大于10</w:t>
                  </w:r>
                  <w:r>
                    <w:rPr>
                      <w:rFonts w:ascii="Times New Roman" w:hAnsi="Times New Roman"/>
                      <w:color w:val="auto"/>
                      <w:szCs w:val="21"/>
                      <w:vertAlign w:val="superscript"/>
                    </w:rPr>
                    <w:t>-</w:t>
                  </w:r>
                  <w:r>
                    <w:rPr>
                      <w:rFonts w:hint="eastAsia" w:ascii="Times New Roman" w:hAnsi="Times New Roman"/>
                      <w:color w:val="auto"/>
                      <w:szCs w:val="21"/>
                      <w:vertAlign w:val="superscript"/>
                    </w:rPr>
                    <w:t>7</w:t>
                  </w:r>
                  <w:r>
                    <w:rPr>
                      <w:rFonts w:ascii="Times New Roman" w:hAnsi="Times New Roman"/>
                      <w:color w:val="auto"/>
                      <w:szCs w:val="21"/>
                    </w:rPr>
                    <w:t>cm/s</w:t>
                  </w:r>
                </w:p>
              </w:tc>
            </w:tr>
            <w:tr w14:paraId="14E325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029" w:type="pct"/>
                  <w:noWrap w:val="0"/>
                  <w:vAlign w:val="center"/>
                </w:tcPr>
                <w:p w14:paraId="41258056">
                  <w:pPr>
                    <w:autoSpaceDE w:val="0"/>
                    <w:autoSpaceDN w:val="0"/>
                    <w:jc w:val="center"/>
                    <w:rPr>
                      <w:rFonts w:ascii="Times New Roman" w:hAnsi="Times New Roman"/>
                      <w:color w:val="auto"/>
                      <w:szCs w:val="21"/>
                    </w:rPr>
                  </w:pPr>
                  <w:r>
                    <w:rPr>
                      <w:rFonts w:ascii="Times New Roman" w:hAnsi="Times New Roman"/>
                      <w:color w:val="auto"/>
                      <w:szCs w:val="21"/>
                    </w:rPr>
                    <w:t>除井口区域以外的钻机房其他区域、</w:t>
                  </w:r>
                  <w:r>
                    <w:rPr>
                      <w:rFonts w:hint="eastAsia" w:ascii="Times New Roman" w:hAnsi="Times New Roman"/>
                      <w:color w:val="auto"/>
                      <w:szCs w:val="21"/>
                    </w:rPr>
                    <w:t>原料库房</w:t>
                  </w:r>
                </w:p>
              </w:tc>
              <w:tc>
                <w:tcPr>
                  <w:tcW w:w="870" w:type="pct"/>
                  <w:noWrap w:val="0"/>
                  <w:vAlign w:val="center"/>
                </w:tcPr>
                <w:p w14:paraId="32DF14F7">
                  <w:pPr>
                    <w:autoSpaceDE w:val="0"/>
                    <w:autoSpaceDN w:val="0"/>
                    <w:jc w:val="center"/>
                    <w:rPr>
                      <w:rFonts w:ascii="Times New Roman" w:hAnsi="Times New Roman"/>
                      <w:color w:val="auto"/>
                      <w:szCs w:val="21"/>
                    </w:rPr>
                  </w:pPr>
                  <w:r>
                    <w:rPr>
                      <w:rFonts w:ascii="Times New Roman" w:hAnsi="宋体"/>
                      <w:color w:val="auto"/>
                      <w:szCs w:val="21"/>
                    </w:rPr>
                    <w:t>一般防渗区</w:t>
                  </w:r>
                </w:p>
              </w:tc>
              <w:tc>
                <w:tcPr>
                  <w:tcW w:w="2101" w:type="pct"/>
                  <w:noWrap w:val="0"/>
                  <w:vAlign w:val="center"/>
                </w:tcPr>
                <w:p w14:paraId="65756D34">
                  <w:pPr>
                    <w:autoSpaceDE w:val="0"/>
                    <w:autoSpaceDN w:val="0"/>
                    <w:jc w:val="center"/>
                    <w:rPr>
                      <w:rFonts w:ascii="Times New Roman" w:hAnsi="Times New Roman"/>
                      <w:color w:val="auto"/>
                      <w:szCs w:val="21"/>
                    </w:rPr>
                  </w:pPr>
                  <w:r>
                    <w:rPr>
                      <w:rFonts w:ascii="Times New Roman" w:hAnsi="Times New Roman"/>
                      <w:color w:val="auto"/>
                      <w:szCs w:val="21"/>
                    </w:rPr>
                    <w:t>采取防渗混凝土进行防渗，等效厚度≥1.5m</w:t>
                  </w:r>
                </w:p>
              </w:tc>
            </w:tr>
            <w:tr w14:paraId="5172C2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029" w:type="pct"/>
                  <w:noWrap w:val="0"/>
                  <w:vAlign w:val="center"/>
                </w:tcPr>
                <w:p w14:paraId="5C6EA6BD">
                  <w:pPr>
                    <w:autoSpaceDE w:val="0"/>
                    <w:autoSpaceDN w:val="0"/>
                    <w:jc w:val="center"/>
                    <w:rPr>
                      <w:rFonts w:ascii="Times New Roman" w:hAnsi="Times New Roman"/>
                      <w:color w:val="auto"/>
                      <w:szCs w:val="21"/>
                    </w:rPr>
                  </w:pPr>
                  <w:r>
                    <w:rPr>
                      <w:rFonts w:ascii="Times New Roman" w:hAnsi="Times New Roman"/>
                      <w:color w:val="auto"/>
                      <w:szCs w:val="21"/>
                    </w:rPr>
                    <w:t>除重点防渗区和一般防渗区以外的其他区域</w:t>
                  </w:r>
                </w:p>
              </w:tc>
              <w:tc>
                <w:tcPr>
                  <w:tcW w:w="870" w:type="pct"/>
                  <w:noWrap w:val="0"/>
                  <w:vAlign w:val="center"/>
                </w:tcPr>
                <w:p w14:paraId="0B628078">
                  <w:pPr>
                    <w:autoSpaceDE w:val="0"/>
                    <w:autoSpaceDN w:val="0"/>
                    <w:jc w:val="center"/>
                    <w:rPr>
                      <w:rFonts w:ascii="Times New Roman" w:hAnsi="Times New Roman"/>
                      <w:color w:val="auto"/>
                      <w:szCs w:val="21"/>
                    </w:rPr>
                  </w:pPr>
                  <w:r>
                    <w:rPr>
                      <w:rFonts w:ascii="Times New Roman" w:hAnsi="宋体"/>
                      <w:color w:val="auto"/>
                      <w:szCs w:val="21"/>
                    </w:rPr>
                    <w:t>简单防渗区</w:t>
                  </w:r>
                </w:p>
              </w:tc>
              <w:tc>
                <w:tcPr>
                  <w:tcW w:w="2101" w:type="pct"/>
                  <w:noWrap w:val="0"/>
                  <w:vAlign w:val="center"/>
                </w:tcPr>
                <w:p w14:paraId="403D3865">
                  <w:pPr>
                    <w:autoSpaceDE w:val="0"/>
                    <w:autoSpaceDN w:val="0"/>
                    <w:jc w:val="center"/>
                    <w:rPr>
                      <w:rFonts w:ascii="Times New Roman" w:hAnsi="Times New Roman"/>
                      <w:color w:val="auto"/>
                      <w:szCs w:val="21"/>
                    </w:rPr>
                  </w:pPr>
                  <w:r>
                    <w:rPr>
                      <w:rFonts w:ascii="Times New Roman" w:hAnsi="宋体"/>
                      <w:color w:val="auto"/>
                      <w:szCs w:val="21"/>
                    </w:rPr>
                    <w:t>一般地面硬化</w:t>
                  </w:r>
                </w:p>
              </w:tc>
            </w:tr>
          </w:tbl>
          <w:p w14:paraId="5EA4AC8A">
            <w:pPr>
              <w:pStyle w:val="5"/>
              <w:spacing w:line="360" w:lineRule="auto"/>
              <w:ind w:firstLine="482"/>
              <w:rPr>
                <w:rFonts w:ascii="Times New Roman" w:hAnsi="Times New Roman"/>
                <w:b/>
                <w:bCs/>
                <w:color w:val="auto"/>
                <w:sz w:val="24"/>
                <w:lang w:val="en-US" w:eastAsia="zh-CN"/>
              </w:rPr>
            </w:pPr>
            <w:r>
              <w:rPr>
                <w:rFonts w:ascii="Times New Roman" w:hAnsi="Times New Roman"/>
                <w:b/>
                <w:bCs/>
                <w:color w:val="auto"/>
                <w:sz w:val="24"/>
                <w:lang w:val="en-US" w:eastAsia="zh-CN"/>
              </w:rPr>
              <w:t>7、水土流失影响分析</w:t>
            </w:r>
          </w:p>
          <w:p w14:paraId="71924FBA">
            <w:pPr>
              <w:pStyle w:val="7"/>
              <w:spacing w:line="360" w:lineRule="auto"/>
              <w:ind w:firstLine="480" w:firstLineChars="200"/>
              <w:jc w:val="both"/>
              <w:rPr>
                <w:color w:val="auto"/>
                <w:szCs w:val="24"/>
                <w:lang w:val="en-US" w:eastAsia="zh-CN"/>
              </w:rPr>
            </w:pPr>
            <w:r>
              <w:rPr>
                <w:color w:val="auto"/>
                <w:szCs w:val="24"/>
                <w:lang w:val="en-US" w:eastAsia="zh-CN"/>
              </w:rPr>
              <w:t>（1）水土流失</w:t>
            </w:r>
          </w:p>
          <w:p w14:paraId="6B195955">
            <w:pPr>
              <w:pStyle w:val="7"/>
              <w:spacing w:line="360" w:lineRule="auto"/>
              <w:ind w:firstLine="480" w:firstLineChars="200"/>
              <w:jc w:val="both"/>
              <w:rPr>
                <w:color w:val="auto"/>
                <w:szCs w:val="24"/>
                <w:lang w:val="en-US" w:eastAsia="zh-CN"/>
              </w:rPr>
            </w:pPr>
            <w:r>
              <w:rPr>
                <w:color w:val="auto"/>
                <w:szCs w:val="24"/>
                <w:lang w:val="en-US" w:eastAsia="zh-CN"/>
              </w:rPr>
              <w:t>施工期间，土石方的搬运工程量较大，可能造成的水土流失量也较大。因此，工程施工期是本工程水土流失最严重的时期，也是本工程水土流失的防治重点。而在工程运行期间，只要处理好弃土场</w:t>
            </w:r>
            <w:r>
              <w:rPr>
                <w:rFonts w:hint="eastAsia"/>
                <w:color w:val="auto"/>
                <w:szCs w:val="24"/>
                <w:lang w:val="en-US" w:eastAsia="zh-CN"/>
              </w:rPr>
              <w:t>，</w:t>
            </w:r>
            <w:r>
              <w:rPr>
                <w:color w:val="auto"/>
                <w:szCs w:val="24"/>
                <w:lang w:val="en-US" w:eastAsia="zh-CN"/>
              </w:rPr>
              <w:t>各项水土保持措施充分发挥作用，就不会产生大的水土流失。</w:t>
            </w:r>
          </w:p>
          <w:p w14:paraId="0B283C0A">
            <w:pPr>
              <w:pStyle w:val="7"/>
              <w:spacing w:line="360" w:lineRule="auto"/>
              <w:ind w:firstLine="480" w:firstLineChars="200"/>
              <w:jc w:val="both"/>
              <w:rPr>
                <w:color w:val="auto"/>
                <w:szCs w:val="24"/>
                <w:lang w:val="en-US" w:eastAsia="zh-CN"/>
              </w:rPr>
            </w:pPr>
            <w:r>
              <w:rPr>
                <w:color w:val="auto"/>
                <w:szCs w:val="24"/>
                <w:lang w:val="en-US" w:eastAsia="zh-CN"/>
              </w:rPr>
              <w:t>①施工中开挖土方及时去清运，并按要求碾压密实以缩短堆置时间，如不能马上进行回填的，需堆置在堤防建设范围或堤防管理带范围内，以缩短土方的二次搬运距离，并做好临时防护措施和排水措施，使施工期间的水土流失降低到最低限度。</w:t>
            </w:r>
          </w:p>
          <w:p w14:paraId="4FD2CECE">
            <w:pPr>
              <w:pStyle w:val="7"/>
              <w:spacing w:line="360" w:lineRule="auto"/>
              <w:ind w:firstLine="480" w:firstLineChars="200"/>
              <w:jc w:val="both"/>
              <w:rPr>
                <w:color w:val="auto"/>
                <w:szCs w:val="24"/>
                <w:lang w:val="en-US" w:eastAsia="zh-CN"/>
              </w:rPr>
            </w:pPr>
            <w:r>
              <w:rPr>
                <w:color w:val="auto"/>
                <w:szCs w:val="24"/>
                <w:lang w:val="en-US" w:eastAsia="zh-CN"/>
              </w:rPr>
              <w:t>②本工程开挖土方直接用于堤身回填，边开挖边回填。雨季施工时，雨水的冲刷，容易产生水土流失。</w:t>
            </w:r>
          </w:p>
          <w:p w14:paraId="697D47A2">
            <w:pPr>
              <w:pStyle w:val="7"/>
              <w:spacing w:line="360" w:lineRule="auto"/>
              <w:ind w:firstLine="480" w:firstLineChars="200"/>
              <w:jc w:val="both"/>
              <w:rPr>
                <w:color w:val="auto"/>
                <w:szCs w:val="24"/>
                <w:lang w:val="en-US" w:eastAsia="zh-CN"/>
              </w:rPr>
            </w:pPr>
            <w:r>
              <w:rPr>
                <w:color w:val="auto"/>
                <w:szCs w:val="24"/>
                <w:lang w:val="en-US" w:eastAsia="zh-CN"/>
              </w:rPr>
              <w:t>③施工设计：为减少水土流失，保护土壤、植被，美化环境，防止水土流失，须进行必要的绿化。主体工程结束后，堤防斜坡植草，以达到固士、保水的目的，防止水土流失。</w:t>
            </w:r>
          </w:p>
          <w:p w14:paraId="43BB2317">
            <w:pPr>
              <w:pStyle w:val="7"/>
              <w:adjustRightInd w:val="0"/>
              <w:snapToGrid w:val="0"/>
              <w:spacing w:line="360" w:lineRule="auto"/>
              <w:ind w:firstLine="480" w:firstLineChars="200"/>
              <w:jc w:val="both"/>
              <w:rPr>
                <w:color w:val="auto"/>
                <w:szCs w:val="24"/>
                <w:lang w:val="en-US" w:eastAsia="zh-CN"/>
              </w:rPr>
            </w:pPr>
            <w:r>
              <w:rPr>
                <w:color w:val="auto"/>
                <w:szCs w:val="24"/>
                <w:lang w:val="en-US" w:eastAsia="zh-CN"/>
              </w:rPr>
              <w:t>（2）弃土场防治区</w:t>
            </w:r>
          </w:p>
          <w:p w14:paraId="3DE45104">
            <w:pPr>
              <w:spacing w:line="360" w:lineRule="auto"/>
              <w:ind w:firstLine="480"/>
              <w:rPr>
                <w:rFonts w:hint="eastAsia" w:ascii="Times New Roman" w:hAnsi="Times New Roman" w:eastAsia="宋体"/>
                <w:color w:val="auto"/>
                <w:lang w:eastAsia="zh-CN"/>
              </w:rPr>
            </w:pPr>
            <w:r>
              <w:rPr>
                <w:rFonts w:ascii="Times New Roman" w:hAnsi="宋体"/>
                <w:bCs/>
                <w:color w:val="auto"/>
                <w:sz w:val="24"/>
              </w:rPr>
              <w:t>根据本项目在实施前办理项目临时用地批复时已编制了《临时用地复垦方案》</w:t>
            </w:r>
            <w:r>
              <w:rPr>
                <w:rFonts w:ascii="Times New Roman" w:hAnsi="宋体"/>
                <w:bCs/>
                <w:color w:val="auto"/>
                <w:sz w:val="24"/>
                <w:lang w:bidi="ar"/>
              </w:rPr>
              <w:t>，项目区域</w:t>
            </w:r>
            <w:r>
              <w:rPr>
                <w:rStyle w:val="36"/>
                <w:rFonts w:hint="default" w:ascii="Times New Roman" w:hAnsi="宋体" w:eastAsia="宋体"/>
                <w:color w:val="auto"/>
              </w:rPr>
              <w:t>表土剥离时应选择土质较好，适合农作物生长的土地，此次对项目区内的耕地表土进行</w:t>
            </w:r>
            <w:r>
              <w:rPr>
                <w:rStyle w:val="36"/>
                <w:rFonts w:hint="default" w:ascii="Times New Roman" w:hAnsi="Times New Roman" w:eastAsia="宋体"/>
                <w:color w:val="auto"/>
              </w:rPr>
              <w:t>30cm</w:t>
            </w:r>
            <w:r>
              <w:rPr>
                <w:rStyle w:val="36"/>
                <w:rFonts w:hint="default" w:ascii="Times New Roman" w:hAnsi="宋体" w:eastAsia="宋体"/>
                <w:color w:val="auto"/>
              </w:rPr>
              <w:t>厚剥离。</w:t>
            </w:r>
            <w:r>
              <w:rPr>
                <w:rFonts w:hint="eastAsia" w:ascii="Times New Roman" w:hAnsi="宋体"/>
                <w:color w:val="auto"/>
                <w:sz w:val="24"/>
              </w:rPr>
              <w:t>项目区共13个地块，总面积20784</w:t>
            </w:r>
            <w:r>
              <w:rPr>
                <w:rFonts w:ascii="Times New Roman" w:hAnsi="Times New Roman"/>
                <w:bCs/>
                <w:color w:val="auto"/>
                <w:sz w:val="24"/>
              </w:rPr>
              <w:t>m</w:t>
            </w:r>
            <w:r>
              <w:rPr>
                <w:rFonts w:ascii="Times New Roman" w:hAnsi="Times New Roman"/>
                <w:bCs/>
                <w:color w:val="auto"/>
                <w:sz w:val="24"/>
                <w:vertAlign w:val="superscript"/>
              </w:rPr>
              <w:t>2</w:t>
            </w:r>
            <w:r>
              <w:rPr>
                <w:rFonts w:hint="eastAsia" w:ascii="Times New Roman" w:hAnsi="宋体"/>
                <w:color w:val="auto"/>
                <w:sz w:val="24"/>
              </w:rPr>
              <w:t>，耕地总面积20707</w:t>
            </w:r>
            <w:r>
              <w:rPr>
                <w:rFonts w:ascii="Times New Roman" w:hAnsi="Times New Roman"/>
                <w:bCs/>
                <w:color w:val="auto"/>
                <w:sz w:val="24"/>
              </w:rPr>
              <w:t>m</w:t>
            </w:r>
            <w:r>
              <w:rPr>
                <w:rFonts w:ascii="Times New Roman" w:hAnsi="Times New Roman"/>
                <w:bCs/>
                <w:color w:val="auto"/>
                <w:sz w:val="24"/>
                <w:vertAlign w:val="superscript"/>
              </w:rPr>
              <w:t>2</w:t>
            </w:r>
            <w:r>
              <w:rPr>
                <w:rFonts w:hint="eastAsia" w:ascii="Times New Roman" w:hAnsi="宋体"/>
                <w:color w:val="auto"/>
                <w:sz w:val="24"/>
              </w:rPr>
              <w:t>，表土剥离堆放场总底面积2484</w:t>
            </w:r>
            <w:r>
              <w:rPr>
                <w:rFonts w:ascii="Times New Roman" w:hAnsi="Times New Roman"/>
                <w:bCs/>
                <w:color w:val="auto"/>
                <w:sz w:val="24"/>
              </w:rPr>
              <w:t>m</w:t>
            </w:r>
            <w:r>
              <w:rPr>
                <w:rFonts w:ascii="Times New Roman" w:hAnsi="Times New Roman"/>
                <w:bCs/>
                <w:color w:val="auto"/>
                <w:sz w:val="24"/>
                <w:vertAlign w:val="superscript"/>
              </w:rPr>
              <w:t>2</w:t>
            </w:r>
            <w:r>
              <w:rPr>
                <w:rFonts w:hint="eastAsia" w:ascii="Times New Roman" w:hAnsi="宋体"/>
                <w:color w:val="auto"/>
                <w:sz w:val="24"/>
              </w:rPr>
              <w:t>，占总面积11.95%。表土剥离总面积18223</w:t>
            </w:r>
            <w:r>
              <w:rPr>
                <w:rFonts w:ascii="Times New Roman" w:hAnsi="Times New Roman"/>
                <w:bCs/>
                <w:color w:val="auto"/>
                <w:sz w:val="24"/>
              </w:rPr>
              <w:t>m</w:t>
            </w:r>
            <w:r>
              <w:rPr>
                <w:rFonts w:ascii="Times New Roman" w:hAnsi="Times New Roman"/>
                <w:bCs/>
                <w:color w:val="auto"/>
                <w:sz w:val="24"/>
                <w:vertAlign w:val="superscript"/>
              </w:rPr>
              <w:t>2</w:t>
            </w:r>
            <w:r>
              <w:rPr>
                <w:rFonts w:hint="eastAsia" w:ascii="Times New Roman" w:hAnsi="宋体"/>
                <w:color w:val="auto"/>
                <w:sz w:val="24"/>
              </w:rPr>
              <w:t>（</w:t>
            </w:r>
            <w:r>
              <w:rPr>
                <w:rFonts w:hint="eastAsia" w:ascii="Times New Roman" w:hAnsi="宋体"/>
                <w:color w:val="auto"/>
                <w:sz w:val="24"/>
                <w:lang w:val="en-US" w:eastAsia="zh-CN"/>
              </w:rPr>
              <w:t>20707-2484）</w:t>
            </w:r>
            <w:r>
              <w:rPr>
                <w:rFonts w:hint="eastAsia" w:ascii="Times New Roman" w:hAnsi="宋体"/>
                <w:color w:val="auto"/>
                <w:sz w:val="24"/>
              </w:rPr>
              <w:t>*0.3m=5467m</w:t>
            </w:r>
            <w:r>
              <w:rPr>
                <w:rFonts w:ascii="Times New Roman" w:hAnsi="Times New Roman"/>
                <w:color w:val="auto"/>
                <w:sz w:val="24"/>
                <w:vertAlign w:val="superscript"/>
              </w:rPr>
              <w:t>3</w:t>
            </w:r>
            <w:r>
              <w:rPr>
                <w:rFonts w:ascii="Times New Roman" w:hAnsi="宋体"/>
                <w:color w:val="auto"/>
                <w:sz w:val="24"/>
              </w:rPr>
              <w:t>。</w:t>
            </w:r>
            <w:r>
              <w:rPr>
                <w:rStyle w:val="36"/>
                <w:rFonts w:hint="default" w:ascii="Times New Roman" w:hAnsi="宋体" w:eastAsia="宋体"/>
                <w:color w:val="auto"/>
              </w:rPr>
              <w:t>在复垦后期，为了恢复项目区土壤肥力，需回填具有肥力的表土。本项目将前期剥离的表土进行回填至原区域内，回填对象为项目区内耕地部分，回填面积为</w:t>
            </w:r>
            <w:r>
              <w:rPr>
                <w:rFonts w:hint="eastAsia" w:ascii="Times New Roman" w:hAnsi="Times New Roman"/>
                <w:color w:val="auto"/>
                <w:sz w:val="24"/>
              </w:rPr>
              <w:t>20784</w:t>
            </w:r>
            <w:r>
              <w:rPr>
                <w:rFonts w:ascii="Times New Roman" w:hAnsi="Times New Roman"/>
                <w:bCs/>
                <w:color w:val="auto"/>
                <w:sz w:val="24"/>
              </w:rPr>
              <w:t>m</w:t>
            </w:r>
            <w:r>
              <w:rPr>
                <w:rFonts w:ascii="Times New Roman" w:hAnsi="Times New Roman"/>
                <w:bCs/>
                <w:color w:val="auto"/>
                <w:sz w:val="24"/>
                <w:vertAlign w:val="superscript"/>
              </w:rPr>
              <w:t>2</w:t>
            </w:r>
            <w:r>
              <w:rPr>
                <w:rStyle w:val="36"/>
                <w:rFonts w:hint="default" w:ascii="Times New Roman" w:hAnsi="宋体" w:eastAsia="宋体"/>
                <w:color w:val="auto"/>
              </w:rPr>
              <w:t>，回填厚度为</w:t>
            </w:r>
            <w:r>
              <w:rPr>
                <w:rStyle w:val="36"/>
                <w:rFonts w:hint="default" w:ascii="Times New Roman" w:hAnsi="Times New Roman" w:eastAsia="宋体"/>
                <w:color w:val="auto"/>
              </w:rPr>
              <w:t>0.3m</w:t>
            </w:r>
            <w:r>
              <w:rPr>
                <w:rStyle w:val="36"/>
                <w:rFonts w:hint="default" w:ascii="Times New Roman" w:hAnsi="宋体" w:eastAsia="宋体"/>
                <w:color w:val="auto"/>
              </w:rPr>
              <w:t>，回填土方为</w:t>
            </w:r>
            <w:r>
              <w:rPr>
                <w:rStyle w:val="36"/>
                <w:rFonts w:hint="eastAsia" w:ascii="Times New Roman" w:hAnsi="宋体"/>
                <w:color w:val="auto"/>
                <w:lang w:val="en-US" w:eastAsia="zh-CN"/>
              </w:rPr>
              <w:t>5467</w:t>
            </w:r>
            <w:r>
              <w:rPr>
                <w:rFonts w:ascii="Times New Roman" w:hAnsi="Times New Roman"/>
                <w:color w:val="auto"/>
                <w:sz w:val="24"/>
              </w:rPr>
              <w:t>m</w:t>
            </w:r>
            <w:r>
              <w:rPr>
                <w:rFonts w:ascii="Times New Roman" w:hAnsi="Times New Roman"/>
                <w:color w:val="auto"/>
                <w:sz w:val="24"/>
                <w:vertAlign w:val="superscript"/>
              </w:rPr>
              <w:t>3</w:t>
            </w:r>
            <w:r>
              <w:rPr>
                <w:rStyle w:val="36"/>
                <w:rFonts w:hint="default" w:ascii="Times New Roman" w:hAnsi="宋体" w:eastAsia="宋体"/>
                <w:color w:val="auto"/>
              </w:rPr>
              <w:t>。</w:t>
            </w:r>
          </w:p>
          <w:p w14:paraId="6566CAAC">
            <w:pPr>
              <w:pStyle w:val="23"/>
              <w:jc w:val="both"/>
              <w:rPr>
                <w:rFonts w:hint="eastAsia" w:ascii="Times New Roman" w:hAnsi="Times New Roman" w:eastAsia="宋体"/>
                <w:color w:val="auto"/>
                <w:lang w:eastAsia="zh-CN"/>
              </w:rPr>
            </w:pPr>
            <w:r>
              <w:rPr>
                <w:rFonts w:hint="eastAsia" w:ascii="Times New Roman" w:hAnsi="Times New Roman" w:eastAsia="宋体"/>
                <w:color w:val="auto"/>
                <w:lang w:eastAsia="zh-CN"/>
              </w:rPr>
              <w:drawing>
                <wp:inline distT="0" distB="0" distL="114300" distR="114300">
                  <wp:extent cx="5029835" cy="821055"/>
                  <wp:effectExtent l="0" t="0" r="0" b="0"/>
                  <wp:docPr id="3" name="ECB019B1-382A-4266-B25C-5B523AA43C14-3" descr="C:/Users/Administrator/AppData/Local/Temp/wps.pmdFSl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3" descr="C:/Users/Administrator/AppData/Local/Temp/wps.pmdFSlwps"/>
                          <pic:cNvPicPr>
                            <a:picLocks noChangeAspect="1"/>
                          </pic:cNvPicPr>
                        </pic:nvPicPr>
                        <pic:blipFill>
                          <a:blip r:embed="rId30"/>
                          <a:stretch>
                            <a:fillRect/>
                          </a:stretch>
                        </pic:blipFill>
                        <pic:spPr>
                          <a:xfrm>
                            <a:off x="0" y="0"/>
                            <a:ext cx="5029835" cy="821055"/>
                          </a:xfrm>
                          <a:prstGeom prst="rect">
                            <a:avLst/>
                          </a:prstGeom>
                        </pic:spPr>
                      </pic:pic>
                    </a:graphicData>
                  </a:graphic>
                </wp:inline>
              </w:drawing>
            </w:r>
          </w:p>
          <w:p w14:paraId="64AE9DD3">
            <w:pPr>
              <w:pStyle w:val="23"/>
              <w:adjustRightInd/>
              <w:spacing w:line="360" w:lineRule="auto"/>
              <w:jc w:val="center"/>
              <w:rPr>
                <w:rFonts w:ascii="Times New Roman" w:hAnsi="Times New Roman"/>
                <w:b/>
                <w:color w:val="auto"/>
                <w:sz w:val="21"/>
                <w:szCs w:val="21"/>
              </w:rPr>
            </w:pPr>
            <w:r>
              <w:rPr>
                <w:rFonts w:ascii="Times New Roman" w:hAnsi="Times New Roman"/>
                <w:b/>
                <w:color w:val="auto"/>
                <w:sz w:val="21"/>
                <w:szCs w:val="21"/>
              </w:rPr>
              <w:t>图4-1 项目土石方平衡图</w:t>
            </w:r>
          </w:p>
          <w:p w14:paraId="49FB3FF1">
            <w:pPr>
              <w:pStyle w:val="23"/>
              <w:adjustRightInd/>
              <w:spacing w:line="360" w:lineRule="auto"/>
              <w:jc w:val="center"/>
              <w:rPr>
                <w:rFonts w:ascii="Times New Roman" w:hAnsi="Times New Roman"/>
                <w:b/>
                <w:color w:val="auto"/>
                <w:sz w:val="21"/>
                <w:szCs w:val="21"/>
              </w:rPr>
            </w:pPr>
            <w:r>
              <w:rPr>
                <w:rFonts w:ascii="Times New Roman" w:hAnsi="Times New Roman"/>
                <w:b/>
                <w:color w:val="auto"/>
                <w:sz w:val="21"/>
                <w:szCs w:val="21"/>
              </w:rPr>
              <w:t>表4-</w:t>
            </w:r>
            <w:r>
              <w:rPr>
                <w:rFonts w:hint="eastAsia" w:ascii="Times New Roman" w:hAnsi="Times New Roman"/>
                <w:b/>
                <w:color w:val="auto"/>
                <w:sz w:val="21"/>
                <w:szCs w:val="21"/>
              </w:rPr>
              <w:t>5</w:t>
            </w:r>
            <w:r>
              <w:rPr>
                <w:rFonts w:ascii="Times New Roman" w:hAnsi="Times New Roman"/>
                <w:b/>
                <w:color w:val="auto"/>
                <w:sz w:val="21"/>
                <w:szCs w:val="21"/>
              </w:rPr>
              <w:t xml:space="preserve"> 项目土石方平衡表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0"/>
              <w:gridCol w:w="2640"/>
              <w:gridCol w:w="2640"/>
            </w:tblGrid>
            <w:tr w14:paraId="3000E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633" w:type="dxa"/>
                  <w:noWrap w:val="0"/>
                  <w:vAlign w:val="center"/>
                </w:tcPr>
                <w:p w14:paraId="0602623A">
                  <w:pPr>
                    <w:pStyle w:val="23"/>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挖方（m</w:t>
                  </w:r>
                  <w:r>
                    <w:rPr>
                      <w:rFonts w:hint="eastAsia" w:ascii="Times New Roman" w:hAnsi="Times New Roman" w:eastAsia="宋体" w:cs="宋体"/>
                      <w:color w:val="auto"/>
                      <w:sz w:val="21"/>
                      <w:szCs w:val="21"/>
                      <w:vertAlign w:val="superscript"/>
                    </w:rPr>
                    <w:t>3</w:t>
                  </w:r>
                  <w:r>
                    <w:rPr>
                      <w:rFonts w:hint="eastAsia" w:ascii="Times New Roman" w:hAnsi="Times New Roman" w:eastAsia="宋体" w:cs="宋体"/>
                      <w:color w:val="auto"/>
                      <w:sz w:val="21"/>
                      <w:szCs w:val="21"/>
                    </w:rPr>
                    <w:t>）</w:t>
                  </w:r>
                </w:p>
              </w:tc>
              <w:tc>
                <w:tcPr>
                  <w:tcW w:w="2633" w:type="dxa"/>
                  <w:noWrap w:val="0"/>
                  <w:vAlign w:val="center"/>
                </w:tcPr>
                <w:p w14:paraId="3919BEF1">
                  <w:pPr>
                    <w:pStyle w:val="23"/>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表土堆存（m</w:t>
                  </w:r>
                  <w:r>
                    <w:rPr>
                      <w:rFonts w:hint="eastAsia" w:ascii="Times New Roman" w:hAnsi="Times New Roman" w:eastAsia="宋体" w:cs="宋体"/>
                      <w:color w:val="auto"/>
                      <w:sz w:val="21"/>
                      <w:szCs w:val="21"/>
                      <w:vertAlign w:val="superscript"/>
                    </w:rPr>
                    <w:t>3</w:t>
                  </w:r>
                  <w:r>
                    <w:rPr>
                      <w:rFonts w:hint="eastAsia" w:ascii="Times New Roman" w:hAnsi="Times New Roman" w:eastAsia="宋体" w:cs="宋体"/>
                      <w:color w:val="auto"/>
                      <w:sz w:val="21"/>
                      <w:szCs w:val="21"/>
                    </w:rPr>
                    <w:t>）</w:t>
                  </w:r>
                </w:p>
              </w:tc>
              <w:tc>
                <w:tcPr>
                  <w:tcW w:w="2633" w:type="dxa"/>
                  <w:noWrap w:val="0"/>
                  <w:vAlign w:val="center"/>
                </w:tcPr>
                <w:p w14:paraId="5C924D66">
                  <w:pPr>
                    <w:pStyle w:val="23"/>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表土复垦（m</w:t>
                  </w:r>
                  <w:r>
                    <w:rPr>
                      <w:rFonts w:hint="eastAsia" w:ascii="Times New Roman" w:hAnsi="Times New Roman" w:eastAsia="宋体" w:cs="宋体"/>
                      <w:color w:val="auto"/>
                      <w:sz w:val="21"/>
                      <w:szCs w:val="21"/>
                      <w:vertAlign w:val="superscript"/>
                    </w:rPr>
                    <w:t>3</w:t>
                  </w:r>
                  <w:r>
                    <w:rPr>
                      <w:rFonts w:hint="eastAsia" w:ascii="Times New Roman" w:hAnsi="Times New Roman" w:eastAsia="宋体" w:cs="宋体"/>
                      <w:color w:val="auto"/>
                      <w:sz w:val="21"/>
                      <w:szCs w:val="21"/>
                    </w:rPr>
                    <w:t>）</w:t>
                  </w:r>
                </w:p>
              </w:tc>
            </w:tr>
            <w:tr w14:paraId="22ACB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2633" w:type="dxa"/>
                  <w:noWrap w:val="0"/>
                  <w:vAlign w:val="center"/>
                </w:tcPr>
                <w:p w14:paraId="30B15D6B">
                  <w:pPr>
                    <w:pStyle w:val="23"/>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5467</w:t>
                  </w:r>
                </w:p>
              </w:tc>
              <w:tc>
                <w:tcPr>
                  <w:tcW w:w="2633" w:type="dxa"/>
                  <w:noWrap w:val="0"/>
                  <w:vAlign w:val="center"/>
                </w:tcPr>
                <w:p w14:paraId="6290E660">
                  <w:pPr>
                    <w:pStyle w:val="23"/>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5467</w:t>
                  </w:r>
                </w:p>
              </w:tc>
              <w:tc>
                <w:tcPr>
                  <w:tcW w:w="2633" w:type="dxa"/>
                  <w:noWrap w:val="0"/>
                  <w:vAlign w:val="center"/>
                </w:tcPr>
                <w:p w14:paraId="7F4BFDCA">
                  <w:pPr>
                    <w:pStyle w:val="23"/>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5467</w:t>
                  </w:r>
                </w:p>
              </w:tc>
            </w:tr>
          </w:tbl>
          <w:p w14:paraId="40EB12E3">
            <w:pPr>
              <w:spacing w:line="360" w:lineRule="auto"/>
              <w:ind w:firstLine="482" w:firstLineChars="200"/>
              <w:rPr>
                <w:rFonts w:ascii="Times New Roman" w:hAnsi="Times New Roman"/>
                <w:b/>
                <w:bCs/>
                <w:color w:val="auto"/>
                <w:kern w:val="0"/>
                <w:sz w:val="24"/>
                <w:lang w:bidi="ar"/>
              </w:rPr>
            </w:pPr>
            <w:r>
              <w:rPr>
                <w:rFonts w:ascii="Times New Roman" w:hAnsi="Times New Roman"/>
                <w:b/>
                <w:bCs/>
                <w:color w:val="auto"/>
                <w:kern w:val="0"/>
                <w:sz w:val="24"/>
                <w:lang w:bidi="ar"/>
              </w:rPr>
              <w:t>8、生态环境影响分析</w:t>
            </w:r>
          </w:p>
          <w:p w14:paraId="52A54140">
            <w:pPr>
              <w:spacing w:line="360" w:lineRule="auto"/>
              <w:ind w:firstLine="484" w:firstLineChars="202"/>
              <w:rPr>
                <w:bCs/>
                <w:color w:val="auto"/>
                <w:sz w:val="24"/>
              </w:rPr>
            </w:pPr>
            <w:r>
              <w:rPr>
                <w:rFonts w:ascii="Times New Roman" w:hAnsi="Times New Roman"/>
                <w:bCs/>
                <w:color w:val="auto"/>
                <w:sz w:val="24"/>
              </w:rPr>
              <w:t>（1）</w:t>
            </w:r>
            <w:r>
              <w:rPr>
                <w:bCs/>
                <w:color w:val="auto"/>
                <w:sz w:val="24"/>
              </w:rPr>
              <w:t>项目占地对区域土地利用影响分析</w:t>
            </w:r>
          </w:p>
          <w:p w14:paraId="7F129BC9">
            <w:pPr>
              <w:spacing w:line="360" w:lineRule="auto"/>
              <w:ind w:firstLine="484" w:firstLineChars="202"/>
              <w:rPr>
                <w:rFonts w:ascii="Times New Roman" w:hAnsi="Times New Roman"/>
                <w:color w:val="auto"/>
                <w:sz w:val="24"/>
              </w:rPr>
            </w:pPr>
            <w:r>
              <w:rPr>
                <w:rFonts w:ascii="Times New Roman" w:hAnsi="Times New Roman"/>
                <w:color w:val="auto"/>
                <w:sz w:val="24"/>
              </w:rPr>
              <w:t>本工程全部为临时占地，施工范围用地2</w:t>
            </w:r>
            <w:r>
              <w:rPr>
                <w:rFonts w:hint="eastAsia" w:ascii="Times New Roman" w:hAnsi="Times New Roman"/>
                <w:color w:val="auto"/>
                <w:sz w:val="24"/>
                <w:lang w:val="en-US" w:eastAsia="zh-CN"/>
              </w:rPr>
              <w:t>0784</w:t>
            </w:r>
            <w:r>
              <w:rPr>
                <w:rFonts w:ascii="Times New Roman" w:hAnsi="Times New Roman"/>
                <w:color w:val="auto"/>
                <w:sz w:val="24"/>
              </w:rPr>
              <w:t>m</w:t>
            </w:r>
            <w:r>
              <w:rPr>
                <w:rFonts w:ascii="Times New Roman" w:hAnsi="Times New Roman"/>
                <w:color w:val="auto"/>
                <w:sz w:val="24"/>
                <w:vertAlign w:val="superscript"/>
              </w:rPr>
              <w:t>2</w:t>
            </w:r>
            <w:r>
              <w:rPr>
                <w:rFonts w:ascii="Times New Roman" w:hAnsi="Times New Roman"/>
                <w:color w:val="auto"/>
                <w:sz w:val="24"/>
              </w:rPr>
              <w:t>，用地包括施工区、设备区等，均为临时</w:t>
            </w:r>
            <w:r>
              <w:rPr>
                <w:rFonts w:hint="eastAsia" w:ascii="Times New Roman" w:hAnsi="Times New Roman"/>
                <w:color w:val="auto"/>
                <w:sz w:val="24"/>
              </w:rPr>
              <w:t>用地</w:t>
            </w:r>
            <w:r>
              <w:rPr>
                <w:rFonts w:ascii="Times New Roman" w:hAnsi="Times New Roman"/>
                <w:color w:val="auto"/>
                <w:sz w:val="24"/>
              </w:rPr>
              <w:t>，</w:t>
            </w:r>
            <w:r>
              <w:rPr>
                <w:rFonts w:hint="eastAsia" w:ascii="Times New Roman" w:hAnsi="Times New Roman"/>
                <w:color w:val="auto"/>
                <w:sz w:val="24"/>
              </w:rPr>
              <w:t>临时</w:t>
            </w:r>
            <w:r>
              <w:rPr>
                <w:rFonts w:ascii="Times New Roman" w:hAnsi="Times New Roman"/>
                <w:color w:val="auto"/>
                <w:sz w:val="24"/>
              </w:rPr>
              <w:t>用地时间为</w:t>
            </w:r>
            <w:r>
              <w:rPr>
                <w:rFonts w:hint="eastAsia" w:ascii="Times New Roman" w:hAnsi="Times New Roman"/>
                <w:color w:val="auto"/>
                <w:sz w:val="24"/>
                <w:lang w:val="en-US" w:eastAsia="zh-CN"/>
              </w:rPr>
              <w:t>1</w:t>
            </w:r>
            <w:r>
              <w:rPr>
                <w:rFonts w:ascii="Times New Roman" w:hAnsi="Times New Roman"/>
                <w:color w:val="auto"/>
                <w:sz w:val="24"/>
              </w:rPr>
              <w:t>年。</w:t>
            </w:r>
          </w:p>
          <w:p w14:paraId="2FE624DB">
            <w:pPr>
              <w:spacing w:line="360" w:lineRule="auto"/>
              <w:ind w:firstLine="484" w:firstLineChars="202"/>
              <w:rPr>
                <w:bCs/>
                <w:color w:val="auto"/>
                <w:sz w:val="24"/>
              </w:rPr>
            </w:pPr>
            <w:r>
              <w:rPr>
                <w:rFonts w:ascii="Times New Roman" w:hAnsi="Times New Roman"/>
                <w:bCs/>
                <w:color w:val="auto"/>
                <w:sz w:val="24"/>
              </w:rPr>
              <w:t>本项目的临时占地在占用完毕后都可在较短时间内恢复，区域土地利用格局造成轻微影响，对农业生产的直接影响主要体现为因临时占用农田而造成经济作物减产，对于临时占地造成的农作物减产，除应对耕种农户进行经济补偿外，工程开工前，应先剥离占地范围内表层土，独立堆存并做好水保措施；</w:t>
            </w:r>
            <w:r>
              <w:rPr>
                <w:bCs/>
                <w:color w:val="auto"/>
                <w:sz w:val="24"/>
              </w:rPr>
              <w:t>本项目的临时占地在占用完毕后都可在较短时间内恢复，区域土地利用格局造成轻微影响，在施工结束后，</w:t>
            </w:r>
            <w:r>
              <w:rPr>
                <w:rFonts w:hint="eastAsia"/>
                <w:bCs/>
                <w:color w:val="auto"/>
                <w:sz w:val="24"/>
              </w:rPr>
              <w:t>需要</w:t>
            </w:r>
            <w:r>
              <w:rPr>
                <w:bCs/>
                <w:color w:val="auto"/>
                <w:sz w:val="24"/>
              </w:rPr>
              <w:t>及时恢复原貌。</w:t>
            </w:r>
          </w:p>
          <w:p w14:paraId="6EBA2B55">
            <w:pPr>
              <w:pStyle w:val="23"/>
              <w:adjustRightInd/>
              <w:spacing w:line="360" w:lineRule="auto"/>
              <w:jc w:val="center"/>
              <w:rPr>
                <w:rFonts w:ascii="Times New Roman" w:hAnsi="Times New Roman"/>
                <w:b/>
                <w:color w:val="auto"/>
                <w:sz w:val="21"/>
                <w:szCs w:val="21"/>
              </w:rPr>
            </w:pPr>
            <w:r>
              <w:rPr>
                <w:rFonts w:ascii="Times New Roman" w:hAnsi="Times New Roman"/>
                <w:b/>
                <w:color w:val="auto"/>
                <w:sz w:val="21"/>
                <w:szCs w:val="21"/>
              </w:rPr>
              <w:t>表4-</w:t>
            </w:r>
            <w:r>
              <w:rPr>
                <w:rFonts w:hint="eastAsia" w:ascii="Times New Roman" w:hAnsi="Times New Roman"/>
                <w:b/>
                <w:color w:val="auto"/>
                <w:sz w:val="21"/>
                <w:szCs w:val="21"/>
                <w:lang w:val="en-US" w:eastAsia="zh-CN"/>
              </w:rPr>
              <w:t>6</w:t>
            </w:r>
            <w:r>
              <w:rPr>
                <w:rFonts w:ascii="Times New Roman" w:hAnsi="Times New Roman"/>
                <w:b/>
                <w:color w:val="auto"/>
                <w:sz w:val="21"/>
                <w:szCs w:val="21"/>
              </w:rPr>
              <w:t xml:space="preserve">  项目临时占地类型一览表        单位hm</w:t>
            </w:r>
            <w:r>
              <w:rPr>
                <w:rFonts w:ascii="Times New Roman" w:hAnsi="Times New Roman"/>
                <w:b/>
                <w:color w:val="auto"/>
                <w:sz w:val="21"/>
                <w:szCs w:val="21"/>
                <w:vertAlign w:val="superscript"/>
              </w:rPr>
              <w:t>2</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1"/>
              <w:gridCol w:w="1709"/>
              <w:gridCol w:w="1709"/>
              <w:gridCol w:w="2641"/>
            </w:tblGrid>
            <w:tr w14:paraId="74ADC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pct"/>
                  <w:noWrap w:val="0"/>
                  <w:vAlign w:val="center"/>
                </w:tcPr>
                <w:p w14:paraId="3EF6CBBE">
                  <w:pPr>
                    <w:pStyle w:val="23"/>
                    <w:adjustRightInd/>
                    <w:jc w:val="center"/>
                    <w:rPr>
                      <w:rFonts w:ascii="Times New Roman" w:hAnsi="Times New Roman"/>
                      <w:color w:val="auto"/>
                      <w:sz w:val="21"/>
                      <w:szCs w:val="21"/>
                    </w:rPr>
                  </w:pPr>
                  <w:r>
                    <w:rPr>
                      <w:rFonts w:ascii="Times New Roman"/>
                      <w:color w:val="auto"/>
                      <w:sz w:val="21"/>
                      <w:szCs w:val="21"/>
                    </w:rPr>
                    <w:t>序号</w:t>
                  </w:r>
                </w:p>
              </w:tc>
              <w:tc>
                <w:tcPr>
                  <w:tcW w:w="2157" w:type="pct"/>
                  <w:gridSpan w:val="2"/>
                  <w:noWrap w:val="0"/>
                  <w:vAlign w:val="center"/>
                </w:tcPr>
                <w:p w14:paraId="67B82CB2">
                  <w:pPr>
                    <w:pStyle w:val="23"/>
                    <w:adjustRightInd/>
                    <w:jc w:val="center"/>
                    <w:rPr>
                      <w:rFonts w:ascii="Times New Roman" w:hAnsi="Times New Roman"/>
                      <w:color w:val="auto"/>
                      <w:sz w:val="21"/>
                      <w:szCs w:val="21"/>
                    </w:rPr>
                  </w:pPr>
                  <w:r>
                    <w:rPr>
                      <w:rFonts w:ascii="Times New Roman"/>
                      <w:color w:val="auto"/>
                      <w:sz w:val="21"/>
                      <w:szCs w:val="21"/>
                    </w:rPr>
                    <w:t>用地类型</w:t>
                  </w:r>
                </w:p>
              </w:tc>
              <w:tc>
                <w:tcPr>
                  <w:tcW w:w="1667" w:type="pct"/>
                  <w:noWrap w:val="0"/>
                  <w:vAlign w:val="center"/>
                </w:tcPr>
                <w:p w14:paraId="02E7D587">
                  <w:pPr>
                    <w:pStyle w:val="23"/>
                    <w:adjustRightInd/>
                    <w:jc w:val="center"/>
                    <w:rPr>
                      <w:rFonts w:ascii="Times New Roman" w:hAnsi="Times New Roman"/>
                      <w:color w:val="auto"/>
                      <w:sz w:val="21"/>
                      <w:szCs w:val="21"/>
                    </w:rPr>
                  </w:pPr>
                  <w:r>
                    <w:rPr>
                      <w:rFonts w:ascii="Times New Roman"/>
                      <w:color w:val="auto"/>
                      <w:sz w:val="21"/>
                      <w:szCs w:val="21"/>
                    </w:rPr>
                    <w:t>用地面积</w:t>
                  </w:r>
                </w:p>
              </w:tc>
            </w:tr>
            <w:tr w14:paraId="0BF4F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4" w:type="pct"/>
                  <w:noWrap w:val="0"/>
                  <w:vAlign w:val="center"/>
                </w:tcPr>
                <w:p w14:paraId="2CE6E8D8">
                  <w:pPr>
                    <w:jc w:val="center"/>
                    <w:rPr>
                      <w:rFonts w:ascii="Times New Roman" w:hAnsi="Times New Roman"/>
                      <w:color w:val="auto"/>
                      <w:szCs w:val="21"/>
                    </w:rPr>
                  </w:pPr>
                  <w:r>
                    <w:rPr>
                      <w:rFonts w:ascii="Times New Roman" w:hAnsi="Times New Roman"/>
                      <w:color w:val="auto"/>
                      <w:szCs w:val="21"/>
                    </w:rPr>
                    <w:t>1</w:t>
                  </w:r>
                </w:p>
              </w:tc>
              <w:tc>
                <w:tcPr>
                  <w:tcW w:w="1078" w:type="pct"/>
                  <w:vMerge w:val="restart"/>
                  <w:noWrap w:val="0"/>
                  <w:vAlign w:val="center"/>
                </w:tcPr>
                <w:p w14:paraId="37BB0A97">
                  <w:pPr>
                    <w:pStyle w:val="23"/>
                    <w:adjustRightInd/>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耕地</w:t>
                  </w:r>
                </w:p>
              </w:tc>
              <w:tc>
                <w:tcPr>
                  <w:tcW w:w="1078" w:type="pct"/>
                  <w:shd w:val="clear" w:color="auto" w:fill="auto"/>
                  <w:noWrap w:val="0"/>
                  <w:vAlign w:val="center"/>
                </w:tcPr>
                <w:p w14:paraId="76FBE4E7">
                  <w:pPr>
                    <w:pStyle w:val="23"/>
                    <w:adjustRightInd/>
                    <w:jc w:val="center"/>
                    <w:rPr>
                      <w:rFonts w:hint="eastAsia" w:ascii="Times New Roman" w:hAnsi="Times New Roman" w:eastAsia="宋体" w:cs="Times New Roman"/>
                      <w:color w:val="auto"/>
                      <w:sz w:val="21"/>
                      <w:szCs w:val="21"/>
                      <w:lang w:val="en-US" w:eastAsia="zh-CN" w:bidi="ar-SA"/>
                    </w:rPr>
                  </w:pPr>
                  <w:r>
                    <w:rPr>
                      <w:rFonts w:hint="eastAsia" w:ascii="Times New Roman"/>
                      <w:color w:val="auto"/>
                      <w:sz w:val="21"/>
                      <w:szCs w:val="21"/>
                      <w:lang w:val="en-US" w:eastAsia="zh-CN"/>
                    </w:rPr>
                    <w:t>水田</w:t>
                  </w:r>
                </w:p>
              </w:tc>
              <w:tc>
                <w:tcPr>
                  <w:tcW w:w="1667" w:type="pct"/>
                  <w:shd w:val="clear" w:color="auto" w:fill="auto"/>
                  <w:noWrap w:val="0"/>
                  <w:vAlign w:val="center"/>
                </w:tcPr>
                <w:p w14:paraId="0239BF0E">
                  <w:pPr>
                    <w:pStyle w:val="23"/>
                    <w:adjustRightInd/>
                    <w:jc w:val="center"/>
                    <w:rPr>
                      <w:rFonts w:ascii="Times New Roman" w:hAnsi="Times New Roman" w:eastAsia="宋体" w:cs="Times New Roman"/>
                      <w:b/>
                      <w:bCs/>
                      <w:color w:val="auto"/>
                      <w:sz w:val="21"/>
                      <w:szCs w:val="21"/>
                      <w:lang w:val="en-US" w:eastAsia="zh-CN" w:bidi="ar-SA"/>
                    </w:rPr>
                  </w:pPr>
                  <w:r>
                    <w:rPr>
                      <w:rFonts w:hint="eastAsia" w:ascii="Times New Roman" w:hAnsi="Times New Roman"/>
                      <w:b w:val="0"/>
                      <w:bCs w:val="0"/>
                      <w:color w:val="auto"/>
                      <w:sz w:val="21"/>
                      <w:szCs w:val="21"/>
                    </w:rPr>
                    <w:t>1.9510</w:t>
                  </w:r>
                </w:p>
              </w:tc>
            </w:tr>
            <w:tr w14:paraId="62434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pct"/>
                  <w:noWrap w:val="0"/>
                  <w:vAlign w:val="center"/>
                </w:tcPr>
                <w:p w14:paraId="1AE643EE">
                  <w:pPr>
                    <w:jc w:val="center"/>
                    <w:rPr>
                      <w:rFonts w:ascii="Times New Roman" w:hAnsi="Times New Roman"/>
                      <w:color w:val="auto"/>
                      <w:szCs w:val="21"/>
                    </w:rPr>
                  </w:pPr>
                  <w:r>
                    <w:rPr>
                      <w:rFonts w:ascii="Times New Roman" w:hAnsi="Times New Roman"/>
                      <w:color w:val="auto"/>
                      <w:szCs w:val="21"/>
                    </w:rPr>
                    <w:t>2</w:t>
                  </w:r>
                </w:p>
              </w:tc>
              <w:tc>
                <w:tcPr>
                  <w:tcW w:w="1078" w:type="pct"/>
                  <w:vMerge w:val="continue"/>
                  <w:noWrap w:val="0"/>
                  <w:vAlign w:val="center"/>
                </w:tcPr>
                <w:p w14:paraId="1D8906E9">
                  <w:pPr>
                    <w:pStyle w:val="23"/>
                    <w:adjustRightInd/>
                    <w:jc w:val="center"/>
                    <w:rPr>
                      <w:rFonts w:ascii="Times New Roman" w:hAnsi="Times New Roman"/>
                      <w:color w:val="auto"/>
                      <w:sz w:val="21"/>
                      <w:szCs w:val="21"/>
                    </w:rPr>
                  </w:pPr>
                </w:p>
              </w:tc>
              <w:tc>
                <w:tcPr>
                  <w:tcW w:w="1078" w:type="pct"/>
                  <w:shd w:val="clear" w:color="auto" w:fill="auto"/>
                  <w:noWrap w:val="0"/>
                  <w:vAlign w:val="center"/>
                </w:tcPr>
                <w:p w14:paraId="602ADABA">
                  <w:pPr>
                    <w:pStyle w:val="23"/>
                    <w:adjustRightInd/>
                    <w:jc w:val="center"/>
                    <w:rPr>
                      <w:rFonts w:hint="eastAsia" w:ascii="仿宋" w:hAnsi="仿宋" w:eastAsia="仿宋" w:cs="仿宋"/>
                      <w:color w:val="auto"/>
                      <w:spacing w:val="-6"/>
                      <w:kern w:val="2"/>
                      <w:sz w:val="18"/>
                      <w:szCs w:val="18"/>
                      <w:highlight w:val="none"/>
                      <w:lang w:val="en-US" w:eastAsia="zh-CN" w:bidi="ar-SA"/>
                    </w:rPr>
                  </w:pPr>
                  <w:r>
                    <w:rPr>
                      <w:rFonts w:hint="eastAsia" w:ascii="Times New Roman"/>
                      <w:color w:val="auto"/>
                      <w:sz w:val="21"/>
                      <w:szCs w:val="21"/>
                      <w:lang w:val="en-US" w:eastAsia="zh-CN"/>
                    </w:rPr>
                    <w:t>旱地</w:t>
                  </w:r>
                </w:p>
              </w:tc>
              <w:tc>
                <w:tcPr>
                  <w:tcW w:w="1667" w:type="pct"/>
                  <w:shd w:val="clear" w:color="auto" w:fill="auto"/>
                  <w:noWrap w:val="0"/>
                  <w:vAlign w:val="center"/>
                </w:tcPr>
                <w:p w14:paraId="4C474162">
                  <w:pPr>
                    <w:pStyle w:val="23"/>
                    <w:adjustRightInd/>
                    <w:jc w:val="center"/>
                    <w:rPr>
                      <w:rFonts w:hint="eastAsia" w:ascii="宋体" w:hAnsi="宋体" w:eastAsia="宋体" w:cs="宋体"/>
                      <w:color w:val="auto"/>
                      <w:spacing w:val="-4"/>
                      <w:kern w:val="2"/>
                      <w:sz w:val="18"/>
                      <w:szCs w:val="18"/>
                      <w:highlight w:val="none"/>
                      <w:lang w:val="en-US" w:eastAsia="zh-CN" w:bidi="ar-SA"/>
                    </w:rPr>
                  </w:pPr>
                  <w:r>
                    <w:rPr>
                      <w:rFonts w:hint="eastAsia" w:ascii="Times New Roman" w:hAnsi="Times New Roman"/>
                      <w:color w:val="auto"/>
                      <w:sz w:val="21"/>
                      <w:szCs w:val="21"/>
                    </w:rPr>
                    <w:t>0.1197</w:t>
                  </w:r>
                </w:p>
              </w:tc>
            </w:tr>
            <w:tr w14:paraId="52EF4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pct"/>
                  <w:noWrap w:val="0"/>
                  <w:vAlign w:val="center"/>
                </w:tcPr>
                <w:p w14:paraId="762EC6EB">
                  <w:pPr>
                    <w:jc w:val="center"/>
                    <w:rPr>
                      <w:rFonts w:ascii="Times New Roman" w:hAnsi="Times New Roman"/>
                      <w:color w:val="auto"/>
                      <w:szCs w:val="21"/>
                    </w:rPr>
                  </w:pPr>
                  <w:r>
                    <w:rPr>
                      <w:rFonts w:ascii="Times New Roman" w:hAnsi="Times New Roman"/>
                      <w:color w:val="auto"/>
                      <w:szCs w:val="21"/>
                    </w:rPr>
                    <w:t>3</w:t>
                  </w:r>
                </w:p>
              </w:tc>
              <w:tc>
                <w:tcPr>
                  <w:tcW w:w="1078" w:type="pct"/>
                  <w:noWrap w:val="0"/>
                  <w:vAlign w:val="center"/>
                </w:tcPr>
                <w:p w14:paraId="3C9936DE">
                  <w:pPr>
                    <w:pStyle w:val="23"/>
                    <w:adjustRightInd/>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其他农业地</w:t>
                  </w:r>
                </w:p>
              </w:tc>
              <w:tc>
                <w:tcPr>
                  <w:tcW w:w="1078" w:type="pct"/>
                  <w:shd w:val="clear" w:color="auto" w:fill="auto"/>
                  <w:noWrap w:val="0"/>
                  <w:vAlign w:val="center"/>
                </w:tcPr>
                <w:p w14:paraId="5CDEA687">
                  <w:pPr>
                    <w:pStyle w:val="23"/>
                    <w:adjustRightInd/>
                    <w:jc w:val="center"/>
                    <w:rPr>
                      <w:rFonts w:hint="eastAsia" w:ascii="Times New Roman" w:hAnsi="Times New Roman" w:eastAsia="宋体" w:cs="Times New Roman"/>
                      <w:color w:val="auto"/>
                      <w:sz w:val="21"/>
                      <w:szCs w:val="21"/>
                      <w:lang w:val="en-US" w:eastAsia="zh-CN" w:bidi="ar-SA"/>
                    </w:rPr>
                  </w:pPr>
                  <w:r>
                    <w:rPr>
                      <w:rFonts w:hint="eastAsia" w:ascii="Times New Roman"/>
                      <w:color w:val="auto"/>
                      <w:sz w:val="21"/>
                      <w:szCs w:val="21"/>
                      <w:lang w:val="en-US" w:eastAsia="zh-CN"/>
                    </w:rPr>
                    <w:t>沟渠</w:t>
                  </w:r>
                </w:p>
              </w:tc>
              <w:tc>
                <w:tcPr>
                  <w:tcW w:w="1667" w:type="pct"/>
                  <w:shd w:val="clear" w:color="auto" w:fill="auto"/>
                  <w:noWrap w:val="0"/>
                  <w:vAlign w:val="center"/>
                </w:tcPr>
                <w:p w14:paraId="529FB89C">
                  <w:pPr>
                    <w:pStyle w:val="23"/>
                    <w:adjustRightInd/>
                    <w:jc w:val="center"/>
                    <w:rPr>
                      <w:rFonts w:ascii="Times New Roman" w:hAnsi="Times New Roman" w:eastAsia="宋体" w:cs="Times New Roman"/>
                      <w:color w:val="auto"/>
                      <w:sz w:val="21"/>
                      <w:szCs w:val="21"/>
                      <w:lang w:val="en-US" w:eastAsia="zh-CN" w:bidi="ar-SA"/>
                    </w:rPr>
                  </w:pPr>
                  <w:r>
                    <w:rPr>
                      <w:rFonts w:hint="eastAsia" w:ascii="Times New Roman" w:hAnsi="Times New Roman"/>
                      <w:color w:val="auto"/>
                      <w:sz w:val="21"/>
                      <w:szCs w:val="21"/>
                    </w:rPr>
                    <w:t>0.0077</w:t>
                  </w:r>
                </w:p>
              </w:tc>
            </w:tr>
            <w:tr w14:paraId="7083B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2" w:type="pct"/>
                  <w:gridSpan w:val="3"/>
                  <w:noWrap w:val="0"/>
                  <w:vAlign w:val="center"/>
                </w:tcPr>
                <w:p w14:paraId="4B5C2ABF">
                  <w:pPr>
                    <w:pStyle w:val="23"/>
                    <w:adjustRightInd/>
                    <w:jc w:val="center"/>
                    <w:rPr>
                      <w:rFonts w:ascii="Times New Roman" w:hAnsi="Times New Roman"/>
                      <w:color w:val="auto"/>
                      <w:sz w:val="21"/>
                      <w:szCs w:val="21"/>
                    </w:rPr>
                  </w:pPr>
                  <w:r>
                    <w:rPr>
                      <w:rFonts w:ascii="Times New Roman"/>
                      <w:color w:val="auto"/>
                      <w:sz w:val="21"/>
                      <w:szCs w:val="21"/>
                    </w:rPr>
                    <w:t>合计</w:t>
                  </w:r>
                </w:p>
              </w:tc>
              <w:tc>
                <w:tcPr>
                  <w:tcW w:w="1667" w:type="pct"/>
                  <w:noWrap w:val="0"/>
                  <w:vAlign w:val="center"/>
                </w:tcPr>
                <w:p w14:paraId="2588429B">
                  <w:pPr>
                    <w:pStyle w:val="23"/>
                    <w:adjustRightInd/>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2.0784</w:t>
                  </w:r>
                </w:p>
              </w:tc>
            </w:tr>
          </w:tbl>
          <w:p w14:paraId="1476763B">
            <w:pPr>
              <w:pStyle w:val="23"/>
              <w:rPr>
                <w:rFonts w:hint="eastAsia"/>
                <w:color w:val="auto"/>
              </w:rPr>
            </w:pPr>
          </w:p>
          <w:p w14:paraId="4E1B980E">
            <w:pPr>
              <w:spacing w:line="360" w:lineRule="auto"/>
              <w:ind w:firstLine="484" w:firstLineChars="202"/>
              <w:rPr>
                <w:rFonts w:ascii="Times New Roman" w:hAnsi="Times New Roman"/>
                <w:bCs/>
                <w:color w:val="auto"/>
                <w:sz w:val="24"/>
              </w:rPr>
            </w:pPr>
            <w:r>
              <w:rPr>
                <w:rFonts w:ascii="Times New Roman" w:hAnsi="Times New Roman"/>
                <w:bCs/>
                <w:color w:val="auto"/>
                <w:sz w:val="24"/>
              </w:rPr>
              <w:t>（2）对基本农田影响分析</w:t>
            </w:r>
          </w:p>
          <w:p w14:paraId="55452AA1">
            <w:pPr>
              <w:spacing w:line="360" w:lineRule="auto"/>
              <w:ind w:firstLine="484" w:firstLineChars="202"/>
              <w:rPr>
                <w:rFonts w:ascii="Times New Roman" w:hAnsi="Times New Roman"/>
                <w:bCs/>
                <w:color w:val="auto"/>
                <w:sz w:val="24"/>
              </w:rPr>
            </w:pPr>
            <w:r>
              <w:rPr>
                <w:rFonts w:ascii="Times New Roman" w:hAnsi="Times New Roman"/>
                <w:bCs/>
                <w:color w:val="auto"/>
                <w:sz w:val="24"/>
              </w:rPr>
              <w:t>工程对农田生态系统的影响主要表现在以下方面：</w:t>
            </w:r>
          </w:p>
          <w:p w14:paraId="5D1ECEB2">
            <w:pPr>
              <w:spacing w:line="360" w:lineRule="auto"/>
              <w:ind w:firstLine="484" w:firstLineChars="202"/>
              <w:rPr>
                <w:rFonts w:ascii="Times New Roman" w:hAnsi="Times New Roman"/>
                <w:bCs/>
                <w:color w:val="auto"/>
                <w:sz w:val="24"/>
              </w:rPr>
            </w:pPr>
            <w:r>
              <w:rPr>
                <w:rFonts w:ascii="宋体" w:hAnsi="宋体"/>
                <w:bCs/>
                <w:color w:val="auto"/>
                <w:sz w:val="24"/>
              </w:rPr>
              <w:t>①</w:t>
            </w:r>
            <w:r>
              <w:rPr>
                <w:rFonts w:ascii="Times New Roman" w:hAnsi="宋体"/>
                <w:bCs/>
                <w:color w:val="auto"/>
                <w:sz w:val="24"/>
              </w:rPr>
              <w:t>对植被的影响</w:t>
            </w:r>
          </w:p>
          <w:p w14:paraId="7DEE8E1E">
            <w:pPr>
              <w:spacing w:line="360" w:lineRule="auto"/>
              <w:ind w:firstLine="480" w:firstLineChars="200"/>
              <w:rPr>
                <w:rFonts w:ascii="Times New Roman" w:hAnsi="Times New Roman"/>
                <w:color w:val="auto"/>
                <w:kern w:val="0"/>
                <w:sz w:val="24"/>
              </w:rPr>
            </w:pPr>
            <w:r>
              <w:rPr>
                <w:rFonts w:ascii="Times New Roman" w:hAnsi="Times New Roman"/>
                <w:color w:val="auto"/>
                <w:kern w:val="0"/>
                <w:sz w:val="24"/>
                <w:lang w:bidi="ar"/>
              </w:rPr>
              <w:t>工程施工占地不可避免的对地表产生扰动，进而对地表植物资源产生影响。</w:t>
            </w:r>
            <w:r>
              <w:rPr>
                <w:rFonts w:ascii="Times New Roman" w:hAnsi="Times New Roman"/>
                <w:color w:val="auto"/>
                <w:kern w:val="0"/>
                <w:sz w:val="24"/>
              </w:rPr>
              <w:t>本项目将扰动</w:t>
            </w:r>
            <w:r>
              <w:rPr>
                <w:rFonts w:hint="eastAsia" w:ascii="Times New Roman" w:hAnsi="Times New Roman"/>
                <w:color w:val="auto"/>
                <w:kern w:val="0"/>
                <w:sz w:val="24"/>
              </w:rPr>
              <w:t>农用地</w:t>
            </w:r>
            <w:r>
              <w:rPr>
                <w:rFonts w:hint="eastAsia" w:ascii="Times New Roman" w:hAnsi="Times New Roman"/>
                <w:color w:val="auto"/>
                <w:kern w:val="0"/>
                <w:sz w:val="24"/>
                <w:lang w:val="en-US" w:eastAsia="zh-CN"/>
              </w:rPr>
              <w:t>2.0784</w:t>
            </w:r>
            <w:r>
              <w:rPr>
                <w:rFonts w:ascii="Times New Roman" w:hAnsi="Times New Roman"/>
                <w:color w:val="auto"/>
                <w:kern w:val="0"/>
                <w:szCs w:val="21"/>
              </w:rPr>
              <w:t>ha</w:t>
            </w:r>
            <w:r>
              <w:rPr>
                <w:rFonts w:ascii="Times New Roman" w:hAnsi="Times New Roman"/>
                <w:color w:val="auto"/>
                <w:kern w:val="0"/>
                <w:sz w:val="24"/>
              </w:rPr>
              <w:t>，本项目临时工程占地导致的植物生物量损失按下式计算。具体计算结果见下表。</w:t>
            </w:r>
          </w:p>
          <w:p w14:paraId="56D37E86">
            <w:pPr>
              <w:autoSpaceDE w:val="0"/>
              <w:autoSpaceDN w:val="0"/>
              <w:adjustRightInd w:val="0"/>
              <w:spacing w:line="360" w:lineRule="auto"/>
              <w:jc w:val="center"/>
              <w:rPr>
                <w:rFonts w:ascii="Times New Roman" w:hAnsi="Times New Roman"/>
                <w:color w:val="auto"/>
                <w:kern w:val="0"/>
                <w:sz w:val="24"/>
              </w:rPr>
            </w:pPr>
            <w:r>
              <w:rPr>
                <w:rFonts w:ascii="Times New Roman" w:hAnsi="Times New Roman"/>
                <w:color w:val="auto"/>
                <w:kern w:val="0"/>
                <w:sz w:val="24"/>
              </w:rPr>
              <w:drawing>
                <wp:inline distT="0" distB="0" distL="114300" distR="114300">
                  <wp:extent cx="1266825" cy="351155"/>
                  <wp:effectExtent l="0" t="0" r="9525" b="1079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1"/>
                          <a:stretch>
                            <a:fillRect/>
                          </a:stretch>
                        </pic:blipFill>
                        <pic:spPr>
                          <a:xfrm>
                            <a:off x="0" y="0"/>
                            <a:ext cx="1266825" cy="351155"/>
                          </a:xfrm>
                          <a:prstGeom prst="rect">
                            <a:avLst/>
                          </a:prstGeom>
                          <a:noFill/>
                          <a:ln>
                            <a:noFill/>
                          </a:ln>
                        </pic:spPr>
                      </pic:pic>
                    </a:graphicData>
                  </a:graphic>
                </wp:inline>
              </w:drawing>
            </w:r>
          </w:p>
          <w:p w14:paraId="648404A9">
            <w:pPr>
              <w:autoSpaceDE w:val="0"/>
              <w:autoSpaceDN w:val="0"/>
              <w:adjustRightInd w:val="0"/>
              <w:spacing w:line="360" w:lineRule="auto"/>
              <w:ind w:firstLine="422" w:firstLineChars="200"/>
              <w:jc w:val="center"/>
              <w:rPr>
                <w:rFonts w:ascii="Times New Roman" w:hAnsi="Times New Roman"/>
                <w:b/>
                <w:color w:val="auto"/>
                <w:kern w:val="0"/>
                <w:szCs w:val="21"/>
              </w:rPr>
            </w:pPr>
            <w:r>
              <w:rPr>
                <w:rFonts w:ascii="Times New Roman" w:hAnsi="Times New Roman"/>
                <w:b/>
                <w:color w:val="auto"/>
                <w:kern w:val="0"/>
                <w:szCs w:val="21"/>
              </w:rPr>
              <w:t>表4-</w:t>
            </w:r>
            <w:r>
              <w:rPr>
                <w:rFonts w:hint="eastAsia" w:ascii="Times New Roman" w:hAnsi="Times New Roman"/>
                <w:b/>
                <w:color w:val="auto"/>
                <w:kern w:val="0"/>
                <w:szCs w:val="21"/>
                <w:lang w:val="en-US" w:eastAsia="zh-CN"/>
              </w:rPr>
              <w:t>7</w:t>
            </w:r>
            <w:r>
              <w:rPr>
                <w:rFonts w:ascii="Times New Roman" w:hAnsi="Times New Roman"/>
                <w:b/>
                <w:color w:val="auto"/>
                <w:kern w:val="0"/>
                <w:szCs w:val="21"/>
              </w:rPr>
              <w:t xml:space="preserve"> 工程占地生物量损失表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1359"/>
              <w:gridCol w:w="1605"/>
              <w:gridCol w:w="2124"/>
              <w:gridCol w:w="1635"/>
            </w:tblGrid>
            <w:tr w14:paraId="13E37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7" w:type="dxa"/>
                  <w:noWrap w:val="0"/>
                  <w:vAlign w:val="center"/>
                </w:tcPr>
                <w:p w14:paraId="5F9E9037">
                  <w:pPr>
                    <w:autoSpaceDE w:val="0"/>
                    <w:autoSpaceDN w:val="0"/>
                    <w:adjustRightInd w:val="0"/>
                    <w:jc w:val="center"/>
                    <w:rPr>
                      <w:rFonts w:ascii="Times New Roman" w:hAnsi="Times New Roman"/>
                      <w:color w:val="auto"/>
                      <w:kern w:val="0"/>
                      <w:szCs w:val="21"/>
                    </w:rPr>
                  </w:pPr>
                  <w:r>
                    <w:rPr>
                      <w:rFonts w:ascii="Times New Roman" w:hAnsi="Times New Roman"/>
                      <w:color w:val="auto"/>
                      <w:kern w:val="0"/>
                      <w:szCs w:val="21"/>
                    </w:rPr>
                    <w:t>地区</w:t>
                  </w:r>
                </w:p>
              </w:tc>
              <w:tc>
                <w:tcPr>
                  <w:tcW w:w="1359" w:type="dxa"/>
                  <w:noWrap w:val="0"/>
                  <w:vAlign w:val="center"/>
                </w:tcPr>
                <w:p w14:paraId="0AA7A339">
                  <w:pPr>
                    <w:autoSpaceDE w:val="0"/>
                    <w:autoSpaceDN w:val="0"/>
                    <w:adjustRightInd w:val="0"/>
                    <w:jc w:val="center"/>
                    <w:rPr>
                      <w:rFonts w:ascii="Times New Roman" w:hAnsi="Times New Roman"/>
                      <w:color w:val="auto"/>
                      <w:kern w:val="0"/>
                      <w:szCs w:val="21"/>
                    </w:rPr>
                  </w:pPr>
                  <w:r>
                    <w:rPr>
                      <w:rFonts w:hint="eastAsia" w:ascii="Times New Roman" w:hAnsi="Times New Roman"/>
                      <w:color w:val="auto"/>
                      <w:kern w:val="0"/>
                      <w:szCs w:val="21"/>
                    </w:rPr>
                    <w:t>用地</w:t>
                  </w:r>
                  <w:r>
                    <w:rPr>
                      <w:rFonts w:ascii="Times New Roman" w:hAnsi="Times New Roman"/>
                      <w:color w:val="auto"/>
                      <w:kern w:val="0"/>
                      <w:szCs w:val="21"/>
                    </w:rPr>
                    <w:t>类型</w:t>
                  </w:r>
                </w:p>
              </w:tc>
              <w:tc>
                <w:tcPr>
                  <w:tcW w:w="1605" w:type="dxa"/>
                  <w:noWrap w:val="0"/>
                  <w:vAlign w:val="center"/>
                </w:tcPr>
                <w:p w14:paraId="2C33CE36">
                  <w:pPr>
                    <w:autoSpaceDE w:val="0"/>
                    <w:autoSpaceDN w:val="0"/>
                    <w:adjustRightInd w:val="0"/>
                    <w:jc w:val="center"/>
                    <w:rPr>
                      <w:rFonts w:ascii="Times New Roman" w:hAnsi="Times New Roman"/>
                      <w:color w:val="auto"/>
                      <w:kern w:val="0"/>
                      <w:szCs w:val="21"/>
                    </w:rPr>
                  </w:pPr>
                  <w:r>
                    <w:rPr>
                      <w:rFonts w:ascii="Times New Roman" w:hAnsi="Times New Roman"/>
                      <w:color w:val="auto"/>
                      <w:kern w:val="0"/>
                      <w:szCs w:val="21"/>
                    </w:rPr>
                    <w:t>占地面积（ha）</w:t>
                  </w:r>
                </w:p>
              </w:tc>
              <w:tc>
                <w:tcPr>
                  <w:tcW w:w="2124" w:type="dxa"/>
                  <w:noWrap w:val="0"/>
                  <w:vAlign w:val="center"/>
                </w:tcPr>
                <w:p w14:paraId="2F051A04">
                  <w:pPr>
                    <w:autoSpaceDE w:val="0"/>
                    <w:autoSpaceDN w:val="0"/>
                    <w:adjustRightInd w:val="0"/>
                    <w:jc w:val="center"/>
                    <w:rPr>
                      <w:rFonts w:ascii="Times New Roman" w:hAnsi="Times New Roman"/>
                      <w:color w:val="auto"/>
                      <w:kern w:val="0"/>
                      <w:szCs w:val="21"/>
                    </w:rPr>
                  </w:pPr>
                  <w:r>
                    <w:rPr>
                      <w:rFonts w:ascii="Times New Roman" w:hAnsi="Times New Roman"/>
                      <w:color w:val="auto"/>
                      <w:kern w:val="0"/>
                      <w:szCs w:val="21"/>
                    </w:rPr>
                    <w:t>单位面积生物量（t/ha）</w:t>
                  </w:r>
                </w:p>
              </w:tc>
              <w:tc>
                <w:tcPr>
                  <w:tcW w:w="1635" w:type="dxa"/>
                  <w:noWrap w:val="0"/>
                  <w:vAlign w:val="center"/>
                </w:tcPr>
                <w:p w14:paraId="2493A7D3">
                  <w:pPr>
                    <w:autoSpaceDE w:val="0"/>
                    <w:autoSpaceDN w:val="0"/>
                    <w:adjustRightInd w:val="0"/>
                    <w:jc w:val="center"/>
                    <w:rPr>
                      <w:rFonts w:ascii="Times New Roman" w:hAnsi="Times New Roman"/>
                      <w:color w:val="auto"/>
                      <w:kern w:val="0"/>
                      <w:szCs w:val="21"/>
                    </w:rPr>
                  </w:pPr>
                  <w:r>
                    <w:rPr>
                      <w:rFonts w:ascii="Times New Roman" w:hAnsi="Times New Roman"/>
                      <w:color w:val="auto"/>
                      <w:kern w:val="0"/>
                      <w:szCs w:val="21"/>
                    </w:rPr>
                    <w:t>损失量（t）</w:t>
                  </w:r>
                </w:p>
              </w:tc>
            </w:tr>
            <w:tr w14:paraId="66192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7" w:type="dxa"/>
                  <w:noWrap w:val="0"/>
                  <w:vAlign w:val="center"/>
                </w:tcPr>
                <w:p w14:paraId="023533C6">
                  <w:pPr>
                    <w:autoSpaceDE w:val="0"/>
                    <w:autoSpaceDN w:val="0"/>
                    <w:adjustRightInd w:val="0"/>
                    <w:jc w:val="center"/>
                    <w:rPr>
                      <w:rFonts w:ascii="Times New Roman" w:hAnsi="Times New Roman"/>
                      <w:color w:val="auto"/>
                      <w:kern w:val="0"/>
                      <w:szCs w:val="21"/>
                    </w:rPr>
                  </w:pPr>
                  <w:r>
                    <w:rPr>
                      <w:rFonts w:hint="eastAsia" w:ascii="Times New Roman" w:hAnsi="Times New Roman"/>
                      <w:color w:val="auto"/>
                      <w:kern w:val="0"/>
                      <w:szCs w:val="21"/>
                      <w:lang w:val="en-US" w:eastAsia="zh-CN"/>
                    </w:rPr>
                    <w:t>13</w:t>
                  </w:r>
                  <w:r>
                    <w:rPr>
                      <w:rFonts w:ascii="Times New Roman" w:hAnsi="Times New Roman"/>
                      <w:color w:val="auto"/>
                      <w:kern w:val="0"/>
                      <w:szCs w:val="21"/>
                    </w:rPr>
                    <w:t>个井场</w:t>
                  </w:r>
                </w:p>
              </w:tc>
              <w:tc>
                <w:tcPr>
                  <w:tcW w:w="1359" w:type="dxa"/>
                  <w:noWrap w:val="0"/>
                  <w:vAlign w:val="center"/>
                </w:tcPr>
                <w:p w14:paraId="32A79419">
                  <w:pPr>
                    <w:autoSpaceDE w:val="0"/>
                    <w:autoSpaceDN w:val="0"/>
                    <w:adjustRightInd w:val="0"/>
                    <w:jc w:val="center"/>
                    <w:rPr>
                      <w:rFonts w:ascii="Times New Roman" w:hAnsi="Times New Roman"/>
                      <w:color w:val="auto"/>
                      <w:kern w:val="0"/>
                      <w:szCs w:val="21"/>
                    </w:rPr>
                  </w:pPr>
                  <w:r>
                    <w:rPr>
                      <w:rFonts w:ascii="Times New Roman" w:hAnsi="Times New Roman"/>
                      <w:color w:val="auto"/>
                      <w:kern w:val="0"/>
                      <w:szCs w:val="21"/>
                    </w:rPr>
                    <w:t>农用地</w:t>
                  </w:r>
                </w:p>
              </w:tc>
              <w:tc>
                <w:tcPr>
                  <w:tcW w:w="1605" w:type="dxa"/>
                  <w:noWrap w:val="0"/>
                  <w:vAlign w:val="center"/>
                </w:tcPr>
                <w:p w14:paraId="20BCCFE8">
                  <w:pPr>
                    <w:autoSpaceDE w:val="0"/>
                    <w:autoSpaceDN w:val="0"/>
                    <w:adjustRightInd w:val="0"/>
                    <w:jc w:val="center"/>
                    <w:rPr>
                      <w:rFonts w:hint="default"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2.0784</w:t>
                  </w:r>
                </w:p>
              </w:tc>
              <w:tc>
                <w:tcPr>
                  <w:tcW w:w="2124" w:type="dxa"/>
                  <w:noWrap w:val="0"/>
                  <w:vAlign w:val="center"/>
                </w:tcPr>
                <w:p w14:paraId="69D454B2">
                  <w:pPr>
                    <w:autoSpaceDE w:val="0"/>
                    <w:autoSpaceDN w:val="0"/>
                    <w:adjustRightInd w:val="0"/>
                    <w:jc w:val="center"/>
                    <w:rPr>
                      <w:rFonts w:ascii="Times New Roman" w:hAnsi="Times New Roman"/>
                      <w:color w:val="auto"/>
                      <w:kern w:val="0"/>
                      <w:szCs w:val="21"/>
                    </w:rPr>
                  </w:pPr>
                  <w:r>
                    <w:rPr>
                      <w:rFonts w:ascii="Times New Roman" w:hAnsi="Times New Roman"/>
                      <w:color w:val="auto"/>
                      <w:kern w:val="0"/>
                      <w:szCs w:val="21"/>
                    </w:rPr>
                    <w:t>14.6</w:t>
                  </w:r>
                </w:p>
              </w:tc>
              <w:tc>
                <w:tcPr>
                  <w:tcW w:w="1635" w:type="dxa"/>
                  <w:noWrap w:val="0"/>
                  <w:vAlign w:val="center"/>
                </w:tcPr>
                <w:p w14:paraId="10423417">
                  <w:pPr>
                    <w:autoSpaceDE w:val="0"/>
                    <w:autoSpaceDN w:val="0"/>
                    <w:adjustRightInd w:val="0"/>
                    <w:jc w:val="center"/>
                    <w:rPr>
                      <w:rFonts w:hint="default"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30.35</w:t>
                  </w:r>
                </w:p>
              </w:tc>
            </w:tr>
            <w:tr w14:paraId="368AB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6" w:type="dxa"/>
                  <w:gridSpan w:val="2"/>
                  <w:noWrap w:val="0"/>
                  <w:vAlign w:val="center"/>
                </w:tcPr>
                <w:p w14:paraId="23C6C174">
                  <w:pPr>
                    <w:autoSpaceDE w:val="0"/>
                    <w:autoSpaceDN w:val="0"/>
                    <w:adjustRightInd w:val="0"/>
                    <w:jc w:val="center"/>
                    <w:rPr>
                      <w:rFonts w:ascii="Times New Roman" w:hAnsi="Times New Roman"/>
                      <w:color w:val="auto"/>
                      <w:kern w:val="0"/>
                      <w:szCs w:val="21"/>
                    </w:rPr>
                  </w:pPr>
                  <w:r>
                    <w:rPr>
                      <w:rFonts w:ascii="Times New Roman" w:hAnsi="Times New Roman"/>
                      <w:color w:val="auto"/>
                      <w:kern w:val="0"/>
                      <w:szCs w:val="21"/>
                    </w:rPr>
                    <w:t>合计</w:t>
                  </w:r>
                </w:p>
              </w:tc>
              <w:tc>
                <w:tcPr>
                  <w:tcW w:w="1605" w:type="dxa"/>
                  <w:noWrap w:val="0"/>
                  <w:vAlign w:val="center"/>
                </w:tcPr>
                <w:p w14:paraId="2CAF774A">
                  <w:pPr>
                    <w:autoSpaceDE w:val="0"/>
                    <w:autoSpaceDN w:val="0"/>
                    <w:adjustRightInd w:val="0"/>
                    <w:jc w:val="center"/>
                    <w:rPr>
                      <w:rFonts w:ascii="Times New Roman" w:hAnsi="Times New Roman"/>
                      <w:color w:val="auto"/>
                      <w:kern w:val="0"/>
                      <w:szCs w:val="21"/>
                    </w:rPr>
                  </w:pPr>
                  <w:r>
                    <w:rPr>
                      <w:rFonts w:ascii="Times New Roman" w:hAnsi="Times New Roman"/>
                      <w:color w:val="auto"/>
                      <w:kern w:val="0"/>
                      <w:szCs w:val="21"/>
                    </w:rPr>
                    <w:t>/</w:t>
                  </w:r>
                </w:p>
              </w:tc>
              <w:tc>
                <w:tcPr>
                  <w:tcW w:w="2124" w:type="dxa"/>
                  <w:noWrap w:val="0"/>
                  <w:vAlign w:val="center"/>
                </w:tcPr>
                <w:p w14:paraId="439A1401">
                  <w:pPr>
                    <w:autoSpaceDE w:val="0"/>
                    <w:autoSpaceDN w:val="0"/>
                    <w:adjustRightInd w:val="0"/>
                    <w:jc w:val="center"/>
                    <w:rPr>
                      <w:rFonts w:ascii="Times New Roman" w:hAnsi="Times New Roman"/>
                      <w:color w:val="auto"/>
                      <w:kern w:val="0"/>
                      <w:szCs w:val="21"/>
                    </w:rPr>
                  </w:pPr>
                  <w:r>
                    <w:rPr>
                      <w:rFonts w:ascii="Times New Roman" w:hAnsi="Times New Roman"/>
                      <w:color w:val="auto"/>
                      <w:kern w:val="0"/>
                      <w:szCs w:val="21"/>
                    </w:rPr>
                    <w:t>/</w:t>
                  </w:r>
                </w:p>
              </w:tc>
              <w:tc>
                <w:tcPr>
                  <w:tcW w:w="1635" w:type="dxa"/>
                  <w:noWrap w:val="0"/>
                  <w:vAlign w:val="center"/>
                </w:tcPr>
                <w:p w14:paraId="220DE765">
                  <w:pPr>
                    <w:autoSpaceDE w:val="0"/>
                    <w:autoSpaceDN w:val="0"/>
                    <w:adjustRightInd w:val="0"/>
                    <w:jc w:val="center"/>
                    <w:rPr>
                      <w:rFonts w:hint="default"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30.35</w:t>
                  </w:r>
                </w:p>
              </w:tc>
            </w:tr>
          </w:tbl>
          <w:p w14:paraId="053B367E">
            <w:pPr>
              <w:autoSpaceDE w:val="0"/>
              <w:autoSpaceDN w:val="0"/>
              <w:spacing w:line="360" w:lineRule="auto"/>
              <w:rPr>
                <w:rFonts w:ascii="Times New Roman" w:hAnsi="Times New Roman"/>
                <w:color w:val="auto"/>
                <w:kern w:val="0"/>
                <w:szCs w:val="21"/>
              </w:rPr>
            </w:pPr>
            <w:r>
              <w:rPr>
                <w:rFonts w:ascii="Times New Roman" w:hAnsi="Times New Roman"/>
                <w:color w:val="auto"/>
                <w:kern w:val="0"/>
                <w:szCs w:val="21"/>
              </w:rPr>
              <w:t>注：农用地生物量参照《冬小麦生物量和产量的AquaCrop模型预测》（2011年）。</w:t>
            </w:r>
          </w:p>
          <w:p w14:paraId="30D5B90B">
            <w:pPr>
              <w:autoSpaceDE w:val="0"/>
              <w:autoSpaceDN w:val="0"/>
              <w:spacing w:line="360" w:lineRule="auto"/>
              <w:ind w:firstLine="480" w:firstLineChars="200"/>
              <w:rPr>
                <w:rFonts w:hint="eastAsia" w:ascii="Times New Roman" w:hAnsi="Times New Roman"/>
                <w:color w:val="auto"/>
                <w:kern w:val="0"/>
                <w:sz w:val="24"/>
              </w:rPr>
            </w:pPr>
            <w:r>
              <w:rPr>
                <w:rFonts w:ascii="Times New Roman" w:hAnsi="Times New Roman"/>
                <w:color w:val="auto"/>
                <w:kern w:val="0"/>
                <w:sz w:val="24"/>
              </w:rPr>
              <w:t>由上表分析可知，施工期项目工程占地导致植物生物量损失约</w:t>
            </w:r>
            <w:r>
              <w:rPr>
                <w:rFonts w:hint="eastAsia" w:ascii="Times New Roman" w:hAnsi="Times New Roman"/>
                <w:color w:val="auto"/>
                <w:kern w:val="0"/>
                <w:sz w:val="24"/>
              </w:rPr>
              <w:t>3</w:t>
            </w:r>
            <w:r>
              <w:rPr>
                <w:rFonts w:hint="eastAsia" w:ascii="Times New Roman" w:hAnsi="Times New Roman"/>
                <w:color w:val="auto"/>
                <w:kern w:val="0"/>
                <w:sz w:val="24"/>
                <w:lang w:val="en-US" w:eastAsia="zh-CN"/>
              </w:rPr>
              <w:t>0.35</w:t>
            </w:r>
            <w:r>
              <w:rPr>
                <w:rFonts w:ascii="Times New Roman" w:hAnsi="Times New Roman"/>
                <w:color w:val="auto"/>
                <w:kern w:val="0"/>
                <w:sz w:val="24"/>
              </w:rPr>
              <w:t>t。本项目占地对项目区植被生物量的影响主要表现为农用地生物量损失。</w:t>
            </w:r>
          </w:p>
          <w:p w14:paraId="3E521BDC">
            <w:pPr>
              <w:autoSpaceDE w:val="0"/>
              <w:autoSpaceDN w:val="0"/>
              <w:spacing w:line="360" w:lineRule="auto"/>
              <w:ind w:firstLine="480" w:firstLineChars="200"/>
              <w:rPr>
                <w:rFonts w:ascii="Times New Roman" w:hAnsi="Times New Roman"/>
                <w:color w:val="auto"/>
                <w:kern w:val="0"/>
                <w:sz w:val="24"/>
                <w:lang w:bidi="ar"/>
              </w:rPr>
            </w:pPr>
            <w:r>
              <w:rPr>
                <w:rFonts w:ascii="Times New Roman" w:hAnsi="Times New Roman"/>
                <w:color w:val="auto"/>
                <w:kern w:val="0"/>
                <w:sz w:val="24"/>
                <w:lang w:bidi="ar"/>
              </w:rPr>
              <w:t>本工程要求对所占农田的耕作层土壤剥离层集中堆放加以保留，待施工结束后用于所占土地的复垦，这将在一定程度上减小对区域土壤生产力的影响。施工期加强管理，严格控制施工面积，采取降低施工噪声、定期洒水以降低扬尘量等措施，基本可以使施工作业对植物的影响控制在较小范围内。而且施工作业仅对沿线植物产生影响，随着施工作业的结束，此种影响也随之消失。所以，工程对评价区植物资源影响不大。</w:t>
            </w:r>
          </w:p>
          <w:p w14:paraId="13F91371">
            <w:pPr>
              <w:spacing w:line="360" w:lineRule="auto"/>
              <w:ind w:firstLine="484" w:firstLineChars="202"/>
              <w:rPr>
                <w:rFonts w:ascii="Times New Roman" w:hAnsi="Times New Roman"/>
                <w:bCs/>
                <w:color w:val="auto"/>
                <w:sz w:val="24"/>
              </w:rPr>
            </w:pPr>
            <w:r>
              <w:rPr>
                <w:rFonts w:ascii="宋体" w:hAnsi="宋体"/>
                <w:bCs/>
                <w:color w:val="auto"/>
                <w:sz w:val="24"/>
              </w:rPr>
              <w:t>②</w:t>
            </w:r>
            <w:r>
              <w:rPr>
                <w:rFonts w:ascii="Times New Roman" w:hAnsi="宋体"/>
                <w:bCs/>
                <w:color w:val="auto"/>
                <w:sz w:val="24"/>
              </w:rPr>
              <w:t>对土壤的影响</w:t>
            </w:r>
          </w:p>
          <w:p w14:paraId="003790AB">
            <w:pPr>
              <w:spacing w:line="360" w:lineRule="auto"/>
              <w:ind w:firstLine="480" w:firstLineChars="200"/>
              <w:rPr>
                <w:rFonts w:ascii="Times New Roman" w:hAnsi="Times New Roman"/>
                <w:bCs/>
                <w:color w:val="auto"/>
                <w:sz w:val="24"/>
              </w:rPr>
            </w:pPr>
            <w:r>
              <w:rPr>
                <w:rFonts w:ascii="Times New Roman" w:hAnsi="Times New Roman"/>
                <w:bCs/>
                <w:color w:val="auto"/>
                <w:sz w:val="24"/>
              </w:rPr>
              <w:t>工程对土壤的影响主要有两方面，一是工程排放的污染物对土壤质地性状的影响；二是工程建设期的开挖对土壤结构的破坏。对场地平整产生的剥离表层土应独立集中临时堆放，钻井结束后用于场地复垦回填用土。表层土堆放区应设置截、排水沟等严格的水保措施防止水土流失。通过对井场内排水沟、地表硬化处理和各池体采取防腐防渗处理，钻井废水和钻井泥浆对土壤影响很小，散落的废水和钻井泥浆对井场内小部分区域的土壤产生较严重破坏，但影响范围有限；井场地面采用钢板敷设，有效保护占地原表层土壤。对于被占地农户进行补偿，根据耕地不同作物的市场价格，与损失方协商后进行经济补偿。对于临时占地，钻井工程施工结束后，拆除临时设施，由建设方给予被占地农民经济补偿，委托其恢复地表植被或作物。随着工程施工的结束，生态保护和临时占地的植被恢复措施的进行，有效的保护和恢复措施能保证工程对井场周围的土壤和农作物的影响得到尽快的恢复。通过上述措施，本项目建设对项目所在地土壤环境影响在当地环境可接受范围内。</w:t>
            </w:r>
          </w:p>
          <w:p w14:paraId="402E788D">
            <w:pPr>
              <w:spacing w:line="360" w:lineRule="auto"/>
              <w:ind w:firstLine="484" w:firstLineChars="202"/>
              <w:rPr>
                <w:rFonts w:ascii="Times New Roman" w:hAnsi="Times New Roman"/>
                <w:bCs/>
                <w:color w:val="auto"/>
                <w:sz w:val="24"/>
              </w:rPr>
            </w:pPr>
            <w:r>
              <w:rPr>
                <w:rFonts w:ascii="Times New Roman" w:hAnsi="Times New Roman"/>
                <w:bCs/>
                <w:color w:val="auto"/>
                <w:sz w:val="24"/>
              </w:rPr>
              <w:t>（3）对野生动物影响分析</w:t>
            </w:r>
          </w:p>
          <w:p w14:paraId="67FB97F2">
            <w:pPr>
              <w:spacing w:line="360" w:lineRule="auto"/>
              <w:ind w:firstLine="484" w:firstLineChars="202"/>
              <w:rPr>
                <w:rFonts w:ascii="Times New Roman" w:hAnsi="Times New Roman"/>
                <w:bCs/>
                <w:color w:val="auto"/>
                <w:sz w:val="24"/>
              </w:rPr>
            </w:pPr>
            <w:r>
              <w:rPr>
                <w:rFonts w:ascii="Times New Roman" w:hAnsi="Times New Roman"/>
                <w:bCs/>
                <w:color w:val="auto"/>
                <w:sz w:val="24"/>
              </w:rPr>
              <w:t>拟建项目在施工过程中对野生动物的影响主要表现为工作人员的施工活动对动物栖息地生境的干扰和破坏；施工机械噪声对动物的干扰；会惊吓干扰植被中生活的某些野生动物。由于上述原因的影响，大部分两栖类和兽类迁移它处，远离项目区范围；一部分鸟类和爬行类动物会通过迁移和飞翔来避免项目采掘面下方结构层施工所造成的影响，导致项目区周围环境的动物数量有所减少，但是距离项目区较远的区域中被影响驱赶的动物会相对集中而重新分布，因此本项目对动物种类多样性和种群数量不会产生大的影响，更不会导致动物多样性降低。在工程完工后项目区施工噪声等影响减弱后又会回到原来比较适宜生存和活动的地域。总体上本项目对周围的野生动物有一定的干扰，但是对其生存及种群数量、种类影响很小。</w:t>
            </w:r>
          </w:p>
          <w:p w14:paraId="773A14B6">
            <w:pPr>
              <w:spacing w:line="360" w:lineRule="auto"/>
              <w:ind w:firstLine="484" w:firstLineChars="202"/>
              <w:rPr>
                <w:rFonts w:ascii="Times New Roman" w:hAnsi="Times New Roman"/>
                <w:bCs/>
                <w:color w:val="auto"/>
                <w:sz w:val="24"/>
              </w:rPr>
            </w:pPr>
            <w:r>
              <w:rPr>
                <w:rFonts w:ascii="Times New Roman" w:hAnsi="Times New Roman"/>
                <w:bCs/>
                <w:color w:val="auto"/>
                <w:sz w:val="24"/>
              </w:rPr>
              <w:t>此外，施工过程施工区的各种生产活动直接或间接干扰和破坏生态环境，降低地表植被覆盖度，使该区域内野生动物失去部分觅食地、栖息地和活动区域，迫使野生动物向周围迁移，对野生动物的生境产生一定的影响。加之施工吸纳外来人口，使对野生动物的人为干扰增多，造成区域动物种群数量减少。</w:t>
            </w:r>
          </w:p>
          <w:p w14:paraId="573A232E">
            <w:pPr>
              <w:spacing w:line="360" w:lineRule="auto"/>
              <w:ind w:firstLine="480" w:firstLineChars="200"/>
              <w:rPr>
                <w:rFonts w:ascii="Times New Roman" w:hAnsi="Times New Roman"/>
                <w:bCs/>
                <w:color w:val="auto"/>
                <w:sz w:val="24"/>
              </w:rPr>
            </w:pPr>
            <w:r>
              <w:rPr>
                <w:rFonts w:ascii="Times New Roman" w:hAnsi="Times New Roman"/>
                <w:bCs/>
                <w:color w:val="auto"/>
                <w:sz w:val="24"/>
              </w:rPr>
              <w:t>（4）对区域水土流失的影响分析</w:t>
            </w:r>
          </w:p>
          <w:p w14:paraId="770BF131">
            <w:pPr>
              <w:pStyle w:val="23"/>
              <w:adjustRightInd/>
              <w:spacing w:line="360" w:lineRule="auto"/>
              <w:ind w:firstLine="480" w:firstLineChars="200"/>
              <w:jc w:val="both"/>
              <w:rPr>
                <w:rFonts w:ascii="Times New Roman" w:hAnsi="Times New Roman"/>
                <w:bCs/>
                <w:color w:val="auto"/>
              </w:rPr>
            </w:pPr>
            <w:r>
              <w:rPr>
                <w:rFonts w:ascii="Times New Roman" w:hAnsi="Times New Roman"/>
                <w:bCs/>
                <w:color w:val="auto"/>
              </w:rPr>
              <w:t>钻前工程建设将对地表进行剥离、挖掘和堆积，使原来的地表结构、土地利用类型、局部地貌发生变化。施工场地为自然地面和经过切坡、开挖后的地面，单位面积的悬浮物冲刷量和流失量较大。遇到雨天，因地表水流会带走泥沙，水土流失加剧。开挖土石方的临时堆放也会产生一定的水土流失。本项目开挖施工期短，土石方就近占地进行临时堆放，堆放在土方堆放区，无转运丢弃，实际新增水土流失量小。本项目施工期场地平整、机械设备区及沉淀池等施工活动产生</w:t>
            </w:r>
            <w:r>
              <w:rPr>
                <w:rFonts w:hint="eastAsia" w:ascii="Times New Roman" w:hAnsi="Times New Roman"/>
                <w:bCs/>
                <w:color w:val="auto"/>
              </w:rPr>
              <w:t>30cm表土</w:t>
            </w:r>
            <w:r>
              <w:rPr>
                <w:rFonts w:ascii="Times New Roman" w:hAnsi="Times New Roman"/>
                <w:bCs/>
                <w:color w:val="auto"/>
              </w:rPr>
              <w:t>挖方量</w:t>
            </w:r>
            <w:r>
              <w:rPr>
                <w:rFonts w:hint="eastAsia" w:ascii="Times New Roman" w:hAnsi="Times New Roman"/>
                <w:bCs/>
                <w:color w:val="auto"/>
                <w:lang w:val="en-US" w:eastAsia="zh-CN"/>
              </w:rPr>
              <w:t>5467</w:t>
            </w:r>
            <w:r>
              <w:rPr>
                <w:rFonts w:ascii="Times New Roman" w:hAnsi="Times New Roman"/>
                <w:bCs/>
                <w:color w:val="auto"/>
              </w:rPr>
              <w:t>m</w:t>
            </w:r>
            <w:r>
              <w:rPr>
                <w:rFonts w:ascii="Times New Roman" w:hAnsi="Times New Roman"/>
                <w:bCs/>
                <w:color w:val="auto"/>
                <w:vertAlign w:val="superscript"/>
              </w:rPr>
              <w:t>3</w:t>
            </w:r>
            <w:r>
              <w:rPr>
                <w:rFonts w:ascii="Times New Roman" w:hAnsi="Times New Roman"/>
                <w:bCs/>
                <w:color w:val="auto"/>
              </w:rPr>
              <w:t>，</w:t>
            </w:r>
            <w:r>
              <w:rPr>
                <w:rFonts w:hint="eastAsia" w:ascii="Times New Roman" w:hAnsi="Times New Roman"/>
                <w:bCs/>
                <w:color w:val="auto"/>
              </w:rPr>
              <w:t>表土</w:t>
            </w:r>
            <w:r>
              <w:rPr>
                <w:rFonts w:hint="eastAsia" w:ascii="Times New Roman" w:hAnsi="Times New Roman"/>
                <w:bCs/>
                <w:color w:val="auto"/>
                <w:lang w:val="en-US" w:eastAsia="zh-CN"/>
              </w:rPr>
              <w:t>5467</w:t>
            </w:r>
            <w:r>
              <w:rPr>
                <w:rFonts w:ascii="Times New Roman" w:hAnsi="Times New Roman"/>
                <w:bCs/>
                <w:color w:val="auto"/>
              </w:rPr>
              <w:t>m</w:t>
            </w:r>
            <w:r>
              <w:rPr>
                <w:rFonts w:ascii="Times New Roman" w:hAnsi="Times New Roman"/>
                <w:bCs/>
                <w:color w:val="auto"/>
                <w:vertAlign w:val="superscript"/>
              </w:rPr>
              <w:t>3</w:t>
            </w:r>
            <w:r>
              <w:rPr>
                <w:rFonts w:ascii="Times New Roman" w:hAnsi="Times New Roman"/>
                <w:bCs/>
                <w:color w:val="auto"/>
              </w:rPr>
              <w:t>堆放至项目区内表土堆场堆放，</w:t>
            </w:r>
            <w:r>
              <w:rPr>
                <w:rFonts w:hint="eastAsia" w:ascii="Times New Roman" w:hAnsi="Times New Roman"/>
                <w:bCs/>
                <w:color w:val="auto"/>
                <w:lang w:val="en-US" w:eastAsia="zh-CN"/>
              </w:rPr>
              <w:t>总</w:t>
            </w:r>
            <w:r>
              <w:rPr>
                <w:rFonts w:ascii="Times New Roman" w:hAnsi="Times New Roman"/>
                <w:bCs/>
                <w:color w:val="auto"/>
              </w:rPr>
              <w:t>占地面积为</w:t>
            </w:r>
            <w:r>
              <w:rPr>
                <w:rFonts w:hint="eastAsia" w:ascii="Times New Roman" w:hAnsi="Times New Roman"/>
                <w:bCs/>
                <w:color w:val="auto"/>
                <w:lang w:val="en-US" w:eastAsia="zh-CN"/>
              </w:rPr>
              <w:t>2484</w:t>
            </w:r>
            <w:r>
              <w:rPr>
                <w:rFonts w:ascii="Times New Roman" w:hAnsi="Times New Roman"/>
                <w:bCs/>
                <w:color w:val="auto"/>
              </w:rPr>
              <w:t>m</w:t>
            </w:r>
            <w:r>
              <w:rPr>
                <w:rFonts w:ascii="Times New Roman" w:hAnsi="Times New Roman"/>
                <w:bCs/>
                <w:color w:val="auto"/>
                <w:vertAlign w:val="superscript"/>
              </w:rPr>
              <w:t>2</w:t>
            </w:r>
            <w:r>
              <w:rPr>
                <w:rFonts w:ascii="Times New Roman" w:hAnsi="Times New Roman"/>
                <w:bCs/>
                <w:color w:val="auto"/>
              </w:rPr>
              <w:t>，</w:t>
            </w:r>
            <w:r>
              <w:rPr>
                <w:rFonts w:hint="eastAsia" w:ascii="Times New Roman" w:hAnsi="Times New Roman"/>
                <w:bCs/>
                <w:color w:val="auto"/>
              </w:rPr>
              <w:t>堆土高度设计为2.69-4.4m，周围设置黏土编织袋围堰挡墙，堆土场四周留有撇洪沟，并防止水土流失</w:t>
            </w:r>
            <w:r>
              <w:rPr>
                <w:rFonts w:ascii="Times New Roman" w:hAnsi="Times New Roman"/>
                <w:bCs/>
                <w:color w:val="auto"/>
              </w:rPr>
              <w:t>。</w:t>
            </w:r>
          </w:p>
          <w:p w14:paraId="1C27ECF2">
            <w:pPr>
              <w:spacing w:line="360" w:lineRule="auto"/>
              <w:ind w:firstLine="480" w:firstLineChars="200"/>
              <w:rPr>
                <w:rFonts w:ascii="Times New Roman" w:hAnsi="Times New Roman"/>
                <w:bCs/>
                <w:color w:val="auto"/>
                <w:sz w:val="24"/>
              </w:rPr>
            </w:pPr>
            <w:r>
              <w:rPr>
                <w:rFonts w:ascii="Times New Roman" w:hAnsi="Times New Roman"/>
                <w:bCs/>
                <w:color w:val="auto"/>
                <w:sz w:val="24"/>
              </w:rPr>
              <w:t>（5）土地利用格局变化</w:t>
            </w:r>
          </w:p>
          <w:p w14:paraId="0F4F5451">
            <w:pPr>
              <w:spacing w:line="360" w:lineRule="auto"/>
              <w:ind w:firstLine="480" w:firstLineChars="200"/>
              <w:rPr>
                <w:rFonts w:hint="eastAsia" w:ascii="Times New Roman" w:hAnsi="Times New Roman"/>
                <w:bCs/>
                <w:color w:val="auto"/>
                <w:sz w:val="24"/>
              </w:rPr>
            </w:pPr>
            <w:r>
              <w:rPr>
                <w:rFonts w:ascii="Times New Roman" w:hAnsi="Times New Roman"/>
                <w:bCs/>
                <w:color w:val="auto"/>
                <w:sz w:val="24"/>
              </w:rPr>
              <w:t>施工区土地利用类型主要为空地，均为临时土地，在施工期工作完毕后可在短时间内</w:t>
            </w:r>
            <w:r>
              <w:rPr>
                <w:rFonts w:hint="eastAsia" w:ascii="Times New Roman" w:hAnsi="Times New Roman"/>
                <w:bCs/>
                <w:color w:val="auto"/>
                <w:sz w:val="24"/>
              </w:rPr>
              <w:t>进行</w:t>
            </w:r>
            <w:r>
              <w:rPr>
                <w:rFonts w:ascii="Times New Roman" w:hAnsi="Times New Roman"/>
                <w:bCs/>
                <w:color w:val="auto"/>
                <w:sz w:val="24"/>
              </w:rPr>
              <w:t>复垦。因此，工程对土地利用格局产生的影响甚微。</w:t>
            </w:r>
          </w:p>
          <w:p w14:paraId="0B1F2D92">
            <w:pPr>
              <w:spacing w:line="360" w:lineRule="auto"/>
              <w:rPr>
                <w:rFonts w:ascii="Times New Roman" w:hAnsi="Times New Roman"/>
                <w:color w:val="auto"/>
                <w:sz w:val="24"/>
              </w:rPr>
            </w:pPr>
            <w:r>
              <w:rPr>
                <w:rFonts w:ascii="Times New Roman" w:hAnsi="Times New Roman"/>
                <w:b/>
                <w:bCs/>
                <w:color w:val="auto"/>
                <w:kern w:val="0"/>
                <w:sz w:val="24"/>
                <w:lang w:bidi="ar"/>
              </w:rPr>
              <w:t>9、</w:t>
            </w:r>
            <w:r>
              <w:rPr>
                <w:rFonts w:ascii="Times New Roman" w:hAnsi="Times New Roman"/>
                <w:b/>
                <w:color w:val="auto"/>
                <w:sz w:val="24"/>
              </w:rPr>
              <w:t>环境风险分析</w:t>
            </w:r>
          </w:p>
          <w:p w14:paraId="29D9D17E">
            <w:pPr>
              <w:spacing w:line="360" w:lineRule="auto"/>
              <w:ind w:firstLine="542" w:firstLineChars="226"/>
              <w:rPr>
                <w:rFonts w:hint="eastAsia" w:ascii="Times New Roman" w:hAnsi="Times New Roman"/>
                <w:color w:val="auto"/>
                <w:sz w:val="24"/>
              </w:rPr>
            </w:pPr>
            <w:r>
              <w:rPr>
                <w:rFonts w:hint="eastAsia" w:ascii="Times New Roman" w:hAnsi="Times New Roman"/>
                <w:color w:val="auto"/>
                <w:sz w:val="24"/>
              </w:rPr>
              <w:t>环境风险评价是分析和预测项目存在的潜在危险、有害因素，项目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14:paraId="64F74EB3">
            <w:pPr>
              <w:spacing w:line="360" w:lineRule="auto"/>
              <w:ind w:firstLine="542" w:firstLineChars="226"/>
              <w:rPr>
                <w:rFonts w:ascii="Times New Roman" w:hAnsi="Times New Roman"/>
                <w:color w:val="auto"/>
                <w:sz w:val="24"/>
              </w:rPr>
            </w:pPr>
            <w:r>
              <w:rPr>
                <w:rFonts w:hint="eastAsia" w:ascii="Times New Roman" w:hAnsi="Times New Roman"/>
                <w:color w:val="auto"/>
                <w:sz w:val="24"/>
              </w:rPr>
              <w:t>拟建项目使用的原辅材料主要为粘土、水泥、纤维素、腐殖酸等，项目涉及的环境风险物质为设备维修产生的废润滑油，其储存情况见下表</w:t>
            </w:r>
          </w:p>
          <w:p w14:paraId="0AC4DA25">
            <w:pPr>
              <w:jc w:val="center"/>
              <w:rPr>
                <w:rFonts w:ascii="Times New Roman" w:hAnsi="Times New Roman"/>
                <w:b/>
                <w:color w:val="auto"/>
                <w:szCs w:val="21"/>
              </w:rPr>
            </w:pPr>
            <w:r>
              <w:rPr>
                <w:rFonts w:ascii="Times New Roman" w:hAnsi="宋体"/>
                <w:b/>
                <w:color w:val="auto"/>
                <w:szCs w:val="21"/>
              </w:rPr>
              <w:t>表</w:t>
            </w:r>
            <w:r>
              <w:rPr>
                <w:rFonts w:ascii="Times New Roman" w:hAnsi="Times New Roman"/>
                <w:b/>
                <w:color w:val="auto"/>
                <w:szCs w:val="21"/>
              </w:rPr>
              <w:t>4-</w:t>
            </w:r>
            <w:r>
              <w:rPr>
                <w:rFonts w:hint="eastAsia" w:ascii="Times New Roman" w:hAnsi="Times New Roman"/>
                <w:b/>
                <w:color w:val="auto"/>
                <w:szCs w:val="21"/>
                <w:lang w:val="en-US" w:eastAsia="zh-CN"/>
              </w:rPr>
              <w:t>8</w:t>
            </w:r>
            <w:r>
              <w:rPr>
                <w:rFonts w:ascii="Times New Roman" w:hAnsi="Times New Roman"/>
                <w:b/>
                <w:color w:val="auto"/>
                <w:szCs w:val="21"/>
              </w:rPr>
              <w:t xml:space="preserve">  </w:t>
            </w:r>
            <w:r>
              <w:rPr>
                <w:rFonts w:ascii="Times New Roman" w:hAnsi="宋体"/>
                <w:b/>
                <w:color w:val="auto"/>
                <w:szCs w:val="21"/>
              </w:rPr>
              <w:t>本项目化学危险物质在线量及贮存量表（单位：</w:t>
            </w:r>
            <w:r>
              <w:rPr>
                <w:rFonts w:ascii="Times New Roman" w:hAnsi="Times New Roman"/>
                <w:b/>
                <w:color w:val="auto"/>
                <w:szCs w:val="21"/>
              </w:rPr>
              <w:t>t</w:t>
            </w:r>
            <w:r>
              <w:rPr>
                <w:rFonts w:ascii="Times New Roman" w:hAnsi="宋体"/>
                <w:b/>
                <w:color w:val="auto"/>
                <w:szCs w:val="21"/>
              </w:rPr>
              <w:t>）</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
              <w:gridCol w:w="1552"/>
              <w:gridCol w:w="1257"/>
              <w:gridCol w:w="1542"/>
              <w:gridCol w:w="1284"/>
              <w:gridCol w:w="1727"/>
            </w:tblGrid>
            <w:tr w14:paraId="1F640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noWrap w:val="0"/>
                  <w:vAlign w:val="center"/>
                </w:tcPr>
                <w:p w14:paraId="69A2FD27">
                  <w:pPr>
                    <w:jc w:val="center"/>
                    <w:rPr>
                      <w:rFonts w:ascii="Times New Roman" w:hAnsi="Times New Roman"/>
                      <w:color w:val="auto"/>
                      <w:szCs w:val="21"/>
                    </w:rPr>
                  </w:pPr>
                  <w:r>
                    <w:rPr>
                      <w:rFonts w:ascii="Times New Roman" w:hAnsi="Times New Roman"/>
                      <w:color w:val="auto"/>
                      <w:szCs w:val="21"/>
                    </w:rPr>
                    <w:t>序号</w:t>
                  </w:r>
                </w:p>
              </w:tc>
              <w:tc>
                <w:tcPr>
                  <w:tcW w:w="1552" w:type="dxa"/>
                  <w:noWrap w:val="0"/>
                  <w:vAlign w:val="center"/>
                </w:tcPr>
                <w:p w14:paraId="38ACD425">
                  <w:pPr>
                    <w:jc w:val="center"/>
                    <w:rPr>
                      <w:rFonts w:ascii="Times New Roman" w:hAnsi="Times New Roman"/>
                      <w:color w:val="auto"/>
                      <w:szCs w:val="21"/>
                    </w:rPr>
                  </w:pPr>
                  <w:r>
                    <w:rPr>
                      <w:rFonts w:ascii="Times New Roman" w:hAnsi="Times New Roman"/>
                      <w:color w:val="auto"/>
                      <w:szCs w:val="21"/>
                    </w:rPr>
                    <w:t>危险物质名称</w:t>
                  </w:r>
                </w:p>
              </w:tc>
              <w:tc>
                <w:tcPr>
                  <w:tcW w:w="1257" w:type="dxa"/>
                  <w:noWrap w:val="0"/>
                  <w:vAlign w:val="center"/>
                </w:tcPr>
                <w:p w14:paraId="4B2C761F">
                  <w:pPr>
                    <w:jc w:val="center"/>
                    <w:rPr>
                      <w:rFonts w:ascii="Times New Roman" w:hAnsi="Times New Roman"/>
                      <w:color w:val="auto"/>
                      <w:szCs w:val="21"/>
                    </w:rPr>
                  </w:pPr>
                  <w:r>
                    <w:rPr>
                      <w:rFonts w:ascii="Times New Roman" w:hAnsi="Times New Roman"/>
                      <w:color w:val="auto"/>
                      <w:szCs w:val="21"/>
                    </w:rPr>
                    <w:t>CAS号</w:t>
                  </w:r>
                </w:p>
              </w:tc>
              <w:tc>
                <w:tcPr>
                  <w:tcW w:w="1542" w:type="dxa"/>
                  <w:noWrap w:val="0"/>
                  <w:vAlign w:val="center"/>
                </w:tcPr>
                <w:p w14:paraId="23E1AD43">
                  <w:pPr>
                    <w:jc w:val="center"/>
                    <w:rPr>
                      <w:rFonts w:ascii="Times New Roman" w:hAnsi="Times New Roman"/>
                      <w:color w:val="auto"/>
                      <w:szCs w:val="21"/>
                    </w:rPr>
                  </w:pPr>
                  <w:r>
                    <w:rPr>
                      <w:rFonts w:ascii="Times New Roman" w:hAnsi="Times New Roman"/>
                      <w:color w:val="auto"/>
                      <w:szCs w:val="21"/>
                    </w:rPr>
                    <w:t>最大存在总量</w:t>
                  </w:r>
                </w:p>
                <w:p w14:paraId="4A1065B8">
                  <w:pPr>
                    <w:jc w:val="center"/>
                    <w:rPr>
                      <w:rFonts w:ascii="Times New Roman" w:hAnsi="Times New Roman"/>
                      <w:color w:val="auto"/>
                      <w:szCs w:val="21"/>
                    </w:rPr>
                  </w:pPr>
                  <w:r>
                    <w:rPr>
                      <w:rFonts w:ascii="Times New Roman" w:hAnsi="Times New Roman"/>
                      <w:color w:val="auto"/>
                      <w:szCs w:val="21"/>
                    </w:rPr>
                    <w:t>qn/t</w:t>
                  </w:r>
                </w:p>
              </w:tc>
              <w:tc>
                <w:tcPr>
                  <w:tcW w:w="1284" w:type="dxa"/>
                  <w:noWrap w:val="0"/>
                  <w:vAlign w:val="center"/>
                </w:tcPr>
                <w:p w14:paraId="36A194F2">
                  <w:pPr>
                    <w:jc w:val="center"/>
                    <w:rPr>
                      <w:rFonts w:ascii="Times New Roman" w:hAnsi="Times New Roman"/>
                      <w:color w:val="auto"/>
                      <w:szCs w:val="21"/>
                    </w:rPr>
                  </w:pPr>
                  <w:r>
                    <w:rPr>
                      <w:rFonts w:ascii="Times New Roman" w:hAnsi="Times New Roman"/>
                      <w:color w:val="auto"/>
                      <w:szCs w:val="21"/>
                    </w:rPr>
                    <w:t>临界量</w:t>
                  </w:r>
                </w:p>
                <w:p w14:paraId="0B600921">
                  <w:pPr>
                    <w:jc w:val="center"/>
                    <w:rPr>
                      <w:rFonts w:ascii="Times New Roman" w:hAnsi="Times New Roman"/>
                      <w:color w:val="auto"/>
                      <w:szCs w:val="21"/>
                    </w:rPr>
                  </w:pPr>
                  <w:r>
                    <w:rPr>
                      <w:rFonts w:ascii="Times New Roman" w:hAnsi="Times New Roman"/>
                      <w:color w:val="auto"/>
                      <w:szCs w:val="21"/>
                    </w:rPr>
                    <w:t>Qn/t</w:t>
                  </w:r>
                </w:p>
              </w:tc>
              <w:tc>
                <w:tcPr>
                  <w:tcW w:w="1727" w:type="dxa"/>
                  <w:noWrap w:val="0"/>
                  <w:vAlign w:val="center"/>
                </w:tcPr>
                <w:p w14:paraId="2B15919F">
                  <w:pPr>
                    <w:jc w:val="center"/>
                    <w:rPr>
                      <w:rFonts w:ascii="Times New Roman" w:hAnsi="Times New Roman"/>
                      <w:color w:val="auto"/>
                      <w:szCs w:val="21"/>
                    </w:rPr>
                  </w:pPr>
                  <w:r>
                    <w:rPr>
                      <w:rFonts w:ascii="Times New Roman" w:hAnsi="Times New Roman"/>
                      <w:color w:val="auto"/>
                      <w:szCs w:val="21"/>
                    </w:rPr>
                    <w:t>该种危险物质</w:t>
                  </w:r>
                </w:p>
                <w:p w14:paraId="1C3468B2">
                  <w:pPr>
                    <w:jc w:val="center"/>
                    <w:rPr>
                      <w:rFonts w:ascii="Times New Roman" w:hAnsi="Times New Roman"/>
                      <w:color w:val="auto"/>
                      <w:szCs w:val="21"/>
                    </w:rPr>
                  </w:pPr>
                  <w:r>
                    <w:rPr>
                      <w:rFonts w:ascii="Times New Roman" w:hAnsi="Times New Roman"/>
                      <w:color w:val="auto"/>
                      <w:szCs w:val="21"/>
                    </w:rPr>
                    <w:t>Q值</w:t>
                  </w:r>
                </w:p>
              </w:tc>
            </w:tr>
            <w:tr w14:paraId="7A127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noWrap w:val="0"/>
                  <w:vAlign w:val="center"/>
                </w:tcPr>
                <w:p w14:paraId="35FC7112">
                  <w:pPr>
                    <w:jc w:val="center"/>
                    <w:rPr>
                      <w:rFonts w:hint="eastAsia" w:ascii="Times New Roman" w:hAnsi="Times New Roman" w:eastAsia="宋体"/>
                      <w:color w:val="auto"/>
                      <w:szCs w:val="21"/>
                      <w:lang w:eastAsia="zh-CN"/>
                    </w:rPr>
                  </w:pPr>
                  <w:r>
                    <w:rPr>
                      <w:rFonts w:hint="eastAsia" w:ascii="Times New Roman" w:hAnsi="Times New Roman"/>
                      <w:color w:val="auto"/>
                      <w:szCs w:val="21"/>
                      <w:lang w:val="en-US" w:eastAsia="zh-CN"/>
                    </w:rPr>
                    <w:t>1</w:t>
                  </w:r>
                </w:p>
              </w:tc>
              <w:tc>
                <w:tcPr>
                  <w:tcW w:w="1552" w:type="dxa"/>
                  <w:noWrap w:val="0"/>
                  <w:vAlign w:val="center"/>
                </w:tcPr>
                <w:p w14:paraId="179FEB6B">
                  <w:pPr>
                    <w:jc w:val="center"/>
                    <w:rPr>
                      <w:rFonts w:hint="default" w:ascii="Times New Roman" w:hAnsi="Times New Roman" w:eastAsia="宋体"/>
                      <w:color w:val="auto"/>
                      <w:szCs w:val="21"/>
                      <w:lang w:val="en-US" w:eastAsia="zh-CN"/>
                    </w:rPr>
                  </w:pPr>
                  <w:r>
                    <w:rPr>
                      <w:rFonts w:ascii="Times New Roman" w:hAnsi="Times New Roman"/>
                      <w:color w:val="auto"/>
                      <w:szCs w:val="21"/>
                    </w:rPr>
                    <w:t>废润滑油</w:t>
                  </w:r>
                </w:p>
              </w:tc>
              <w:tc>
                <w:tcPr>
                  <w:tcW w:w="1257" w:type="dxa"/>
                  <w:noWrap w:val="0"/>
                  <w:vAlign w:val="center"/>
                </w:tcPr>
                <w:p w14:paraId="22811520">
                  <w:pPr>
                    <w:jc w:val="center"/>
                    <w:rPr>
                      <w:rFonts w:ascii="Times New Roman" w:hAnsi="Times New Roman"/>
                      <w:color w:val="auto"/>
                      <w:szCs w:val="21"/>
                    </w:rPr>
                  </w:pPr>
                  <w:r>
                    <w:rPr>
                      <w:rFonts w:ascii="Times New Roman" w:hAnsi="Times New Roman"/>
                      <w:color w:val="auto"/>
                      <w:szCs w:val="21"/>
                    </w:rPr>
                    <w:t>—</w:t>
                  </w:r>
                </w:p>
              </w:tc>
              <w:tc>
                <w:tcPr>
                  <w:tcW w:w="1542" w:type="dxa"/>
                  <w:noWrap w:val="0"/>
                  <w:vAlign w:val="center"/>
                </w:tcPr>
                <w:p w14:paraId="37A4D221">
                  <w:pPr>
                    <w:jc w:val="center"/>
                    <w:rPr>
                      <w:rFonts w:hint="default" w:ascii="Times New Roman" w:hAnsi="Times New Roman" w:eastAsia="宋体"/>
                      <w:color w:val="auto"/>
                      <w:szCs w:val="21"/>
                      <w:lang w:val="en-US" w:eastAsia="zh-CN"/>
                    </w:rPr>
                  </w:pPr>
                  <w:r>
                    <w:rPr>
                      <w:rFonts w:ascii="Times New Roman" w:hAnsi="Times New Roman"/>
                      <w:bCs/>
                      <w:color w:val="auto"/>
                      <w:szCs w:val="21"/>
                    </w:rPr>
                    <w:t>0.</w:t>
                  </w:r>
                  <w:r>
                    <w:rPr>
                      <w:rFonts w:hint="eastAsia" w:ascii="Times New Roman" w:hAnsi="Times New Roman"/>
                      <w:bCs/>
                      <w:color w:val="auto"/>
                      <w:szCs w:val="21"/>
                      <w:lang w:val="en-US" w:eastAsia="zh-CN"/>
                    </w:rPr>
                    <w:t>14</w:t>
                  </w:r>
                </w:p>
              </w:tc>
              <w:tc>
                <w:tcPr>
                  <w:tcW w:w="1284" w:type="dxa"/>
                  <w:noWrap w:val="0"/>
                  <w:vAlign w:val="center"/>
                </w:tcPr>
                <w:p w14:paraId="5A352B23">
                  <w:pPr>
                    <w:jc w:val="center"/>
                    <w:rPr>
                      <w:rFonts w:ascii="Times New Roman" w:hAnsi="Times New Roman"/>
                      <w:color w:val="auto"/>
                      <w:szCs w:val="21"/>
                    </w:rPr>
                  </w:pPr>
                  <w:r>
                    <w:rPr>
                      <w:rFonts w:ascii="Times New Roman" w:hAnsi="Times New Roman"/>
                      <w:color w:val="auto"/>
                      <w:szCs w:val="21"/>
                    </w:rPr>
                    <w:t>2500</w:t>
                  </w:r>
                </w:p>
              </w:tc>
              <w:tc>
                <w:tcPr>
                  <w:tcW w:w="1727" w:type="dxa"/>
                  <w:noWrap w:val="0"/>
                  <w:vAlign w:val="center"/>
                </w:tcPr>
                <w:p w14:paraId="705A1B7D">
                  <w:pPr>
                    <w:jc w:val="center"/>
                    <w:rPr>
                      <w:rFonts w:hint="default" w:ascii="Times New Roman" w:hAnsi="Times New Roman" w:eastAsia="宋体"/>
                      <w:color w:val="auto"/>
                      <w:szCs w:val="21"/>
                      <w:lang w:val="en-US" w:eastAsia="zh-CN"/>
                    </w:rPr>
                  </w:pPr>
                  <w:r>
                    <w:rPr>
                      <w:rFonts w:ascii="Times New Roman" w:hAnsi="Times New Roman"/>
                      <w:color w:val="auto"/>
                      <w:szCs w:val="21"/>
                    </w:rPr>
                    <w:t>0.0000</w:t>
                  </w:r>
                  <w:r>
                    <w:rPr>
                      <w:rFonts w:hint="eastAsia" w:ascii="Times New Roman" w:hAnsi="Times New Roman"/>
                      <w:color w:val="auto"/>
                      <w:szCs w:val="21"/>
                      <w:lang w:val="en-US" w:eastAsia="zh-CN"/>
                    </w:rPr>
                    <w:t>56</w:t>
                  </w:r>
                </w:p>
              </w:tc>
            </w:tr>
            <w:tr w14:paraId="7C871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93" w:type="dxa"/>
                  <w:gridSpan w:val="5"/>
                  <w:noWrap w:val="0"/>
                  <w:vAlign w:val="center"/>
                </w:tcPr>
                <w:p w14:paraId="5BDC7EC0">
                  <w:pPr>
                    <w:jc w:val="center"/>
                    <w:rPr>
                      <w:rFonts w:ascii="Times New Roman" w:hAnsi="Times New Roman"/>
                      <w:color w:val="auto"/>
                      <w:szCs w:val="21"/>
                    </w:rPr>
                  </w:pPr>
                  <w:r>
                    <w:rPr>
                      <w:rFonts w:ascii="Times New Roman" w:hAnsi="Times New Roman"/>
                      <w:color w:val="auto"/>
                      <w:szCs w:val="21"/>
                    </w:rPr>
                    <w:t>项目Q值∑</w:t>
                  </w:r>
                </w:p>
              </w:tc>
              <w:tc>
                <w:tcPr>
                  <w:tcW w:w="1727" w:type="dxa"/>
                  <w:noWrap w:val="0"/>
                  <w:vAlign w:val="center"/>
                </w:tcPr>
                <w:p w14:paraId="6EB4AAC4">
                  <w:pPr>
                    <w:jc w:val="center"/>
                    <w:rPr>
                      <w:rFonts w:hint="default" w:ascii="Times New Roman" w:hAnsi="Times New Roman"/>
                      <w:color w:val="auto"/>
                      <w:szCs w:val="21"/>
                      <w:lang w:val="en-US"/>
                    </w:rPr>
                  </w:pPr>
                  <w:r>
                    <w:rPr>
                      <w:rFonts w:ascii="Times New Roman" w:hAnsi="Times New Roman"/>
                      <w:color w:val="auto"/>
                      <w:szCs w:val="21"/>
                    </w:rPr>
                    <w:t>0.0000</w:t>
                  </w:r>
                  <w:r>
                    <w:rPr>
                      <w:rFonts w:hint="eastAsia" w:ascii="Times New Roman" w:hAnsi="Times New Roman"/>
                      <w:color w:val="auto"/>
                      <w:szCs w:val="21"/>
                      <w:lang w:val="en-US" w:eastAsia="zh-CN"/>
                    </w:rPr>
                    <w:t>56</w:t>
                  </w:r>
                </w:p>
              </w:tc>
            </w:tr>
          </w:tbl>
          <w:p w14:paraId="7C682593">
            <w:pPr>
              <w:spacing w:line="360" w:lineRule="auto"/>
              <w:ind w:firstLine="480" w:firstLineChars="200"/>
              <w:rPr>
                <w:rFonts w:ascii="Times New Roman" w:hAnsi="Times New Roman"/>
                <w:color w:val="auto"/>
                <w:sz w:val="24"/>
              </w:rPr>
            </w:pPr>
            <w:r>
              <w:rPr>
                <w:rFonts w:ascii="Times New Roman" w:hAnsi="Times New Roman"/>
                <w:color w:val="auto"/>
                <w:sz w:val="24"/>
              </w:rPr>
              <w:t>根据《建设项目环境风险评价技术导则》（HJ169-2018），风险潜势为Ⅳ及以上，进行一级评价；风险潜势为Ⅲ，进行二级评价；风险潜势为Ⅱ，进行三级评价；风险潜势为Ⅰ，可开展简单分析。评价工作等级划分见下表。</w:t>
            </w:r>
          </w:p>
          <w:p w14:paraId="05CB5A0F">
            <w:pPr>
              <w:pStyle w:val="23"/>
              <w:jc w:val="center"/>
              <w:rPr>
                <w:rFonts w:ascii="Times New Roman" w:hAnsi="Times New Roman"/>
                <w:b/>
                <w:color w:val="auto"/>
                <w:sz w:val="21"/>
                <w:szCs w:val="21"/>
              </w:rPr>
            </w:pPr>
            <w:r>
              <w:rPr>
                <w:rFonts w:ascii="Times New Roman" w:hAnsi="Times New Roman"/>
                <w:b/>
                <w:color w:val="auto"/>
                <w:sz w:val="21"/>
                <w:szCs w:val="21"/>
              </w:rPr>
              <w:t>表4-</w:t>
            </w:r>
            <w:r>
              <w:rPr>
                <w:rFonts w:hint="eastAsia" w:ascii="Times New Roman" w:hAnsi="Times New Roman"/>
                <w:b/>
                <w:color w:val="auto"/>
                <w:sz w:val="21"/>
                <w:szCs w:val="21"/>
                <w:lang w:val="en-US" w:eastAsia="zh-CN"/>
              </w:rPr>
              <w:t xml:space="preserve">9 </w:t>
            </w:r>
            <w:r>
              <w:rPr>
                <w:rFonts w:ascii="Times New Roman" w:hAnsi="Times New Roman"/>
                <w:b/>
                <w:color w:val="auto"/>
                <w:sz w:val="21"/>
                <w:szCs w:val="21"/>
              </w:rPr>
              <w:t xml:space="preserve"> 评价工作等级划分</w:t>
            </w:r>
          </w:p>
          <w:tbl>
            <w:tblPr>
              <w:tblStyle w:val="1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95"/>
              <w:gridCol w:w="1669"/>
              <w:gridCol w:w="1585"/>
              <w:gridCol w:w="1585"/>
              <w:gridCol w:w="1586"/>
            </w:tblGrid>
            <w:tr w14:paraId="6A7C23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95" w:type="dxa"/>
                  <w:tcBorders>
                    <w:top w:val="single" w:color="000000" w:sz="4" w:space="0"/>
                    <w:left w:val="single" w:color="000000" w:sz="4" w:space="0"/>
                    <w:bottom w:val="single" w:color="000000" w:sz="4" w:space="0"/>
                    <w:right w:val="single" w:color="000000" w:sz="4" w:space="0"/>
                  </w:tcBorders>
                  <w:noWrap w:val="0"/>
                  <w:vAlign w:val="center"/>
                </w:tcPr>
                <w:p w14:paraId="387848AA">
                  <w:pPr>
                    <w:snapToGrid w:val="0"/>
                    <w:jc w:val="center"/>
                    <w:rPr>
                      <w:rFonts w:ascii="Times New Roman" w:hAnsi="Times New Roman"/>
                      <w:color w:val="auto"/>
                      <w:szCs w:val="21"/>
                    </w:rPr>
                  </w:pPr>
                  <w:r>
                    <w:rPr>
                      <w:rFonts w:ascii="Times New Roman" w:hAnsi="Times New Roman"/>
                      <w:color w:val="auto"/>
                      <w:szCs w:val="21"/>
                    </w:rPr>
                    <w:t>环境风险潜势</w:t>
                  </w:r>
                </w:p>
              </w:tc>
              <w:tc>
                <w:tcPr>
                  <w:tcW w:w="1669" w:type="dxa"/>
                  <w:tcBorders>
                    <w:top w:val="single" w:color="000000" w:sz="4" w:space="0"/>
                    <w:left w:val="single" w:color="000000" w:sz="4" w:space="0"/>
                    <w:bottom w:val="single" w:color="000000" w:sz="4" w:space="0"/>
                    <w:right w:val="single" w:color="000000" w:sz="4" w:space="0"/>
                  </w:tcBorders>
                  <w:noWrap w:val="0"/>
                  <w:vAlign w:val="center"/>
                </w:tcPr>
                <w:p w14:paraId="09164ECC">
                  <w:pPr>
                    <w:snapToGrid w:val="0"/>
                    <w:jc w:val="center"/>
                    <w:rPr>
                      <w:rFonts w:ascii="Times New Roman" w:hAnsi="Times New Roman"/>
                      <w:color w:val="auto"/>
                      <w:szCs w:val="21"/>
                    </w:rPr>
                  </w:pPr>
                  <w:r>
                    <w:rPr>
                      <w:rFonts w:ascii="Times New Roman" w:hAnsi="Times New Roman"/>
                      <w:color w:val="auto"/>
                      <w:szCs w:val="21"/>
                    </w:rPr>
                    <w:t>Ⅳ/Ⅳ</w:t>
                  </w:r>
                  <w:r>
                    <w:rPr>
                      <w:rFonts w:ascii="Times New Roman" w:hAnsi="Times New Roman"/>
                      <w:color w:val="auto"/>
                      <w:szCs w:val="21"/>
                      <w:vertAlign w:val="superscript"/>
                    </w:rPr>
                    <w:t>+</w:t>
                  </w:r>
                </w:p>
              </w:tc>
              <w:tc>
                <w:tcPr>
                  <w:tcW w:w="1585" w:type="dxa"/>
                  <w:tcBorders>
                    <w:top w:val="single" w:color="000000" w:sz="4" w:space="0"/>
                    <w:left w:val="single" w:color="000000" w:sz="4" w:space="0"/>
                    <w:bottom w:val="single" w:color="000000" w:sz="4" w:space="0"/>
                    <w:right w:val="single" w:color="000000" w:sz="4" w:space="0"/>
                  </w:tcBorders>
                  <w:noWrap w:val="0"/>
                  <w:vAlign w:val="center"/>
                </w:tcPr>
                <w:p w14:paraId="2A8A6A41">
                  <w:pPr>
                    <w:snapToGrid w:val="0"/>
                    <w:jc w:val="center"/>
                    <w:rPr>
                      <w:rFonts w:ascii="Times New Roman" w:hAnsi="Times New Roman"/>
                      <w:color w:val="auto"/>
                      <w:szCs w:val="21"/>
                    </w:rPr>
                  </w:pPr>
                  <w:r>
                    <w:rPr>
                      <w:rFonts w:ascii="Times New Roman" w:hAnsi="Times New Roman"/>
                      <w:color w:val="auto"/>
                      <w:szCs w:val="21"/>
                    </w:rPr>
                    <w:t>Ⅲ</w:t>
                  </w:r>
                </w:p>
              </w:tc>
              <w:tc>
                <w:tcPr>
                  <w:tcW w:w="1585" w:type="dxa"/>
                  <w:tcBorders>
                    <w:top w:val="single" w:color="000000" w:sz="4" w:space="0"/>
                    <w:left w:val="single" w:color="000000" w:sz="4" w:space="0"/>
                    <w:bottom w:val="single" w:color="000000" w:sz="4" w:space="0"/>
                    <w:right w:val="single" w:color="000000" w:sz="4" w:space="0"/>
                  </w:tcBorders>
                  <w:noWrap w:val="0"/>
                  <w:vAlign w:val="center"/>
                </w:tcPr>
                <w:p w14:paraId="48681702">
                  <w:pPr>
                    <w:snapToGrid w:val="0"/>
                    <w:jc w:val="center"/>
                    <w:rPr>
                      <w:rFonts w:ascii="Times New Roman" w:hAnsi="Times New Roman"/>
                      <w:color w:val="auto"/>
                      <w:szCs w:val="21"/>
                    </w:rPr>
                  </w:pPr>
                  <w:r>
                    <w:rPr>
                      <w:rFonts w:ascii="Times New Roman" w:hAnsi="Times New Roman"/>
                      <w:color w:val="auto"/>
                      <w:szCs w:val="21"/>
                    </w:rPr>
                    <w:t>Ⅱ</w:t>
                  </w:r>
                </w:p>
              </w:tc>
              <w:tc>
                <w:tcPr>
                  <w:tcW w:w="1586" w:type="dxa"/>
                  <w:tcBorders>
                    <w:top w:val="single" w:color="000000" w:sz="4" w:space="0"/>
                    <w:left w:val="single" w:color="000000" w:sz="4" w:space="0"/>
                    <w:bottom w:val="single" w:color="000000" w:sz="4" w:space="0"/>
                    <w:right w:val="single" w:color="000000" w:sz="4" w:space="0"/>
                  </w:tcBorders>
                  <w:noWrap w:val="0"/>
                  <w:vAlign w:val="center"/>
                </w:tcPr>
                <w:p w14:paraId="51FC6C73">
                  <w:pPr>
                    <w:snapToGrid w:val="0"/>
                    <w:jc w:val="center"/>
                    <w:rPr>
                      <w:rFonts w:ascii="Times New Roman" w:hAnsi="Times New Roman"/>
                      <w:color w:val="auto"/>
                      <w:szCs w:val="21"/>
                    </w:rPr>
                  </w:pPr>
                  <w:r>
                    <w:rPr>
                      <w:rFonts w:ascii="Times New Roman" w:hAnsi="Times New Roman"/>
                      <w:color w:val="auto"/>
                      <w:szCs w:val="21"/>
                    </w:rPr>
                    <w:t>Ⅰ</w:t>
                  </w:r>
                </w:p>
              </w:tc>
            </w:tr>
            <w:tr w14:paraId="509E8B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95" w:type="dxa"/>
                  <w:tcBorders>
                    <w:top w:val="single" w:color="000000" w:sz="4" w:space="0"/>
                    <w:left w:val="single" w:color="000000" w:sz="4" w:space="0"/>
                    <w:bottom w:val="single" w:color="000000" w:sz="4" w:space="0"/>
                    <w:right w:val="single" w:color="000000" w:sz="4" w:space="0"/>
                  </w:tcBorders>
                  <w:noWrap w:val="0"/>
                  <w:vAlign w:val="center"/>
                </w:tcPr>
                <w:p w14:paraId="47A81842">
                  <w:pPr>
                    <w:snapToGrid w:val="0"/>
                    <w:jc w:val="center"/>
                    <w:rPr>
                      <w:rFonts w:ascii="Times New Roman" w:hAnsi="Times New Roman"/>
                      <w:color w:val="auto"/>
                      <w:szCs w:val="21"/>
                    </w:rPr>
                  </w:pPr>
                  <w:r>
                    <w:rPr>
                      <w:rFonts w:ascii="Times New Roman" w:hAnsi="Times New Roman"/>
                      <w:color w:val="auto"/>
                      <w:szCs w:val="21"/>
                    </w:rPr>
                    <w:t>评价工作等级</w:t>
                  </w:r>
                </w:p>
              </w:tc>
              <w:tc>
                <w:tcPr>
                  <w:tcW w:w="1669" w:type="dxa"/>
                  <w:tcBorders>
                    <w:top w:val="single" w:color="000000" w:sz="4" w:space="0"/>
                    <w:left w:val="single" w:color="000000" w:sz="4" w:space="0"/>
                    <w:bottom w:val="single" w:color="000000" w:sz="4" w:space="0"/>
                    <w:right w:val="single" w:color="000000" w:sz="4" w:space="0"/>
                  </w:tcBorders>
                  <w:noWrap w:val="0"/>
                  <w:vAlign w:val="center"/>
                </w:tcPr>
                <w:p w14:paraId="7E2A4D53">
                  <w:pPr>
                    <w:snapToGrid w:val="0"/>
                    <w:jc w:val="center"/>
                    <w:rPr>
                      <w:rFonts w:ascii="Times New Roman" w:hAnsi="Times New Roman"/>
                      <w:color w:val="auto"/>
                      <w:szCs w:val="21"/>
                    </w:rPr>
                  </w:pPr>
                  <w:r>
                    <w:rPr>
                      <w:rFonts w:ascii="Times New Roman" w:hAnsi="Times New Roman"/>
                      <w:color w:val="auto"/>
                      <w:szCs w:val="21"/>
                    </w:rPr>
                    <w:t>一</w:t>
                  </w:r>
                </w:p>
              </w:tc>
              <w:tc>
                <w:tcPr>
                  <w:tcW w:w="1585" w:type="dxa"/>
                  <w:tcBorders>
                    <w:top w:val="single" w:color="000000" w:sz="4" w:space="0"/>
                    <w:left w:val="single" w:color="000000" w:sz="4" w:space="0"/>
                    <w:bottom w:val="single" w:color="000000" w:sz="4" w:space="0"/>
                    <w:right w:val="single" w:color="000000" w:sz="4" w:space="0"/>
                  </w:tcBorders>
                  <w:noWrap w:val="0"/>
                  <w:vAlign w:val="center"/>
                </w:tcPr>
                <w:p w14:paraId="57761611">
                  <w:pPr>
                    <w:snapToGrid w:val="0"/>
                    <w:jc w:val="center"/>
                    <w:rPr>
                      <w:rFonts w:ascii="Times New Roman" w:hAnsi="Times New Roman"/>
                      <w:color w:val="auto"/>
                      <w:szCs w:val="21"/>
                    </w:rPr>
                  </w:pPr>
                  <w:r>
                    <w:rPr>
                      <w:rFonts w:ascii="Times New Roman" w:hAnsi="Times New Roman"/>
                      <w:color w:val="auto"/>
                      <w:szCs w:val="21"/>
                    </w:rPr>
                    <w:t>二</w:t>
                  </w:r>
                </w:p>
              </w:tc>
              <w:tc>
                <w:tcPr>
                  <w:tcW w:w="1585" w:type="dxa"/>
                  <w:tcBorders>
                    <w:top w:val="single" w:color="000000" w:sz="4" w:space="0"/>
                    <w:left w:val="single" w:color="000000" w:sz="4" w:space="0"/>
                    <w:bottom w:val="single" w:color="000000" w:sz="4" w:space="0"/>
                    <w:right w:val="single" w:color="000000" w:sz="4" w:space="0"/>
                  </w:tcBorders>
                  <w:noWrap w:val="0"/>
                  <w:vAlign w:val="center"/>
                </w:tcPr>
                <w:p w14:paraId="0ED7068C">
                  <w:pPr>
                    <w:snapToGrid w:val="0"/>
                    <w:jc w:val="center"/>
                    <w:rPr>
                      <w:rFonts w:ascii="Times New Roman" w:hAnsi="Times New Roman"/>
                      <w:color w:val="auto"/>
                      <w:szCs w:val="21"/>
                    </w:rPr>
                  </w:pPr>
                  <w:r>
                    <w:rPr>
                      <w:rFonts w:ascii="Times New Roman" w:hAnsi="Times New Roman"/>
                      <w:color w:val="auto"/>
                      <w:szCs w:val="21"/>
                    </w:rPr>
                    <w:t>三</w:t>
                  </w:r>
                </w:p>
              </w:tc>
              <w:tc>
                <w:tcPr>
                  <w:tcW w:w="1586" w:type="dxa"/>
                  <w:tcBorders>
                    <w:top w:val="single" w:color="000000" w:sz="4" w:space="0"/>
                    <w:left w:val="single" w:color="000000" w:sz="4" w:space="0"/>
                    <w:bottom w:val="single" w:color="000000" w:sz="4" w:space="0"/>
                    <w:right w:val="single" w:color="000000" w:sz="4" w:space="0"/>
                  </w:tcBorders>
                  <w:noWrap w:val="0"/>
                  <w:vAlign w:val="center"/>
                </w:tcPr>
                <w:p w14:paraId="7E3A32E0">
                  <w:pPr>
                    <w:snapToGrid w:val="0"/>
                    <w:jc w:val="center"/>
                    <w:rPr>
                      <w:rFonts w:ascii="Times New Roman" w:hAnsi="Times New Roman"/>
                      <w:color w:val="auto"/>
                      <w:szCs w:val="21"/>
                    </w:rPr>
                  </w:pPr>
                  <w:r>
                    <w:rPr>
                      <w:rFonts w:ascii="Times New Roman" w:hAnsi="Times New Roman"/>
                      <w:color w:val="auto"/>
                      <w:szCs w:val="21"/>
                    </w:rPr>
                    <w:t>简单分析</w:t>
                  </w:r>
                  <w:r>
                    <w:rPr>
                      <w:rFonts w:ascii="Times New Roman" w:hAnsi="Times New Roman"/>
                      <w:color w:val="auto"/>
                      <w:szCs w:val="21"/>
                      <w:vertAlign w:val="superscript"/>
                    </w:rPr>
                    <w:t>a</w:t>
                  </w:r>
                </w:p>
              </w:tc>
            </w:tr>
            <w:tr w14:paraId="14B617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920" w:type="dxa"/>
                  <w:gridSpan w:val="5"/>
                  <w:tcBorders>
                    <w:top w:val="single" w:color="000000" w:sz="4" w:space="0"/>
                    <w:left w:val="single" w:color="000000" w:sz="4" w:space="0"/>
                    <w:bottom w:val="single" w:color="000000" w:sz="4" w:space="0"/>
                    <w:right w:val="single" w:color="000000" w:sz="4" w:space="0"/>
                  </w:tcBorders>
                  <w:noWrap w:val="0"/>
                  <w:vAlign w:val="center"/>
                </w:tcPr>
                <w:p w14:paraId="25764F7F">
                  <w:pPr>
                    <w:snapToGrid w:val="0"/>
                    <w:jc w:val="left"/>
                    <w:rPr>
                      <w:rFonts w:ascii="Times New Roman" w:hAnsi="Times New Roman"/>
                      <w:color w:val="auto"/>
                      <w:sz w:val="18"/>
                      <w:szCs w:val="18"/>
                    </w:rPr>
                  </w:pPr>
                  <w:r>
                    <w:rPr>
                      <w:rFonts w:ascii="Times New Roman" w:hAnsi="Times New Roman"/>
                      <w:color w:val="auto"/>
                      <w:sz w:val="18"/>
                      <w:szCs w:val="18"/>
                    </w:rPr>
                    <w:t>a是相对于详细评价工作内容而言，在描述危险物质、环境影响途径、环境危害后果、风险防范措施等方面给出定性的说明。</w:t>
                  </w:r>
                </w:p>
              </w:tc>
            </w:tr>
          </w:tbl>
          <w:p w14:paraId="168DFE75">
            <w:pPr>
              <w:spacing w:line="360" w:lineRule="auto"/>
              <w:ind w:firstLine="480" w:firstLineChars="200"/>
              <w:rPr>
                <w:rFonts w:ascii="Times New Roman" w:hAnsi="Times New Roman"/>
                <w:color w:val="auto"/>
                <w:sz w:val="24"/>
              </w:rPr>
            </w:pPr>
            <w:r>
              <w:rPr>
                <w:rFonts w:ascii="Times New Roman" w:hAnsi="Times New Roman"/>
                <w:color w:val="auto"/>
                <w:sz w:val="24"/>
              </w:rPr>
              <w:t>根据《建设项目环境风险评价技术导则》（HJ169-2018）相关规定，本项目风险潜势为Ⅰ，评价等级为简单分析。</w:t>
            </w:r>
          </w:p>
          <w:p w14:paraId="1439B0AD">
            <w:pPr>
              <w:spacing w:line="360" w:lineRule="auto"/>
              <w:ind w:firstLine="480" w:firstLineChars="200"/>
              <w:rPr>
                <w:rFonts w:hint="eastAsia" w:ascii="Times New Roman" w:hAnsi="Times New Roman"/>
                <w:color w:val="auto"/>
                <w:sz w:val="24"/>
              </w:rPr>
            </w:pPr>
            <w:r>
              <w:rPr>
                <w:rFonts w:hint="eastAsia" w:ascii="Times New Roman" w:hAnsi="Times New Roman"/>
                <w:color w:val="auto"/>
                <w:sz w:val="24"/>
              </w:rPr>
              <w:t>本项目施工期间可能存在的环境风险为危险废物（废润滑油）泄漏，</w:t>
            </w:r>
            <w:r>
              <w:rPr>
                <w:rFonts w:hint="eastAsia" w:ascii="Times New Roman" w:hAnsi="Times New Roman"/>
                <w:color w:val="auto"/>
                <w:sz w:val="24"/>
                <w:lang w:val="en-US" w:eastAsia="zh-CN"/>
              </w:rPr>
              <w:t>项目危废依托朱集西煤矿现有危废暂存库，</w:t>
            </w:r>
            <w:r>
              <w:rPr>
                <w:rFonts w:hint="eastAsia" w:ascii="Times New Roman" w:hAnsi="Times New Roman"/>
                <w:color w:val="auto"/>
                <w:sz w:val="24"/>
              </w:rPr>
              <w:t>危废暂存库建设</w:t>
            </w:r>
            <w:r>
              <w:rPr>
                <w:rFonts w:hint="eastAsia" w:ascii="Times New Roman" w:hAnsi="Times New Roman"/>
                <w:color w:val="auto"/>
                <w:sz w:val="24"/>
                <w:lang w:val="en-US" w:eastAsia="zh-CN"/>
              </w:rPr>
              <w:t>满足</w:t>
            </w:r>
            <w:r>
              <w:rPr>
                <w:rFonts w:hint="eastAsia" w:ascii="Times New Roman" w:hAnsi="Times New Roman"/>
                <w:color w:val="auto"/>
                <w:sz w:val="24"/>
              </w:rPr>
              <w:t>标准要求，项目发生危废泄漏的可能性很小，即使发生少量泄漏也能进行有效收集，不会对周边环境产生影响。项目施工竖井钻孔过程中下入石油套管，并用水泥固结牢固，使用的水泥及钻井泥浆均不属于环境风险物质，且浆液输送采用密闭的管道进行输送，不会发生冒浆跑浆事件。</w:t>
            </w:r>
          </w:p>
          <w:p w14:paraId="726B0946">
            <w:pPr>
              <w:spacing w:line="360" w:lineRule="auto"/>
              <w:ind w:firstLine="480" w:firstLineChars="200"/>
              <w:rPr>
                <w:rFonts w:hint="eastAsia" w:ascii="Times New Roman" w:hAnsi="Times New Roman"/>
                <w:color w:val="auto"/>
                <w:sz w:val="24"/>
              </w:rPr>
            </w:pPr>
            <w:r>
              <w:rPr>
                <w:rFonts w:hint="eastAsia" w:ascii="Times New Roman" w:hAnsi="Times New Roman"/>
                <w:color w:val="auto"/>
                <w:sz w:val="24"/>
              </w:rPr>
              <w:t>建设单位在施工时还应着重做好以下措施，防范环境风险：</w:t>
            </w:r>
          </w:p>
          <w:p w14:paraId="128D9AED">
            <w:pPr>
              <w:spacing w:line="360" w:lineRule="auto"/>
              <w:ind w:firstLine="480" w:firstLineChars="200"/>
              <w:rPr>
                <w:rFonts w:hint="eastAsia" w:ascii="Times New Roman" w:hAnsi="Times New Roman"/>
                <w:color w:val="auto"/>
                <w:sz w:val="24"/>
              </w:rPr>
            </w:pPr>
            <w:r>
              <w:rPr>
                <w:rFonts w:hint="eastAsia" w:ascii="Times New Roman" w:hAnsi="Times New Roman"/>
                <w:color w:val="auto"/>
                <w:sz w:val="24"/>
              </w:rPr>
              <w:t>（1）建立健全管理机制和机构，全面落实安全生产责任制，并严格执行。</w:t>
            </w:r>
          </w:p>
          <w:p w14:paraId="3E93ADE5">
            <w:pPr>
              <w:spacing w:line="360" w:lineRule="auto"/>
              <w:rPr>
                <w:rFonts w:hint="eastAsia" w:ascii="Times New Roman" w:hAnsi="Times New Roman"/>
                <w:color w:val="auto"/>
                <w:sz w:val="24"/>
              </w:rPr>
            </w:pPr>
            <w:r>
              <w:rPr>
                <w:rFonts w:hint="eastAsia" w:ascii="Times New Roman" w:hAnsi="Times New Roman"/>
                <w:color w:val="auto"/>
                <w:sz w:val="24"/>
              </w:rPr>
              <w:t>补充和完善现有的安全管理制度、岗位安全操作规程和作业安全规程。严格执行安全监督检查制度。认真做好用油设备的日查、周查、月查安全检查记录，对发现的异常情况安全隐患必须及时报告并在符合安全条件的情况下立即整改。</w:t>
            </w:r>
          </w:p>
          <w:p w14:paraId="6E83B631">
            <w:pPr>
              <w:spacing w:line="360" w:lineRule="auto"/>
              <w:ind w:firstLine="480" w:firstLineChars="200"/>
              <w:rPr>
                <w:rFonts w:hint="eastAsia" w:ascii="Times New Roman" w:hAnsi="Times New Roman"/>
                <w:color w:val="auto"/>
                <w:sz w:val="24"/>
              </w:rPr>
            </w:pPr>
            <w:r>
              <w:rPr>
                <w:rFonts w:hint="eastAsia" w:ascii="Times New Roman" w:hAnsi="Times New Roman"/>
                <w:color w:val="auto"/>
                <w:sz w:val="24"/>
              </w:rPr>
              <w:t>（2）加强对职工的安全、环保、事故应急处理、消防、个人安全防护知识和职工操作技能的教育培训工作。实行全员培训，定期考核、持证上岗。</w:t>
            </w:r>
          </w:p>
          <w:p w14:paraId="3F5DF73D">
            <w:pPr>
              <w:spacing w:line="360" w:lineRule="auto"/>
              <w:ind w:firstLine="480" w:firstLineChars="200"/>
              <w:rPr>
                <w:rFonts w:hint="eastAsia" w:ascii="Times New Roman" w:hAnsi="Times New Roman"/>
                <w:color w:val="auto"/>
                <w:sz w:val="24"/>
              </w:rPr>
            </w:pPr>
            <w:r>
              <w:rPr>
                <w:rFonts w:hint="eastAsia" w:ascii="Times New Roman" w:hAnsi="Times New Roman"/>
                <w:color w:val="auto"/>
                <w:sz w:val="24"/>
              </w:rPr>
              <w:t>（3）严格危废管理，规范收集，及时处置，尽量减少危废在施工场地的暂存时间。</w:t>
            </w:r>
          </w:p>
          <w:p w14:paraId="12CEF146">
            <w:pPr>
              <w:spacing w:line="360" w:lineRule="auto"/>
              <w:ind w:firstLine="480" w:firstLineChars="200"/>
              <w:rPr>
                <w:rFonts w:hint="eastAsia" w:ascii="Times New Roman" w:hAnsi="Times New Roman"/>
                <w:color w:val="auto"/>
                <w:sz w:val="24"/>
              </w:rPr>
            </w:pPr>
            <w:r>
              <w:rPr>
                <w:rFonts w:hint="eastAsia" w:ascii="Times New Roman" w:hAnsi="Times New Roman"/>
                <w:color w:val="auto"/>
                <w:sz w:val="24"/>
                <w:lang w:eastAsia="zh-CN"/>
              </w:rPr>
              <w:t>（</w:t>
            </w:r>
            <w:r>
              <w:rPr>
                <w:rFonts w:hint="eastAsia" w:ascii="Times New Roman" w:hAnsi="Times New Roman"/>
                <w:color w:val="auto"/>
                <w:sz w:val="24"/>
                <w:lang w:val="en-US" w:eastAsia="zh-CN"/>
              </w:rPr>
              <w:t>4）为防止钻井过程中可能发生的甲烷气体溢出，在钻井井口需设置甲烷气体监测设备，并在钻井平台设置灭火器材。严格管理火种，划定禁火区，严禁携带火种进入禁火区内。</w:t>
            </w:r>
          </w:p>
          <w:p w14:paraId="4800CA67">
            <w:pPr>
              <w:pStyle w:val="38"/>
              <w:ind w:firstLine="480"/>
              <w:jc w:val="both"/>
              <w:rPr>
                <w:rFonts w:ascii="Times New Roman" w:hAnsi="Times New Roman"/>
                <w:color w:val="auto"/>
                <w:sz w:val="24"/>
                <w:szCs w:val="24"/>
                <w:lang w:eastAsia="zh-CN"/>
              </w:rPr>
            </w:pPr>
            <w:r>
              <w:rPr>
                <w:rFonts w:ascii="Times New Roman" w:hAnsi="Times New Roman"/>
                <w:color w:val="auto"/>
                <w:sz w:val="24"/>
                <w:szCs w:val="24"/>
                <w:lang w:eastAsia="zh-CN"/>
              </w:rPr>
              <w:t>本工程环境风险简单分析表见下表。</w:t>
            </w:r>
          </w:p>
          <w:p w14:paraId="4CEE2136">
            <w:pPr>
              <w:pStyle w:val="39"/>
              <w:rPr>
                <w:rFonts w:hint="default" w:ascii="Times New Roman" w:hAnsi="Times New Roman" w:eastAsia="宋体"/>
                <w:b/>
                <w:color w:val="auto"/>
                <w:sz w:val="21"/>
                <w:szCs w:val="21"/>
                <w:lang w:eastAsia="zh-CN"/>
              </w:rPr>
            </w:pPr>
          </w:p>
          <w:p w14:paraId="76453F74">
            <w:pPr>
              <w:pStyle w:val="39"/>
              <w:rPr>
                <w:rFonts w:hint="default" w:ascii="Times New Roman" w:hAnsi="Times New Roman" w:eastAsia="宋体"/>
                <w:b/>
                <w:color w:val="auto"/>
                <w:sz w:val="21"/>
                <w:szCs w:val="21"/>
                <w:lang w:eastAsia="zh-CN"/>
              </w:rPr>
            </w:pPr>
            <w:r>
              <w:rPr>
                <w:rFonts w:hint="default" w:ascii="Times New Roman" w:hAnsi="Times New Roman" w:eastAsia="宋体"/>
                <w:b/>
                <w:color w:val="auto"/>
                <w:sz w:val="21"/>
                <w:szCs w:val="21"/>
                <w:lang w:eastAsia="zh-CN"/>
              </w:rPr>
              <w:t>表4-</w:t>
            </w:r>
            <w:r>
              <w:rPr>
                <w:rFonts w:hint="eastAsia" w:ascii="Times New Roman" w:hAnsi="Times New Roman" w:eastAsia="宋体"/>
                <w:b/>
                <w:color w:val="auto"/>
                <w:sz w:val="21"/>
                <w:szCs w:val="21"/>
                <w:lang w:val="en-US" w:eastAsia="zh-CN"/>
              </w:rPr>
              <w:t>10</w:t>
            </w:r>
            <w:r>
              <w:rPr>
                <w:rFonts w:ascii="Times New Roman" w:hAnsi="Times New Roman" w:eastAsia="宋体"/>
                <w:b/>
                <w:color w:val="auto"/>
                <w:sz w:val="21"/>
                <w:szCs w:val="21"/>
                <w:lang w:eastAsia="zh-CN"/>
              </w:rPr>
              <w:t xml:space="preserve"> </w:t>
            </w:r>
            <w:r>
              <w:rPr>
                <w:rFonts w:hint="default" w:ascii="Times New Roman" w:hAnsi="Times New Roman" w:eastAsia="宋体"/>
                <w:b/>
                <w:color w:val="auto"/>
                <w:sz w:val="21"/>
                <w:szCs w:val="21"/>
                <w:lang w:eastAsia="zh-CN"/>
              </w:rPr>
              <w:t xml:space="preserve"> 建设项目环境风险简单分析内容表</w:t>
            </w:r>
          </w:p>
          <w:tbl>
            <w:tblPr>
              <w:tblStyle w:val="1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00"/>
              <w:gridCol w:w="1411"/>
              <w:gridCol w:w="1407"/>
              <w:gridCol w:w="1278"/>
              <w:gridCol w:w="1272"/>
              <w:gridCol w:w="1152"/>
            </w:tblGrid>
            <w:tr w14:paraId="47A156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00" w:type="dxa"/>
                  <w:tcBorders>
                    <w:top w:val="single" w:color="000000" w:sz="4" w:space="0"/>
                    <w:left w:val="single" w:color="000000" w:sz="4" w:space="0"/>
                    <w:bottom w:val="single" w:color="000000" w:sz="4" w:space="0"/>
                    <w:right w:val="single" w:color="000000" w:sz="4" w:space="0"/>
                  </w:tcBorders>
                  <w:noWrap w:val="0"/>
                  <w:vAlign w:val="center"/>
                </w:tcPr>
                <w:p w14:paraId="2FC71004">
                  <w:pPr>
                    <w:jc w:val="center"/>
                    <w:rPr>
                      <w:rFonts w:ascii="Times New Roman" w:hAnsi="Times New Roman"/>
                      <w:color w:val="auto"/>
                      <w:szCs w:val="21"/>
                    </w:rPr>
                  </w:pPr>
                  <w:r>
                    <w:rPr>
                      <w:rFonts w:ascii="Times New Roman" w:hAnsi="Times New Roman"/>
                      <w:color w:val="auto"/>
                      <w:szCs w:val="21"/>
                    </w:rPr>
                    <w:t>建设项目名称</w:t>
                  </w:r>
                </w:p>
              </w:tc>
              <w:tc>
                <w:tcPr>
                  <w:tcW w:w="6520" w:type="dxa"/>
                  <w:gridSpan w:val="5"/>
                  <w:tcBorders>
                    <w:top w:val="single" w:color="000000" w:sz="4" w:space="0"/>
                    <w:left w:val="single" w:color="000000" w:sz="4" w:space="0"/>
                    <w:bottom w:val="single" w:color="000000" w:sz="4" w:space="0"/>
                    <w:right w:val="single" w:color="000000" w:sz="4" w:space="0"/>
                  </w:tcBorders>
                  <w:noWrap w:val="0"/>
                  <w:vAlign w:val="center"/>
                </w:tcPr>
                <w:p w14:paraId="6A006228">
                  <w:pPr>
                    <w:jc w:val="center"/>
                    <w:rPr>
                      <w:rFonts w:ascii="Times New Roman" w:hAnsi="Times New Roman"/>
                      <w:color w:val="auto"/>
                      <w:szCs w:val="21"/>
                    </w:rPr>
                  </w:pPr>
                  <w:r>
                    <w:rPr>
                      <w:rFonts w:ascii="Times New Roman" w:hAnsi="Times New Roman"/>
                      <w:color w:val="auto"/>
                      <w:szCs w:val="21"/>
                    </w:rPr>
                    <w:t>朱集西煤矿11</w:t>
                  </w:r>
                  <w:r>
                    <w:rPr>
                      <w:rFonts w:hint="eastAsia" w:ascii="Times New Roman" w:hAnsi="Times New Roman"/>
                      <w:color w:val="auto"/>
                      <w:szCs w:val="21"/>
                      <w:lang w:val="en-US" w:eastAsia="zh-CN"/>
                    </w:rPr>
                    <w:t>4</w:t>
                  </w:r>
                  <w:r>
                    <w:rPr>
                      <w:rFonts w:ascii="Times New Roman" w:hAnsi="Times New Roman"/>
                      <w:color w:val="auto"/>
                      <w:szCs w:val="21"/>
                    </w:rPr>
                    <w:t>04工作面地面钻井项目</w:t>
                  </w:r>
                </w:p>
              </w:tc>
            </w:tr>
            <w:tr w14:paraId="5F183E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00" w:type="dxa"/>
                  <w:tcBorders>
                    <w:top w:val="single" w:color="000000" w:sz="4" w:space="0"/>
                    <w:left w:val="single" w:color="000000" w:sz="4" w:space="0"/>
                    <w:bottom w:val="single" w:color="000000" w:sz="4" w:space="0"/>
                    <w:right w:val="single" w:color="000000" w:sz="4" w:space="0"/>
                  </w:tcBorders>
                  <w:noWrap w:val="0"/>
                  <w:vAlign w:val="center"/>
                </w:tcPr>
                <w:p w14:paraId="693B736C">
                  <w:pPr>
                    <w:jc w:val="center"/>
                    <w:rPr>
                      <w:rFonts w:ascii="Times New Roman" w:hAnsi="Times New Roman"/>
                      <w:color w:val="auto"/>
                      <w:szCs w:val="21"/>
                    </w:rPr>
                  </w:pPr>
                  <w:r>
                    <w:rPr>
                      <w:rFonts w:ascii="Times New Roman" w:hAnsi="Times New Roman"/>
                      <w:color w:val="auto"/>
                      <w:szCs w:val="21"/>
                    </w:rPr>
                    <w:t>建设地点</w:t>
                  </w:r>
                </w:p>
              </w:tc>
              <w:tc>
                <w:tcPr>
                  <w:tcW w:w="1411" w:type="dxa"/>
                  <w:tcBorders>
                    <w:top w:val="single" w:color="000000" w:sz="4" w:space="0"/>
                    <w:left w:val="single" w:color="000000" w:sz="4" w:space="0"/>
                    <w:bottom w:val="single" w:color="000000" w:sz="4" w:space="0"/>
                    <w:right w:val="single" w:color="000000" w:sz="4" w:space="0"/>
                  </w:tcBorders>
                  <w:noWrap w:val="0"/>
                  <w:vAlign w:val="center"/>
                </w:tcPr>
                <w:p w14:paraId="344D7E23">
                  <w:pPr>
                    <w:jc w:val="center"/>
                    <w:rPr>
                      <w:rFonts w:ascii="Times New Roman" w:hAnsi="Times New Roman"/>
                      <w:color w:val="auto"/>
                      <w:szCs w:val="21"/>
                    </w:rPr>
                  </w:pPr>
                  <w:r>
                    <w:rPr>
                      <w:rFonts w:ascii="Times New Roman" w:hAnsi="Times New Roman"/>
                      <w:color w:val="auto"/>
                      <w:szCs w:val="21"/>
                    </w:rPr>
                    <w:t>（安徽）省</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14:paraId="68151685">
                  <w:pPr>
                    <w:jc w:val="center"/>
                    <w:rPr>
                      <w:rFonts w:ascii="Times New Roman" w:hAnsi="Times New Roman"/>
                      <w:color w:val="auto"/>
                      <w:szCs w:val="21"/>
                    </w:rPr>
                  </w:pPr>
                  <w:r>
                    <w:rPr>
                      <w:rFonts w:ascii="Times New Roman" w:hAnsi="Times New Roman"/>
                      <w:color w:val="auto"/>
                      <w:szCs w:val="21"/>
                    </w:rPr>
                    <w:t>（淮南）市</w:t>
                  </w:r>
                </w:p>
              </w:tc>
              <w:tc>
                <w:tcPr>
                  <w:tcW w:w="1278" w:type="dxa"/>
                  <w:tcBorders>
                    <w:top w:val="single" w:color="000000" w:sz="4" w:space="0"/>
                    <w:left w:val="single" w:color="000000" w:sz="4" w:space="0"/>
                    <w:bottom w:val="single" w:color="000000" w:sz="4" w:space="0"/>
                    <w:right w:val="single" w:color="000000" w:sz="4" w:space="0"/>
                  </w:tcBorders>
                  <w:noWrap w:val="0"/>
                  <w:vAlign w:val="center"/>
                </w:tcPr>
                <w:p w14:paraId="7730B3DF">
                  <w:pPr>
                    <w:jc w:val="center"/>
                    <w:rPr>
                      <w:rFonts w:ascii="Times New Roman" w:hAnsi="Times New Roman"/>
                      <w:color w:val="auto"/>
                      <w:szCs w:val="21"/>
                    </w:rPr>
                  </w:pPr>
                  <w:r>
                    <w:rPr>
                      <w:rFonts w:ascii="Times New Roman" w:hAnsi="Times New Roman"/>
                      <w:color w:val="auto"/>
                      <w:szCs w:val="21"/>
                    </w:rPr>
                    <w:t>（潘集）区</w:t>
                  </w:r>
                </w:p>
              </w:tc>
              <w:tc>
                <w:tcPr>
                  <w:tcW w:w="1272" w:type="dxa"/>
                  <w:tcBorders>
                    <w:top w:val="single" w:color="000000" w:sz="4" w:space="0"/>
                    <w:left w:val="single" w:color="000000" w:sz="4" w:space="0"/>
                    <w:bottom w:val="single" w:color="000000" w:sz="4" w:space="0"/>
                    <w:right w:val="single" w:color="000000" w:sz="4" w:space="0"/>
                  </w:tcBorders>
                  <w:noWrap w:val="0"/>
                  <w:vAlign w:val="center"/>
                </w:tcPr>
                <w:p w14:paraId="6C216F68">
                  <w:pPr>
                    <w:jc w:val="center"/>
                    <w:rPr>
                      <w:rFonts w:ascii="Times New Roman" w:hAnsi="Times New Roman"/>
                      <w:color w:val="auto"/>
                      <w:szCs w:val="21"/>
                    </w:rPr>
                  </w:pPr>
                  <w:r>
                    <w:rPr>
                      <w:rFonts w:ascii="Times New Roman" w:hAnsi="Times New Roman"/>
                      <w:color w:val="auto"/>
                      <w:szCs w:val="21"/>
                    </w:rPr>
                    <w:t>（）县</w:t>
                  </w:r>
                </w:p>
              </w:tc>
              <w:tc>
                <w:tcPr>
                  <w:tcW w:w="1152" w:type="dxa"/>
                  <w:tcBorders>
                    <w:top w:val="single" w:color="000000" w:sz="4" w:space="0"/>
                    <w:left w:val="single" w:color="000000" w:sz="4" w:space="0"/>
                    <w:bottom w:val="single" w:color="000000" w:sz="4" w:space="0"/>
                    <w:right w:val="single" w:color="000000" w:sz="4" w:space="0"/>
                  </w:tcBorders>
                  <w:noWrap w:val="0"/>
                  <w:vAlign w:val="center"/>
                </w:tcPr>
                <w:p w14:paraId="3A260B9B">
                  <w:pPr>
                    <w:jc w:val="center"/>
                    <w:rPr>
                      <w:rFonts w:ascii="Times New Roman" w:hAnsi="Times New Roman"/>
                      <w:color w:val="auto"/>
                      <w:szCs w:val="21"/>
                    </w:rPr>
                  </w:pPr>
                  <w:r>
                    <w:rPr>
                      <w:rFonts w:ascii="Times New Roman" w:hAnsi="Times New Roman"/>
                      <w:color w:val="auto"/>
                      <w:szCs w:val="21"/>
                    </w:rPr>
                    <w:t>（）园区</w:t>
                  </w:r>
                </w:p>
              </w:tc>
            </w:tr>
            <w:tr w14:paraId="7FE227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00" w:type="dxa"/>
                  <w:tcBorders>
                    <w:top w:val="single" w:color="000000" w:sz="4" w:space="0"/>
                    <w:left w:val="single" w:color="000000" w:sz="4" w:space="0"/>
                    <w:bottom w:val="single" w:color="000000" w:sz="4" w:space="0"/>
                    <w:right w:val="single" w:color="000000" w:sz="4" w:space="0"/>
                  </w:tcBorders>
                  <w:noWrap w:val="0"/>
                  <w:vAlign w:val="center"/>
                </w:tcPr>
                <w:p w14:paraId="451DC7C6">
                  <w:pPr>
                    <w:jc w:val="center"/>
                    <w:rPr>
                      <w:rFonts w:ascii="Times New Roman" w:hAnsi="Times New Roman"/>
                      <w:color w:val="auto"/>
                      <w:szCs w:val="21"/>
                    </w:rPr>
                  </w:pPr>
                  <w:r>
                    <w:rPr>
                      <w:rFonts w:ascii="Times New Roman" w:hAnsi="Times New Roman"/>
                      <w:color w:val="auto"/>
                      <w:szCs w:val="21"/>
                    </w:rPr>
                    <w:t>主要危险物质及分布</w:t>
                  </w:r>
                </w:p>
              </w:tc>
              <w:tc>
                <w:tcPr>
                  <w:tcW w:w="6520" w:type="dxa"/>
                  <w:gridSpan w:val="5"/>
                  <w:tcBorders>
                    <w:top w:val="single" w:color="000000" w:sz="4" w:space="0"/>
                    <w:left w:val="single" w:color="000000" w:sz="4" w:space="0"/>
                    <w:bottom w:val="single" w:color="000000" w:sz="4" w:space="0"/>
                    <w:right w:val="single" w:color="000000" w:sz="4" w:space="0"/>
                  </w:tcBorders>
                  <w:noWrap w:val="0"/>
                  <w:vAlign w:val="center"/>
                </w:tcPr>
                <w:p w14:paraId="5510024F">
                  <w:pPr>
                    <w:jc w:val="left"/>
                    <w:rPr>
                      <w:rFonts w:ascii="Times New Roman" w:hAnsi="Times New Roman"/>
                      <w:color w:val="auto"/>
                      <w:szCs w:val="21"/>
                    </w:rPr>
                  </w:pPr>
                  <w:r>
                    <w:rPr>
                      <w:rFonts w:ascii="Times New Roman" w:hAnsi="Times New Roman"/>
                      <w:color w:val="auto"/>
                      <w:szCs w:val="21"/>
                    </w:rPr>
                    <w:t>本工程施工期涉及的危险物质主要为废润滑油</w:t>
                  </w:r>
                  <w:r>
                    <w:rPr>
                      <w:rFonts w:hint="eastAsia" w:ascii="Times New Roman" w:hAnsi="Times New Roman"/>
                      <w:color w:val="auto"/>
                      <w:szCs w:val="21"/>
                    </w:rPr>
                    <w:t>及</w:t>
                  </w:r>
                  <w:r>
                    <w:rPr>
                      <w:rFonts w:ascii="Times New Roman" w:hAnsi="Times New Roman"/>
                      <w:color w:val="auto"/>
                      <w:szCs w:val="21"/>
                    </w:rPr>
                    <w:t>钻井过程中可能发生的甲烷气体溢出</w:t>
                  </w:r>
                </w:p>
              </w:tc>
            </w:tr>
            <w:tr w14:paraId="716EA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16" w:hRule="atLeast"/>
              </w:trPr>
              <w:tc>
                <w:tcPr>
                  <w:tcW w:w="1400" w:type="dxa"/>
                  <w:tcBorders>
                    <w:top w:val="single" w:color="000000" w:sz="4" w:space="0"/>
                    <w:left w:val="single" w:color="000000" w:sz="4" w:space="0"/>
                    <w:bottom w:val="single" w:color="000000" w:sz="4" w:space="0"/>
                    <w:right w:val="single" w:color="000000" w:sz="4" w:space="0"/>
                  </w:tcBorders>
                  <w:noWrap w:val="0"/>
                  <w:vAlign w:val="center"/>
                </w:tcPr>
                <w:p w14:paraId="6D6B3BE0">
                  <w:pPr>
                    <w:jc w:val="center"/>
                    <w:rPr>
                      <w:rFonts w:ascii="Times New Roman" w:hAnsi="Times New Roman"/>
                      <w:color w:val="auto"/>
                      <w:szCs w:val="21"/>
                    </w:rPr>
                  </w:pPr>
                  <w:r>
                    <w:rPr>
                      <w:rFonts w:ascii="Times New Roman" w:hAnsi="Times New Roman"/>
                      <w:color w:val="auto"/>
                      <w:szCs w:val="21"/>
                    </w:rPr>
                    <w:t>环境影响途径及危害后果（大气、地表水、地下水等）</w:t>
                  </w:r>
                </w:p>
              </w:tc>
              <w:tc>
                <w:tcPr>
                  <w:tcW w:w="6520" w:type="dxa"/>
                  <w:gridSpan w:val="5"/>
                  <w:tcBorders>
                    <w:top w:val="single" w:color="000000" w:sz="4" w:space="0"/>
                    <w:left w:val="single" w:color="000000" w:sz="4" w:space="0"/>
                    <w:bottom w:val="single" w:color="000000" w:sz="4" w:space="0"/>
                    <w:right w:val="single" w:color="000000" w:sz="4" w:space="0"/>
                  </w:tcBorders>
                  <w:noWrap w:val="0"/>
                  <w:vAlign w:val="center"/>
                </w:tcPr>
                <w:p w14:paraId="03650AA7">
                  <w:pPr>
                    <w:jc w:val="left"/>
                    <w:rPr>
                      <w:rFonts w:ascii="Times New Roman" w:hAnsi="Times New Roman"/>
                      <w:color w:val="auto"/>
                      <w:szCs w:val="21"/>
                    </w:rPr>
                  </w:pPr>
                  <w:r>
                    <w:rPr>
                      <w:rFonts w:ascii="Times New Roman" w:hAnsi="Times New Roman"/>
                      <w:color w:val="auto"/>
                      <w:szCs w:val="21"/>
                    </w:rPr>
                    <w:t>本工程风险源主要为危险物质泄漏。</w:t>
                  </w:r>
                  <w:r>
                    <w:rPr>
                      <w:rFonts w:hint="eastAsia" w:ascii="Times New Roman" w:hAnsi="Times New Roman"/>
                      <w:color w:val="auto"/>
                      <w:szCs w:val="21"/>
                    </w:rPr>
                    <w:t>废</w:t>
                  </w:r>
                  <w:r>
                    <w:rPr>
                      <w:rFonts w:hint="eastAsia" w:ascii="Times New Roman" w:hAnsi="Times New Roman"/>
                      <w:color w:val="auto"/>
                      <w:szCs w:val="21"/>
                      <w:lang w:val="en-US" w:eastAsia="zh-CN"/>
                    </w:rPr>
                    <w:t>润滑</w:t>
                  </w:r>
                  <w:r>
                    <w:rPr>
                      <w:rFonts w:hint="eastAsia" w:ascii="Times New Roman" w:hAnsi="Times New Roman"/>
                      <w:color w:val="auto"/>
                      <w:szCs w:val="21"/>
                    </w:rPr>
                    <w:t>油如不采取防滴漏、泄露等措施，可能会导致废</w:t>
                  </w:r>
                  <w:r>
                    <w:rPr>
                      <w:rFonts w:hint="eastAsia" w:ascii="Times New Roman" w:hAnsi="Times New Roman"/>
                      <w:color w:val="auto"/>
                      <w:szCs w:val="21"/>
                      <w:lang w:val="en-US" w:eastAsia="zh-CN"/>
                    </w:rPr>
                    <w:t>润滑</w:t>
                  </w:r>
                  <w:r>
                    <w:rPr>
                      <w:rFonts w:hint="eastAsia" w:ascii="Times New Roman" w:hAnsi="Times New Roman"/>
                      <w:color w:val="auto"/>
                      <w:szCs w:val="21"/>
                    </w:rPr>
                    <w:t>油泄露，对周边环境造成污染</w:t>
                  </w:r>
                  <w:r>
                    <w:rPr>
                      <w:rFonts w:ascii="Times New Roman" w:hAnsi="Times New Roman"/>
                      <w:color w:val="auto"/>
                      <w:szCs w:val="21"/>
                    </w:rPr>
                    <w:t>。钻井过程中可能发生的甲烷气体溢出可能引起火灾爆炸</w:t>
                  </w:r>
                  <w:r>
                    <w:rPr>
                      <w:rFonts w:hint="eastAsia" w:ascii="Times New Roman" w:hAnsi="Times New Roman"/>
                      <w:color w:val="auto"/>
                      <w:szCs w:val="21"/>
                    </w:rPr>
                    <w:t>。</w:t>
                  </w:r>
                </w:p>
              </w:tc>
            </w:tr>
            <w:tr w14:paraId="17AC11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6" w:hRule="atLeast"/>
              </w:trPr>
              <w:tc>
                <w:tcPr>
                  <w:tcW w:w="1400" w:type="dxa"/>
                  <w:tcBorders>
                    <w:top w:val="single" w:color="000000" w:sz="4" w:space="0"/>
                    <w:left w:val="single" w:color="000000" w:sz="4" w:space="0"/>
                    <w:bottom w:val="single" w:color="auto" w:sz="4" w:space="0"/>
                    <w:right w:val="single" w:color="000000" w:sz="4" w:space="0"/>
                  </w:tcBorders>
                  <w:noWrap w:val="0"/>
                  <w:vAlign w:val="center"/>
                </w:tcPr>
                <w:p w14:paraId="08C76868">
                  <w:pPr>
                    <w:jc w:val="center"/>
                    <w:rPr>
                      <w:rFonts w:ascii="Times New Roman" w:hAnsi="Times New Roman"/>
                      <w:color w:val="auto"/>
                      <w:szCs w:val="21"/>
                    </w:rPr>
                  </w:pPr>
                  <w:r>
                    <w:rPr>
                      <w:rFonts w:ascii="Times New Roman" w:hAnsi="Times New Roman"/>
                      <w:color w:val="auto"/>
                      <w:szCs w:val="21"/>
                    </w:rPr>
                    <w:t>风险防范措施要求</w:t>
                  </w:r>
                </w:p>
              </w:tc>
              <w:tc>
                <w:tcPr>
                  <w:tcW w:w="6520" w:type="dxa"/>
                  <w:gridSpan w:val="5"/>
                  <w:tcBorders>
                    <w:top w:val="single" w:color="000000" w:sz="4" w:space="0"/>
                    <w:left w:val="single" w:color="000000" w:sz="4" w:space="0"/>
                    <w:bottom w:val="single" w:color="auto" w:sz="4" w:space="0"/>
                    <w:right w:val="single" w:color="000000" w:sz="4" w:space="0"/>
                  </w:tcBorders>
                  <w:noWrap w:val="0"/>
                  <w:vAlign w:val="center"/>
                </w:tcPr>
                <w:p w14:paraId="0441A2B6">
                  <w:pPr>
                    <w:rPr>
                      <w:rFonts w:ascii="Times New Roman" w:hAnsi="Times New Roman"/>
                      <w:color w:val="auto"/>
                      <w:szCs w:val="21"/>
                    </w:rPr>
                  </w:pPr>
                  <w:r>
                    <w:rPr>
                      <w:rFonts w:ascii="Times New Roman" w:hAnsi="Times New Roman"/>
                      <w:color w:val="auto"/>
                      <w:szCs w:val="21"/>
                    </w:rPr>
                    <w:t>1.发生事故时，应及时组织人群转移。</w:t>
                  </w:r>
                </w:p>
                <w:p w14:paraId="29A56516">
                  <w:pPr>
                    <w:rPr>
                      <w:rFonts w:ascii="Times New Roman" w:hAnsi="Times New Roman"/>
                      <w:color w:val="auto"/>
                      <w:szCs w:val="21"/>
                    </w:rPr>
                  </w:pPr>
                  <w:r>
                    <w:rPr>
                      <w:rFonts w:ascii="Times New Roman" w:hAnsi="Times New Roman"/>
                      <w:color w:val="auto"/>
                      <w:szCs w:val="21"/>
                    </w:rPr>
                    <w:t xml:space="preserve">2.各井场场地按相关要求规定进行防渗措施。 </w:t>
                  </w:r>
                </w:p>
                <w:p w14:paraId="55D5A63F">
                  <w:pPr>
                    <w:pStyle w:val="23"/>
                    <w:rPr>
                      <w:rFonts w:hint="eastAsia" w:eastAsia="宋体"/>
                      <w:color w:val="auto"/>
                      <w:sz w:val="21"/>
                      <w:szCs w:val="21"/>
                      <w:lang w:eastAsia="zh-CN"/>
                    </w:rPr>
                  </w:pPr>
                  <w:r>
                    <w:rPr>
                      <w:rFonts w:hint="eastAsia" w:ascii="Times New Roman" w:hAnsi="Times New Roman"/>
                      <w:color w:val="auto"/>
                      <w:kern w:val="2"/>
                      <w:sz w:val="21"/>
                      <w:szCs w:val="21"/>
                      <w:lang w:val="en-US" w:eastAsia="zh-CN"/>
                    </w:rPr>
                    <w:t>3</w:t>
                  </w:r>
                  <w:r>
                    <w:rPr>
                      <w:rFonts w:hint="eastAsia" w:ascii="Times New Roman" w:hAnsi="Times New Roman"/>
                      <w:color w:val="auto"/>
                      <w:kern w:val="2"/>
                      <w:sz w:val="21"/>
                      <w:szCs w:val="21"/>
                    </w:rPr>
                    <w:t>.</w:t>
                  </w:r>
                  <w:r>
                    <w:rPr>
                      <w:rFonts w:ascii="Times New Roman" w:hAnsi="Times New Roman"/>
                      <w:color w:val="auto"/>
                      <w:kern w:val="2"/>
                      <w:sz w:val="21"/>
                      <w:szCs w:val="21"/>
                    </w:rPr>
                    <w:t>为防止钻井过程中可能发生的甲烷气体溢出</w:t>
                  </w:r>
                  <w:r>
                    <w:rPr>
                      <w:rFonts w:hint="eastAsia" w:ascii="Times New Roman" w:hAnsi="Times New Roman"/>
                      <w:color w:val="auto"/>
                      <w:kern w:val="2"/>
                      <w:sz w:val="21"/>
                      <w:szCs w:val="21"/>
                    </w:rPr>
                    <w:t>，在</w:t>
                  </w:r>
                  <w:r>
                    <w:rPr>
                      <w:rFonts w:ascii="Times New Roman" w:hAnsi="Times New Roman"/>
                      <w:color w:val="auto"/>
                      <w:kern w:val="2"/>
                      <w:sz w:val="21"/>
                      <w:szCs w:val="21"/>
                    </w:rPr>
                    <w:t>钻井井口需设置甲烷气体监测设备</w:t>
                  </w:r>
                  <w:r>
                    <w:rPr>
                      <w:rFonts w:hint="eastAsia" w:ascii="Times New Roman" w:hAnsi="Times New Roman"/>
                      <w:color w:val="auto"/>
                      <w:kern w:val="2"/>
                      <w:sz w:val="21"/>
                      <w:szCs w:val="21"/>
                    </w:rPr>
                    <w:t>，</w:t>
                  </w:r>
                  <w:r>
                    <w:rPr>
                      <w:rFonts w:ascii="Times New Roman" w:hAnsi="Times New Roman"/>
                      <w:color w:val="auto"/>
                      <w:kern w:val="2"/>
                      <w:sz w:val="21"/>
                      <w:szCs w:val="21"/>
                    </w:rPr>
                    <w:t>并在钻井平台设置灭火器材。严格管理火种，划定禁火区，严禁携带火种进入禁火区内</w:t>
                  </w:r>
                  <w:r>
                    <w:rPr>
                      <w:rFonts w:hint="eastAsia" w:ascii="Times New Roman" w:hAnsi="Times New Roman"/>
                      <w:color w:val="auto"/>
                      <w:kern w:val="2"/>
                      <w:sz w:val="21"/>
                      <w:szCs w:val="21"/>
                      <w:lang w:eastAsia="zh-CN"/>
                    </w:rPr>
                    <w:t>。</w:t>
                  </w:r>
                </w:p>
              </w:tc>
            </w:tr>
          </w:tbl>
          <w:p w14:paraId="71FE47A1">
            <w:pPr>
              <w:pStyle w:val="5"/>
              <w:spacing w:line="360" w:lineRule="auto"/>
              <w:ind w:firstLine="482"/>
              <w:rPr>
                <w:rFonts w:ascii="Times New Roman" w:hAnsi="Times New Roman"/>
                <w:b/>
                <w:bCs/>
                <w:color w:val="auto"/>
                <w:sz w:val="24"/>
                <w:lang w:val="en-US" w:eastAsia="zh-CN"/>
              </w:rPr>
            </w:pPr>
            <w:r>
              <w:rPr>
                <w:rFonts w:ascii="Times New Roman" w:hAnsi="Times New Roman"/>
                <w:b/>
                <w:bCs/>
                <w:color w:val="auto"/>
                <w:kern w:val="0"/>
                <w:sz w:val="24"/>
                <w:lang w:val="en-US" w:eastAsia="zh-CN" w:bidi="ar"/>
              </w:rPr>
              <w:t>10、</w:t>
            </w:r>
            <w:r>
              <w:rPr>
                <w:rFonts w:ascii="Times New Roman" w:hAnsi="Times New Roman"/>
                <w:b/>
                <w:bCs/>
                <w:color w:val="auto"/>
                <w:sz w:val="24"/>
                <w:lang w:val="en-US" w:eastAsia="zh-CN"/>
              </w:rPr>
              <w:t>临时道路恢复措施</w:t>
            </w:r>
          </w:p>
          <w:p w14:paraId="708601CF">
            <w:pPr>
              <w:spacing w:line="360" w:lineRule="auto"/>
              <w:ind w:firstLine="480" w:firstLineChars="200"/>
              <w:rPr>
                <w:rFonts w:ascii="Times New Roman" w:hAnsi="Times New Roman"/>
                <w:color w:val="auto"/>
                <w:sz w:val="24"/>
              </w:rPr>
            </w:pPr>
            <w:r>
              <w:rPr>
                <w:rFonts w:ascii="Times New Roman" w:hAnsi="Times New Roman"/>
                <w:color w:val="auto"/>
                <w:sz w:val="24"/>
              </w:rPr>
              <w:t>工程施工前期对进场道路部分路段进行了拓宽，拓宽宽度约为5m，道路占地面积较小。施工结束后，新增施工区道路恢复原有地貌，同时应广泛征询周边居民对施工区道路恢复或保留的意见，尽可能的方便周边居民出行。</w:t>
            </w:r>
          </w:p>
          <w:p w14:paraId="3904A996">
            <w:pPr>
              <w:spacing w:line="360" w:lineRule="auto"/>
              <w:ind w:firstLine="420" w:firstLineChars="200"/>
              <w:rPr>
                <w:rFonts w:ascii="Times New Roman" w:hAnsi="Times New Roman"/>
                <w:bCs/>
                <w:color w:val="auto"/>
                <w:szCs w:val="21"/>
              </w:rPr>
            </w:pPr>
          </w:p>
        </w:tc>
      </w:tr>
      <w:tr w14:paraId="7E14C1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98" w:hRule="atLeast"/>
          <w:jc w:val="center"/>
        </w:trPr>
        <w:tc>
          <w:tcPr>
            <w:tcW w:w="456" w:type="dxa"/>
            <w:noWrap w:val="0"/>
            <w:tcMar>
              <w:left w:w="28" w:type="dxa"/>
              <w:right w:w="28" w:type="dxa"/>
            </w:tcMar>
            <w:vAlign w:val="center"/>
          </w:tcPr>
          <w:p w14:paraId="2708ACA1">
            <w:pPr>
              <w:pStyle w:val="16"/>
              <w:adjustRightInd w:val="0"/>
              <w:snapToGrid w:val="0"/>
              <w:spacing w:before="0" w:beforeAutospacing="0" w:after="0" w:afterAutospacing="0"/>
              <w:jc w:val="center"/>
              <w:rPr>
                <w:rFonts w:ascii="Times New Roman" w:hAnsi="Times New Roman"/>
                <w:bCs/>
                <w:color w:val="auto"/>
                <w:kern w:val="2"/>
                <w:szCs w:val="24"/>
                <w:lang w:val="en-US" w:eastAsia="zh-CN"/>
              </w:rPr>
            </w:pPr>
            <w:r>
              <w:rPr>
                <w:rFonts w:ascii="Times New Roman" w:hAnsi="Times New Roman"/>
                <w:bCs/>
                <w:color w:val="auto"/>
                <w:spacing w:val="10"/>
                <w:kern w:val="2"/>
                <w:szCs w:val="24"/>
                <w:lang w:val="en-US" w:eastAsia="zh-CN"/>
              </w:rPr>
              <w:t>运营期生态环境影响分析</w:t>
            </w:r>
          </w:p>
        </w:tc>
        <w:tc>
          <w:tcPr>
            <w:tcW w:w="8146" w:type="dxa"/>
            <w:noWrap w:val="0"/>
            <w:vAlign w:val="top"/>
          </w:tcPr>
          <w:p w14:paraId="36C8D062">
            <w:pPr>
              <w:spacing w:line="360" w:lineRule="auto"/>
              <w:ind w:firstLine="480" w:firstLineChars="200"/>
              <w:rPr>
                <w:rFonts w:ascii="Times New Roman" w:hAnsi="Times New Roman"/>
                <w:bCs/>
                <w:color w:val="auto"/>
                <w:sz w:val="24"/>
              </w:rPr>
            </w:pPr>
            <w:r>
              <w:rPr>
                <w:rFonts w:ascii="Times New Roman" w:hAnsi="Times New Roman"/>
                <w:bCs/>
                <w:color w:val="auto"/>
                <w:sz w:val="24"/>
              </w:rPr>
              <w:t>本项目施工期结束后，将拆除施工现场其它建筑物后并恢复施工占地土地利用类型。因此，本项目的生态环境的影响主要表现在施工期，不涉及运营期生态环境影响。</w:t>
            </w:r>
          </w:p>
          <w:p w14:paraId="60BF8E4F">
            <w:pPr>
              <w:spacing w:line="440" w:lineRule="exact"/>
              <w:ind w:firstLine="480" w:firstLineChars="200"/>
              <w:rPr>
                <w:rFonts w:ascii="Times New Roman" w:hAnsi="Times New Roman"/>
                <w:bCs/>
                <w:color w:val="auto"/>
                <w:sz w:val="24"/>
              </w:rPr>
            </w:pPr>
          </w:p>
        </w:tc>
      </w:tr>
      <w:tr w14:paraId="66DDA5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1" w:hRule="atLeast"/>
          <w:jc w:val="center"/>
        </w:trPr>
        <w:tc>
          <w:tcPr>
            <w:tcW w:w="456" w:type="dxa"/>
            <w:noWrap w:val="0"/>
            <w:vAlign w:val="center"/>
          </w:tcPr>
          <w:p w14:paraId="2474AFD7">
            <w:pPr>
              <w:pStyle w:val="16"/>
              <w:adjustRightInd w:val="0"/>
              <w:snapToGrid w:val="0"/>
              <w:spacing w:before="0" w:beforeAutospacing="0" w:after="0" w:afterAutospacing="0"/>
              <w:jc w:val="center"/>
              <w:rPr>
                <w:rFonts w:ascii="Times New Roman" w:hAnsi="Times New Roman"/>
                <w:bCs/>
                <w:color w:val="auto"/>
                <w:kern w:val="2"/>
                <w:szCs w:val="24"/>
                <w:lang w:val="en-US" w:eastAsia="zh-CN"/>
              </w:rPr>
            </w:pPr>
            <w:r>
              <w:rPr>
                <w:rFonts w:ascii="Times New Roman" w:hAnsi="Times New Roman"/>
                <w:bCs/>
                <w:color w:val="auto"/>
                <w:kern w:val="2"/>
                <w:szCs w:val="24"/>
                <w:lang w:val="en-US" w:eastAsia="zh-CN"/>
              </w:rPr>
              <w:t>选址选线环境合理性分析</w:t>
            </w:r>
          </w:p>
        </w:tc>
        <w:tc>
          <w:tcPr>
            <w:tcW w:w="8146" w:type="dxa"/>
            <w:noWrap w:val="0"/>
            <w:vAlign w:val="top"/>
          </w:tcPr>
          <w:p w14:paraId="5BE87917">
            <w:pPr>
              <w:spacing w:line="360" w:lineRule="auto"/>
              <w:ind w:firstLine="480" w:firstLineChars="200"/>
              <w:rPr>
                <w:rFonts w:ascii="Times New Roman" w:hAnsi="Times New Roman"/>
                <w:color w:val="auto"/>
                <w:sz w:val="24"/>
              </w:rPr>
            </w:pPr>
            <w:r>
              <w:rPr>
                <w:rFonts w:ascii="Times New Roman" w:hAnsi="Times New Roman"/>
                <w:color w:val="auto"/>
                <w:sz w:val="24"/>
                <w:highlight w:val="none"/>
              </w:rPr>
              <w:t>项目临时用地面积为</w:t>
            </w:r>
            <w:r>
              <w:rPr>
                <w:rFonts w:hint="eastAsia" w:ascii="Times New Roman" w:hAnsi="Times New Roman"/>
                <w:color w:val="auto"/>
                <w:sz w:val="24"/>
                <w:highlight w:val="none"/>
                <w:lang w:val="en-US" w:eastAsia="zh-CN"/>
              </w:rPr>
              <w:t>20784</w:t>
            </w:r>
            <w:r>
              <w:rPr>
                <w:rFonts w:ascii="Times New Roman" w:hAnsi="Times New Roman"/>
                <w:color w:val="auto"/>
                <w:sz w:val="24"/>
                <w:highlight w:val="none"/>
              </w:rPr>
              <w:t>m</w:t>
            </w:r>
            <w:r>
              <w:rPr>
                <w:rFonts w:ascii="Times New Roman" w:hAnsi="Times New Roman"/>
                <w:color w:val="auto"/>
                <w:sz w:val="24"/>
                <w:highlight w:val="none"/>
                <w:vertAlign w:val="superscript"/>
              </w:rPr>
              <w:t>2</w:t>
            </w:r>
            <w:r>
              <w:rPr>
                <w:rFonts w:ascii="Times New Roman" w:hAnsi="Times New Roman"/>
                <w:color w:val="auto"/>
                <w:sz w:val="24"/>
                <w:highlight w:val="none"/>
              </w:rPr>
              <w:t>。根</w:t>
            </w:r>
            <w:r>
              <w:rPr>
                <w:rFonts w:ascii="Times New Roman" w:hAnsi="Times New Roman"/>
                <w:color w:val="auto"/>
                <w:sz w:val="24"/>
              </w:rPr>
              <w:t>据《土地复垦条例》和《土地复垦条例实施办法》中有关要求，是指对生产建设活动和自然灾害损毁的土地，采取整治措施，使其达到可供利用状态的活动。按照“谁损毁，谁复垦”的原则，由生产建设单位或者个人负责复垦，以恢复其原有使用功能予以合理利用。为保护和合理利用耕作层土壤，施工前将耕作层土壤取出集中堆置贮存，用作本项目土地复垦后的表层土壤，改良复垦土地的土壤，使其尽快熟化以利于农业耕作，恢复原有使用功能。</w:t>
            </w:r>
          </w:p>
          <w:p w14:paraId="7F278EED">
            <w:pPr>
              <w:spacing w:line="360" w:lineRule="auto"/>
              <w:ind w:firstLine="480" w:firstLineChars="200"/>
              <w:rPr>
                <w:rFonts w:ascii="Times New Roman" w:hAnsi="Times New Roman"/>
                <w:color w:val="auto"/>
                <w:sz w:val="24"/>
              </w:rPr>
            </w:pPr>
            <w:r>
              <w:rPr>
                <w:rFonts w:hint="eastAsia" w:ascii="Times New Roman" w:hAnsi="Times New Roman" w:eastAsia="宋体" w:cs="Times New Roman"/>
                <w:color w:val="auto"/>
                <w:kern w:val="0"/>
                <w:sz w:val="24"/>
                <w:szCs w:val="24"/>
                <w:highlight w:val="none"/>
                <w:lang w:val="en-US" w:eastAsia="zh-CN" w:bidi="ar-SA"/>
              </w:rPr>
              <w:t>根据工程设计规划，对采矿权平面范围内深部煤炭资源进行补充勘探需在设计的范围之内，探查工程设计钻孔目的与任务明确，针对性强，设计钻孔位置不可移动，因此，钻孔在选址时不可避让基本农田。</w:t>
            </w:r>
          </w:p>
          <w:p w14:paraId="0D4E3EAE">
            <w:pPr>
              <w:spacing w:line="360" w:lineRule="auto"/>
              <w:ind w:firstLine="480" w:firstLineChars="200"/>
              <w:rPr>
                <w:rFonts w:ascii="Times New Roman" w:hAnsi="Times New Roman"/>
                <w:color w:val="auto"/>
                <w:sz w:val="24"/>
              </w:rPr>
            </w:pPr>
            <w:r>
              <w:rPr>
                <w:rFonts w:ascii="Times New Roman" w:hAnsi="Times New Roman"/>
                <w:color w:val="auto"/>
                <w:sz w:val="24"/>
              </w:rPr>
              <w:t>项目施工期采取有效的污染防治措施后，污染物均达标排放，对周围环境影响较小；</w:t>
            </w:r>
            <w:r>
              <w:rPr>
                <w:rFonts w:ascii="Times New Roman" w:hAnsi="Times New Roman"/>
                <w:color w:val="auto"/>
                <w:kern w:val="0"/>
                <w:sz w:val="24"/>
              </w:rPr>
              <w:t>项目周围1km范围内没有历史文物古迹、风景名胜区及重要生态功能区；项目区域具有水、电及交通便利等有利条件。综上所述，</w:t>
            </w:r>
            <w:r>
              <w:rPr>
                <w:rFonts w:ascii="Times New Roman" w:hAnsi="Times New Roman"/>
                <w:color w:val="auto"/>
                <w:sz w:val="24"/>
              </w:rPr>
              <w:t>本项目选</w:t>
            </w:r>
            <w:r>
              <w:rPr>
                <w:rFonts w:ascii="Times New Roman" w:hAnsi="Times New Roman"/>
                <w:color w:val="auto"/>
                <w:kern w:val="0"/>
                <w:sz w:val="24"/>
              </w:rPr>
              <w:t>址基本合理可行</w:t>
            </w:r>
            <w:r>
              <w:rPr>
                <w:rFonts w:ascii="Times New Roman" w:hAnsi="Times New Roman"/>
                <w:color w:val="auto"/>
                <w:sz w:val="24"/>
              </w:rPr>
              <w:t>，项目选址基本与当地环境相容。</w:t>
            </w:r>
          </w:p>
          <w:p w14:paraId="0F32634B">
            <w:pPr>
              <w:spacing w:line="360" w:lineRule="auto"/>
              <w:ind w:firstLine="480" w:firstLineChars="200"/>
              <w:rPr>
                <w:rFonts w:ascii="Times New Roman" w:hAnsi="Times New Roman"/>
                <w:color w:val="auto"/>
                <w:sz w:val="24"/>
              </w:rPr>
            </w:pPr>
            <w:r>
              <w:rPr>
                <w:rFonts w:ascii="Times New Roman" w:hAnsi="Times New Roman"/>
                <w:color w:val="auto"/>
                <w:sz w:val="24"/>
              </w:rPr>
              <w:t>1、生态敏感性分析</w:t>
            </w:r>
          </w:p>
          <w:p w14:paraId="086CDABA">
            <w:pPr>
              <w:spacing w:line="360" w:lineRule="auto"/>
              <w:ind w:firstLine="480" w:firstLineChars="200"/>
              <w:rPr>
                <w:rFonts w:ascii="Times New Roman" w:hAnsi="Times New Roman"/>
                <w:color w:val="auto"/>
                <w:sz w:val="24"/>
              </w:rPr>
            </w:pPr>
            <w:r>
              <w:rPr>
                <w:rFonts w:ascii="Times New Roman" w:hAnsi="Times New Roman"/>
                <w:color w:val="auto"/>
                <w:sz w:val="24"/>
              </w:rPr>
              <w:t>项目位于农村地区，占地类型主要为农田，种植适时农作物，评价范围内不涉及自然保护区、森林公园、地质公园、风景名胜区、文物古迹保护区、集中式饮用水源保护区等环境敏感区；不在《安徽省生态功能区划》禁止开发区、重点保护区范围内，生态环境总体不敏感。</w:t>
            </w:r>
          </w:p>
          <w:p w14:paraId="2BCC58DE">
            <w:pPr>
              <w:spacing w:line="360" w:lineRule="auto"/>
              <w:ind w:firstLine="480" w:firstLineChars="200"/>
              <w:rPr>
                <w:rFonts w:ascii="Times New Roman" w:hAnsi="Times New Roman"/>
                <w:color w:val="auto"/>
                <w:sz w:val="24"/>
              </w:rPr>
            </w:pPr>
            <w:r>
              <w:rPr>
                <w:rFonts w:ascii="Times New Roman" w:hAnsi="Times New Roman"/>
                <w:color w:val="auto"/>
                <w:sz w:val="24"/>
              </w:rPr>
              <w:t>2、项目用地可行性分析</w:t>
            </w:r>
          </w:p>
          <w:p w14:paraId="4471C72A">
            <w:pPr>
              <w:spacing w:line="360" w:lineRule="auto"/>
              <w:ind w:firstLine="480" w:firstLineChars="200"/>
              <w:rPr>
                <w:rFonts w:ascii="Times New Roman" w:hAnsi="Times New Roman"/>
                <w:color w:val="auto"/>
                <w:sz w:val="24"/>
              </w:rPr>
            </w:pPr>
            <w:r>
              <w:rPr>
                <w:rFonts w:ascii="Times New Roman" w:hAnsi="Times New Roman"/>
                <w:color w:val="auto"/>
                <w:sz w:val="24"/>
                <w:highlight w:val="none"/>
              </w:rPr>
              <w:t>本项目属于</w:t>
            </w:r>
            <w:r>
              <w:rPr>
                <w:rFonts w:hint="eastAsia" w:ascii="Times New Roman" w:hAnsi="Times New Roman"/>
                <w:color w:val="auto"/>
                <w:sz w:val="24"/>
                <w:highlight w:val="none"/>
              </w:rPr>
              <w:t>四十六、专业技术服务业99中的陆地矿产资源地质勘查（含油气资源勘探）；二氧化碳地质封存中其他</w:t>
            </w:r>
            <w:r>
              <w:rPr>
                <w:rFonts w:ascii="Times New Roman" w:hAnsi="Times New Roman"/>
                <w:color w:val="auto"/>
                <w:sz w:val="24"/>
                <w:highlight w:val="none"/>
              </w:rPr>
              <w:t>，临时用地面积为</w:t>
            </w:r>
            <w:r>
              <w:rPr>
                <w:rFonts w:hint="eastAsia" w:ascii="Times New Roman" w:hAnsi="Times New Roman"/>
                <w:color w:val="auto"/>
                <w:sz w:val="24"/>
                <w:highlight w:val="none"/>
                <w:lang w:val="en-US" w:eastAsia="zh-CN"/>
              </w:rPr>
              <w:t>20784</w:t>
            </w:r>
            <w:r>
              <w:rPr>
                <w:rFonts w:ascii="Times New Roman" w:hAnsi="Times New Roman"/>
                <w:color w:val="auto"/>
                <w:sz w:val="24"/>
                <w:highlight w:val="none"/>
              </w:rPr>
              <w:t>m</w:t>
            </w:r>
            <w:r>
              <w:rPr>
                <w:rFonts w:ascii="Times New Roman" w:hAnsi="Times New Roman"/>
                <w:color w:val="auto"/>
                <w:sz w:val="24"/>
                <w:highlight w:val="none"/>
                <w:vertAlign w:val="superscript"/>
              </w:rPr>
              <w:t>2</w:t>
            </w:r>
            <w:r>
              <w:rPr>
                <w:rFonts w:ascii="Times New Roman" w:hAnsi="Times New Roman"/>
                <w:color w:val="auto"/>
                <w:sz w:val="24"/>
                <w:highlight w:val="none"/>
              </w:rPr>
              <w:t>，用地时间预计为</w:t>
            </w:r>
            <w:r>
              <w:rPr>
                <w:rFonts w:hint="eastAsia" w:ascii="Times New Roman" w:hAnsi="Times New Roman"/>
                <w:color w:val="auto"/>
                <w:sz w:val="24"/>
                <w:highlight w:val="none"/>
                <w:lang w:val="en-US" w:eastAsia="zh-CN"/>
              </w:rPr>
              <w:t>1</w:t>
            </w:r>
            <w:r>
              <w:rPr>
                <w:rFonts w:ascii="Times New Roman" w:hAnsi="Times New Roman"/>
                <w:color w:val="auto"/>
                <w:sz w:val="24"/>
                <w:highlight w:val="none"/>
              </w:rPr>
              <w:t>年。中安联合煤化有限责任公司办理了项目临时用地相关手续。项目租用安徽省淮南市潘集区贺疃镇境内的土地作为本项目的临时建设用地。</w:t>
            </w:r>
          </w:p>
          <w:p w14:paraId="77A2859F">
            <w:pPr>
              <w:spacing w:line="360" w:lineRule="auto"/>
              <w:ind w:firstLine="480" w:firstLineChars="200"/>
              <w:rPr>
                <w:rFonts w:ascii="Times New Roman" w:hAnsi="Times New Roman"/>
                <w:color w:val="auto"/>
                <w:sz w:val="24"/>
              </w:rPr>
            </w:pPr>
            <w:r>
              <w:rPr>
                <w:rFonts w:ascii="Times New Roman" w:hAnsi="Times New Roman"/>
                <w:color w:val="auto"/>
                <w:sz w:val="24"/>
              </w:rPr>
              <w:t>3、环境制约性分析</w:t>
            </w:r>
          </w:p>
          <w:p w14:paraId="21DB3370">
            <w:pPr>
              <w:spacing w:line="360" w:lineRule="auto"/>
              <w:ind w:firstLine="480" w:firstLineChars="200"/>
              <w:rPr>
                <w:rFonts w:ascii="Times New Roman" w:hAnsi="Times New Roman"/>
                <w:color w:val="auto"/>
                <w:sz w:val="24"/>
              </w:rPr>
            </w:pPr>
            <w:r>
              <w:rPr>
                <w:rFonts w:ascii="Times New Roman" w:hAnsi="Times New Roman"/>
                <w:color w:val="auto"/>
                <w:sz w:val="24"/>
              </w:rPr>
              <w:t>项目所在地主要为农田，项目占地范围内无大型管网，项目周边无其他独立工矿用地。</w:t>
            </w:r>
          </w:p>
          <w:p w14:paraId="6D3B8CA2">
            <w:pPr>
              <w:spacing w:line="360" w:lineRule="auto"/>
              <w:ind w:firstLine="480" w:firstLineChars="200"/>
              <w:rPr>
                <w:rFonts w:ascii="Times New Roman" w:hAnsi="Times New Roman"/>
                <w:color w:val="auto"/>
                <w:sz w:val="24"/>
              </w:rPr>
            </w:pPr>
            <w:r>
              <w:rPr>
                <w:rFonts w:ascii="Times New Roman" w:hAnsi="Times New Roman"/>
                <w:color w:val="auto"/>
                <w:sz w:val="24"/>
              </w:rPr>
              <w:t>项目产生的危险废物主要为废润滑油，收集后交由有资质单位处置，不排放，对环境影响小。通过采取评价提出的必要的可行的环境保护措施和风险防范措施，项目不改变区域环境功能，对周边居民的影响小，环境影响可接受。</w:t>
            </w:r>
          </w:p>
          <w:p w14:paraId="1779A90F">
            <w:pPr>
              <w:spacing w:line="360" w:lineRule="auto"/>
              <w:ind w:firstLine="480" w:firstLineChars="200"/>
              <w:rPr>
                <w:rFonts w:ascii="Times New Roman" w:hAnsi="Times New Roman"/>
                <w:color w:val="auto"/>
                <w:sz w:val="24"/>
              </w:rPr>
            </w:pPr>
            <w:r>
              <w:rPr>
                <w:rFonts w:ascii="Times New Roman" w:hAnsi="Times New Roman"/>
                <w:color w:val="auto"/>
                <w:sz w:val="24"/>
              </w:rPr>
              <w:t>综上所述，工程选址符合相关技术规范要求，且不属于环境敏感区、不涉及淮南市生态保护红线，在采取必要的环境保护措施和风险防范措施，对环境的影响可得到有效控制，从环境保护角度分析本项目选址合理。</w:t>
            </w:r>
          </w:p>
          <w:p w14:paraId="37C7587A">
            <w:pPr>
              <w:spacing w:line="360" w:lineRule="auto"/>
              <w:ind w:firstLine="480" w:firstLineChars="200"/>
              <w:rPr>
                <w:rFonts w:ascii="Times New Roman" w:hAnsi="Times New Roman"/>
                <w:color w:val="auto"/>
                <w:sz w:val="24"/>
              </w:rPr>
            </w:pPr>
          </w:p>
          <w:p w14:paraId="211879AB">
            <w:pPr>
              <w:pStyle w:val="23"/>
              <w:rPr>
                <w:rFonts w:ascii="Times New Roman" w:hAnsi="Times New Roman"/>
                <w:bCs/>
                <w:color w:val="auto"/>
              </w:rPr>
            </w:pPr>
          </w:p>
          <w:p w14:paraId="6F7BEDF0">
            <w:pPr>
              <w:pStyle w:val="23"/>
              <w:rPr>
                <w:rFonts w:ascii="Times New Roman" w:hAnsi="Times New Roman"/>
                <w:bCs/>
                <w:color w:val="auto"/>
              </w:rPr>
            </w:pPr>
          </w:p>
          <w:p w14:paraId="5F7CB377">
            <w:pPr>
              <w:pStyle w:val="23"/>
              <w:rPr>
                <w:rFonts w:ascii="Times New Roman" w:hAnsi="Times New Roman"/>
                <w:bCs/>
                <w:color w:val="auto"/>
              </w:rPr>
            </w:pPr>
          </w:p>
          <w:p w14:paraId="60EB9545">
            <w:pPr>
              <w:pStyle w:val="23"/>
              <w:rPr>
                <w:rFonts w:ascii="Times New Roman" w:hAnsi="Times New Roman"/>
                <w:bCs/>
                <w:color w:val="auto"/>
              </w:rPr>
            </w:pPr>
          </w:p>
          <w:p w14:paraId="00200DC5">
            <w:pPr>
              <w:pStyle w:val="23"/>
              <w:rPr>
                <w:rFonts w:ascii="Times New Roman" w:hAnsi="Times New Roman"/>
                <w:bCs/>
                <w:color w:val="auto"/>
              </w:rPr>
            </w:pPr>
          </w:p>
          <w:p w14:paraId="088F3B75">
            <w:pPr>
              <w:pStyle w:val="23"/>
              <w:rPr>
                <w:rFonts w:ascii="Times New Roman" w:hAnsi="Times New Roman"/>
                <w:bCs/>
                <w:color w:val="auto"/>
              </w:rPr>
            </w:pPr>
          </w:p>
          <w:p w14:paraId="1C85BBEA">
            <w:pPr>
              <w:pStyle w:val="23"/>
              <w:rPr>
                <w:rFonts w:ascii="Times New Roman" w:hAnsi="Times New Roman"/>
                <w:bCs/>
                <w:color w:val="auto"/>
              </w:rPr>
            </w:pPr>
          </w:p>
          <w:p w14:paraId="564FC8B9">
            <w:pPr>
              <w:pStyle w:val="23"/>
              <w:rPr>
                <w:rFonts w:ascii="Times New Roman" w:hAnsi="Times New Roman"/>
                <w:bCs/>
                <w:color w:val="auto"/>
              </w:rPr>
            </w:pPr>
          </w:p>
          <w:p w14:paraId="3E5BEAC2">
            <w:pPr>
              <w:pStyle w:val="23"/>
              <w:rPr>
                <w:rFonts w:ascii="Times New Roman" w:hAnsi="Times New Roman"/>
                <w:bCs/>
                <w:color w:val="auto"/>
              </w:rPr>
            </w:pPr>
          </w:p>
          <w:p w14:paraId="58F4A4E6">
            <w:pPr>
              <w:pStyle w:val="23"/>
              <w:rPr>
                <w:rFonts w:ascii="Times New Roman" w:hAnsi="Times New Roman"/>
                <w:bCs/>
                <w:color w:val="auto"/>
              </w:rPr>
            </w:pPr>
          </w:p>
          <w:p w14:paraId="41725764">
            <w:pPr>
              <w:pStyle w:val="23"/>
              <w:rPr>
                <w:rFonts w:ascii="Times New Roman" w:hAnsi="Times New Roman"/>
                <w:bCs/>
                <w:color w:val="auto"/>
              </w:rPr>
            </w:pPr>
          </w:p>
          <w:p w14:paraId="3B65CBB6">
            <w:pPr>
              <w:pStyle w:val="23"/>
              <w:rPr>
                <w:rFonts w:ascii="Times New Roman" w:hAnsi="Times New Roman"/>
                <w:bCs/>
                <w:color w:val="auto"/>
              </w:rPr>
            </w:pPr>
          </w:p>
          <w:p w14:paraId="083F9446">
            <w:pPr>
              <w:pStyle w:val="23"/>
              <w:rPr>
                <w:rFonts w:ascii="Times New Roman" w:hAnsi="Times New Roman"/>
                <w:bCs/>
                <w:color w:val="auto"/>
              </w:rPr>
            </w:pPr>
          </w:p>
          <w:p w14:paraId="2C325739">
            <w:pPr>
              <w:pStyle w:val="23"/>
              <w:rPr>
                <w:rFonts w:ascii="Times New Roman" w:hAnsi="Times New Roman"/>
                <w:bCs/>
                <w:color w:val="auto"/>
              </w:rPr>
            </w:pPr>
          </w:p>
          <w:p w14:paraId="4B58A91A">
            <w:pPr>
              <w:pStyle w:val="23"/>
              <w:rPr>
                <w:rFonts w:ascii="Times New Roman" w:hAnsi="Times New Roman"/>
                <w:bCs/>
                <w:color w:val="auto"/>
              </w:rPr>
            </w:pPr>
          </w:p>
          <w:p w14:paraId="7CF8B48F">
            <w:pPr>
              <w:pStyle w:val="23"/>
              <w:rPr>
                <w:rFonts w:ascii="Times New Roman" w:hAnsi="Times New Roman"/>
                <w:bCs/>
                <w:color w:val="auto"/>
              </w:rPr>
            </w:pPr>
          </w:p>
          <w:p w14:paraId="41A00604">
            <w:pPr>
              <w:pStyle w:val="23"/>
              <w:rPr>
                <w:rFonts w:ascii="Times New Roman" w:hAnsi="Times New Roman"/>
                <w:bCs/>
                <w:color w:val="auto"/>
              </w:rPr>
            </w:pPr>
          </w:p>
          <w:p w14:paraId="6D5D9515">
            <w:pPr>
              <w:pStyle w:val="23"/>
              <w:rPr>
                <w:rFonts w:ascii="Times New Roman" w:hAnsi="Times New Roman"/>
                <w:bCs/>
                <w:color w:val="auto"/>
              </w:rPr>
            </w:pPr>
          </w:p>
          <w:p w14:paraId="15592A65">
            <w:pPr>
              <w:pStyle w:val="23"/>
              <w:rPr>
                <w:rFonts w:ascii="Times New Roman" w:hAnsi="Times New Roman"/>
                <w:bCs/>
                <w:color w:val="auto"/>
              </w:rPr>
            </w:pPr>
          </w:p>
          <w:p w14:paraId="0A7C2478">
            <w:pPr>
              <w:pStyle w:val="23"/>
              <w:rPr>
                <w:rFonts w:ascii="Times New Roman" w:hAnsi="Times New Roman"/>
                <w:bCs/>
                <w:color w:val="auto"/>
              </w:rPr>
            </w:pPr>
          </w:p>
          <w:p w14:paraId="38697F40">
            <w:pPr>
              <w:pStyle w:val="23"/>
              <w:rPr>
                <w:rFonts w:ascii="Times New Roman" w:hAnsi="Times New Roman"/>
                <w:bCs/>
                <w:color w:val="auto"/>
              </w:rPr>
            </w:pPr>
          </w:p>
          <w:p w14:paraId="1D8B8D0A">
            <w:pPr>
              <w:pStyle w:val="23"/>
              <w:rPr>
                <w:rFonts w:ascii="Times New Roman" w:hAnsi="Times New Roman"/>
                <w:bCs/>
                <w:color w:val="auto"/>
              </w:rPr>
            </w:pPr>
          </w:p>
          <w:p w14:paraId="558CA512">
            <w:pPr>
              <w:pStyle w:val="23"/>
              <w:rPr>
                <w:rFonts w:ascii="Times New Roman" w:hAnsi="Times New Roman"/>
                <w:bCs/>
                <w:color w:val="auto"/>
              </w:rPr>
            </w:pPr>
          </w:p>
          <w:p w14:paraId="00FC3F02">
            <w:pPr>
              <w:pStyle w:val="23"/>
              <w:rPr>
                <w:rFonts w:ascii="Times New Roman" w:hAnsi="Times New Roman"/>
                <w:bCs/>
                <w:color w:val="auto"/>
              </w:rPr>
            </w:pPr>
          </w:p>
        </w:tc>
      </w:tr>
    </w:tbl>
    <w:p w14:paraId="7EEC4512">
      <w:pPr>
        <w:pStyle w:val="16"/>
        <w:jc w:val="center"/>
        <w:rPr>
          <w:rFonts w:ascii="Times New Roman" w:hAnsi="Times New Roman" w:eastAsia="黑体"/>
          <w:snapToGrid w:val="0"/>
          <w:color w:val="auto"/>
          <w:sz w:val="36"/>
          <w:szCs w:val="36"/>
        </w:rPr>
        <w:sectPr>
          <w:pgSz w:w="11906" w:h="16838"/>
          <w:pgMar w:top="1440" w:right="1800" w:bottom="1440" w:left="1800" w:header="851" w:footer="1077" w:gutter="0"/>
          <w:cols w:space="720" w:num="1"/>
          <w:docGrid w:linePitch="312" w:charSpace="0"/>
        </w:sectPr>
      </w:pPr>
    </w:p>
    <w:p w14:paraId="03E21D3E">
      <w:pPr>
        <w:bidi w:val="0"/>
        <w:rPr>
          <w:color w:val="auto"/>
        </w:rPr>
      </w:pPr>
    </w:p>
    <w:p w14:paraId="2A69D98D">
      <w:pPr>
        <w:pStyle w:val="16"/>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五、主要生态环境保护措施</w:t>
      </w:r>
    </w:p>
    <w:tbl>
      <w:tblPr>
        <w:tblStyle w:val="17"/>
        <w:tblW w:w="873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3"/>
        <w:gridCol w:w="7980"/>
      </w:tblGrid>
      <w:tr w14:paraId="14A0EA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89" w:hRule="atLeast"/>
          <w:jc w:val="center"/>
        </w:trPr>
        <w:tc>
          <w:tcPr>
            <w:tcW w:w="753" w:type="dxa"/>
            <w:noWrap w:val="0"/>
            <w:tcMar>
              <w:left w:w="28" w:type="dxa"/>
              <w:right w:w="28" w:type="dxa"/>
            </w:tcMar>
            <w:vAlign w:val="center"/>
          </w:tcPr>
          <w:p w14:paraId="74379456">
            <w:pPr>
              <w:adjustRightInd w:val="0"/>
              <w:snapToGrid w:val="0"/>
              <w:jc w:val="center"/>
              <w:rPr>
                <w:rFonts w:ascii="Times New Roman" w:hAnsi="Times New Roman"/>
                <w:bCs/>
                <w:color w:val="auto"/>
                <w:sz w:val="24"/>
              </w:rPr>
            </w:pPr>
            <w:r>
              <w:rPr>
                <w:rFonts w:ascii="Times New Roman" w:hAnsi="Times New Roman"/>
                <w:bCs/>
                <w:color w:val="auto"/>
                <w:spacing w:val="10"/>
                <w:sz w:val="24"/>
              </w:rPr>
              <w:t>施工期生态环境保护措施</w:t>
            </w:r>
          </w:p>
        </w:tc>
        <w:tc>
          <w:tcPr>
            <w:tcW w:w="7980" w:type="dxa"/>
            <w:noWrap w:val="0"/>
            <w:vAlign w:val="top"/>
          </w:tcPr>
          <w:p w14:paraId="6FE80E0E">
            <w:pPr>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1、大气污染物防治措施</w:t>
            </w:r>
          </w:p>
          <w:p w14:paraId="6603166B">
            <w:pPr>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项目施工过程中的大气污染主要来自于施工场地的扬尘、施工机械的尾气。这些废气的影响是局部的、暂时的，影响的程度及范围有限，随着施工期的结束而逐渐消失。</w:t>
            </w:r>
          </w:p>
          <w:p w14:paraId="6CBDD4B1">
            <w:pPr>
              <w:spacing w:line="360" w:lineRule="auto"/>
              <w:ind w:firstLine="480" w:firstLineChars="200"/>
              <w:rPr>
                <w:rStyle w:val="36"/>
                <w:rFonts w:hint="eastAsia"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为减轻扬尘对区域环境空气的不利影响，应按照《安徽省大气污染防治条例》、《安徽省大气污染防治行动计划实施方案》（皖政（2013）89号）、《安徽省人民政府办公厅关于印发安徽省重污染天气应急预案的通知》（皖政办秘〔2017〕97号）、《安徽省人民政府关于2018年重点工作及责任分解的通知》（皖政〔2018〕23号）及省大气办关于印发《2018年安徽省大气污染防治重点工作任务》的通知（皖大气办〔2018〕7号）、《防治城市扬尘污染技术规范》（HJ/T393-2007）、《建筑工程施工和预拌混凝土生产扬尘污染防治标准（试行）》、《淮南市扬尘污染防治条例》等要求，施工企业要在开工前制定相应的施工现场扬尘控制措施。</w:t>
            </w:r>
          </w:p>
          <w:p w14:paraId="43EF4047">
            <w:pPr>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施工期间应特别注意施工扬尘的防治问题，须制定必要的防治措施，以减少施工扬尘对周围环境的影响。对于施工场地的扬尘治理，还要做到“六个百分百”措施：</w:t>
            </w:r>
          </w:p>
          <w:p w14:paraId="22A90A07">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①现场封闭管理百分之百施工现场硬质围挡应连续设置，围挡不低于2.5m，做到坚固、平稳、整洁、美观。在建工程外立面应用安全网实现全封闭围护。</w:t>
            </w:r>
          </w:p>
          <w:p w14:paraId="0A19EE78">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②场区道路硬化百分之百</w:t>
            </w:r>
          </w:p>
          <w:p w14:paraId="3B3ED79C">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主要通道、进出道路、材料加工区及办公生活区地面进行硬化处理。</w:t>
            </w:r>
          </w:p>
          <w:p w14:paraId="3706F5C2">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③渣土物料蓬盖百分之百</w:t>
            </w:r>
          </w:p>
          <w:p w14:paraId="7D8AA943">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施工现场内裸露的场地和集中堆放的土方应采取覆盖、固化或绿化等防尘措施。易产生扬尘的物料要篷盖。</w:t>
            </w:r>
          </w:p>
          <w:p w14:paraId="1903107E">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④洒水清扫保洁百分之百</w:t>
            </w:r>
          </w:p>
          <w:p w14:paraId="001675F0">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施工现场设专人负责卫生保洁，每天上午、下午各进行二次洒水降尘，遇到干旱和大风天气时，应增加洒水降尘次数，确保无浮土扬尘。开挖、回填等土方作业时，要辅以洒水压尘等措施。工程竣工后，施工现场的临设、围挡、垃圾等必须及时清理完毕，清理时必须采取有效的降尘措施。</w:t>
            </w:r>
          </w:p>
          <w:p w14:paraId="0F489161">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⑤物料密闭运输百分之百易产生扬尘的建筑材料、渣土应采取密闭搬运、存储或采用防尘布苫盖等防尘措施。严禁熔融沥青、焚烧垃圾等有毒有害物质，禁止无牌无证车辆进入施工现场。</w:t>
            </w:r>
          </w:p>
          <w:p w14:paraId="2CEBB6D7">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⑥出入车辆清洗百分之百</w:t>
            </w:r>
          </w:p>
          <w:p w14:paraId="29D59F2C">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施工现场出入口处设置自动车辆冲洗装置和沉淀池，运输车辆底盘和车轮冲洗干净后方可驶离施工现场。</w:t>
            </w:r>
          </w:p>
          <w:p w14:paraId="5258707B">
            <w:pPr>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要加强现场管理，做好文明标化施工，采取配置工地滞尘防护网、设置围档和硬化道路，及车辆出场冲洗等措施，最大程度减少扬尘对周围大气环境的危害，必要时采用水雾以降低和防止二次扬尘。其次，在土方挖掘、平整阶段，运土车辆必须做到净车出场，最大限度减少泥土撒落构成扬尘污染，在运输、装卸建筑材料时，应采用封闭车辆运输，尤其是泥砂等。</w:t>
            </w:r>
          </w:p>
          <w:p w14:paraId="73CCA0EF">
            <w:pPr>
              <w:adjustRightInd w:val="0"/>
              <w:snapToGrid w:val="0"/>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同时环评建议通过如下措施降低施工期对大气环境的影响：</w:t>
            </w:r>
          </w:p>
          <w:p w14:paraId="32E4BE83">
            <w:pPr>
              <w:adjustRightInd w:val="0"/>
              <w:snapToGrid w:val="0"/>
              <w:spacing w:line="360" w:lineRule="auto"/>
              <w:ind w:firstLine="480" w:firstLineChars="200"/>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（1）</w:t>
            </w:r>
            <w:r>
              <w:rPr>
                <w:rStyle w:val="36"/>
                <w:rFonts w:hint="default" w:ascii="Times New Roman" w:hAnsi="宋体" w:eastAsia="宋体" w:cs="Times New Roman"/>
                <w:color w:val="auto"/>
                <w:kern w:val="0"/>
                <w:lang w:val="en-US" w:eastAsia="zh-CN" w:bidi="ar-SA"/>
              </w:rPr>
              <w:t>施工单位应根据《建设工程施工现场管理规定》的要求设置现场平面布置图、工程概况牌、安全生产牌、消防保卫牌、文明施工牌、环境保护牌、管理人员名单及监督电话牌等；</w:t>
            </w:r>
          </w:p>
          <w:p w14:paraId="67B59835">
            <w:pPr>
              <w:adjustRightInd w:val="0"/>
              <w:snapToGrid w:val="0"/>
              <w:spacing w:line="360" w:lineRule="auto"/>
              <w:ind w:firstLine="480" w:firstLineChars="200"/>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（2）</w:t>
            </w:r>
            <w:r>
              <w:rPr>
                <w:rStyle w:val="36"/>
                <w:rFonts w:hint="default" w:ascii="Times New Roman" w:hAnsi="宋体" w:eastAsia="宋体" w:cs="Times New Roman"/>
                <w:color w:val="auto"/>
                <w:kern w:val="0"/>
                <w:lang w:val="en-US" w:eastAsia="zh-CN" w:bidi="ar-SA"/>
              </w:rPr>
              <w:t>施工现场围挡高度符合《建筑施工安全检查标准》（JGJ59-2011）要求，围挡应连续、密闭、坚固、稳定、整洁、美观，同时围挡上部宜设置朝向场内区域的喷雾装置，每组间隔不宜大于4m。</w:t>
            </w:r>
          </w:p>
          <w:p w14:paraId="1CDBD91F">
            <w:pPr>
              <w:adjustRightInd w:val="0"/>
              <w:snapToGrid w:val="0"/>
              <w:spacing w:line="360" w:lineRule="auto"/>
              <w:ind w:firstLine="480" w:firstLineChars="200"/>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（3）</w:t>
            </w:r>
            <w:r>
              <w:rPr>
                <w:rStyle w:val="36"/>
                <w:rFonts w:hint="default" w:ascii="Times New Roman" w:hAnsi="宋体" w:eastAsia="宋体" w:cs="Times New Roman"/>
                <w:color w:val="auto"/>
                <w:kern w:val="0"/>
                <w:lang w:val="en-US" w:eastAsia="zh-CN" w:bidi="ar-SA"/>
              </w:rPr>
              <w:t>施工现场非作业地面裸露的场地必须绿化或严密覆盖；</w:t>
            </w:r>
          </w:p>
          <w:p w14:paraId="3D89B34E">
            <w:pPr>
              <w:adjustRightInd w:val="0"/>
              <w:snapToGrid w:val="0"/>
              <w:spacing w:line="360" w:lineRule="auto"/>
              <w:ind w:firstLine="480" w:firstLineChars="200"/>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（4）</w:t>
            </w:r>
            <w:r>
              <w:rPr>
                <w:rStyle w:val="36"/>
                <w:rFonts w:hint="default" w:ascii="Times New Roman" w:hAnsi="宋体" w:eastAsia="宋体" w:cs="Times New Roman"/>
                <w:color w:val="auto"/>
                <w:kern w:val="0"/>
                <w:lang w:val="en-US" w:eastAsia="zh-CN" w:bidi="ar-SA"/>
              </w:rPr>
              <w:t>施工现场采取围挡、严密遮盖等防尘措施；</w:t>
            </w:r>
          </w:p>
          <w:p w14:paraId="3E85D46F">
            <w:pPr>
              <w:adjustRightInd w:val="0"/>
              <w:snapToGrid w:val="0"/>
              <w:spacing w:line="360" w:lineRule="auto"/>
              <w:ind w:firstLine="480" w:firstLineChars="200"/>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（5）</w:t>
            </w:r>
            <w:r>
              <w:rPr>
                <w:rStyle w:val="36"/>
                <w:rFonts w:hint="default" w:ascii="Times New Roman" w:hAnsi="宋体" w:eastAsia="宋体" w:cs="Times New Roman"/>
                <w:color w:val="auto"/>
                <w:kern w:val="0"/>
                <w:lang w:val="en-US" w:eastAsia="zh-CN" w:bidi="ar-SA"/>
              </w:rPr>
              <w:t>施工作业环境要整洁干净，应设置洒水降尘设施；</w:t>
            </w:r>
          </w:p>
          <w:p w14:paraId="02F4B77D">
            <w:pPr>
              <w:adjustRightInd w:val="0"/>
              <w:snapToGrid w:val="0"/>
              <w:spacing w:line="360" w:lineRule="auto"/>
              <w:ind w:firstLine="480" w:firstLineChars="200"/>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（6）</w:t>
            </w:r>
            <w:r>
              <w:rPr>
                <w:rStyle w:val="36"/>
                <w:rFonts w:hint="default" w:ascii="Times New Roman" w:hAnsi="宋体" w:eastAsia="宋体" w:cs="Times New Roman"/>
                <w:color w:val="auto"/>
                <w:kern w:val="0"/>
                <w:lang w:val="en-US" w:eastAsia="zh-CN" w:bidi="ar-SA"/>
              </w:rPr>
              <w:t>启动Ⅲ级（黄色）或以上重污染天气预警或气象预报风速达到四级以上时，不得进行土方挖填、转运等易产生扬尘的作业；</w:t>
            </w:r>
          </w:p>
          <w:p w14:paraId="52E9539D">
            <w:pPr>
              <w:adjustRightInd w:val="0"/>
              <w:snapToGrid w:val="0"/>
              <w:spacing w:line="360" w:lineRule="auto"/>
              <w:ind w:firstLine="480" w:firstLineChars="200"/>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w:t>
            </w:r>
            <w:r>
              <w:rPr>
                <w:rStyle w:val="36"/>
                <w:rFonts w:hint="eastAsia" w:ascii="Times New Roman" w:hAnsi="宋体" w:cs="Times New Roman"/>
                <w:color w:val="auto"/>
                <w:kern w:val="0"/>
                <w:lang w:val="en-US" w:eastAsia="zh-CN" w:bidi="ar-SA"/>
              </w:rPr>
              <w:t>7</w:t>
            </w:r>
            <w:r>
              <w:rPr>
                <w:rStyle w:val="36"/>
                <w:rFonts w:hint="eastAsia" w:ascii="Times New Roman" w:hAnsi="宋体" w:eastAsia="宋体" w:cs="Times New Roman"/>
                <w:color w:val="auto"/>
                <w:kern w:val="0"/>
                <w:lang w:val="en-US" w:eastAsia="zh-CN" w:bidi="ar-SA"/>
              </w:rPr>
              <w:t>）</w:t>
            </w:r>
            <w:r>
              <w:rPr>
                <w:rStyle w:val="36"/>
                <w:rFonts w:hint="default" w:ascii="Times New Roman" w:hAnsi="宋体" w:eastAsia="宋体" w:cs="Times New Roman"/>
                <w:color w:val="auto"/>
                <w:kern w:val="0"/>
                <w:lang w:val="en-US" w:eastAsia="zh-CN" w:bidi="ar-SA"/>
              </w:rPr>
              <w:t>确保渣土运输车辆安装GPS定位系统，严格实施密闭运输，落实出入井场车辆冲洗措施</w:t>
            </w:r>
            <w:r>
              <w:rPr>
                <w:rStyle w:val="36"/>
                <w:rFonts w:hint="eastAsia" w:ascii="Times New Roman" w:hAnsi="宋体" w:eastAsia="宋体" w:cs="Times New Roman"/>
                <w:color w:val="auto"/>
                <w:kern w:val="0"/>
                <w:lang w:val="en-US" w:eastAsia="zh-CN" w:bidi="ar-SA"/>
              </w:rPr>
              <w:t>；</w:t>
            </w:r>
          </w:p>
          <w:p w14:paraId="235D97ED">
            <w:pPr>
              <w:adjustRightInd w:val="0"/>
              <w:snapToGrid w:val="0"/>
              <w:spacing w:line="360" w:lineRule="auto"/>
              <w:ind w:firstLine="480" w:firstLineChars="200"/>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w:t>
            </w:r>
            <w:r>
              <w:rPr>
                <w:rStyle w:val="36"/>
                <w:rFonts w:hint="eastAsia" w:ascii="Times New Roman" w:hAnsi="宋体" w:cs="Times New Roman"/>
                <w:color w:val="auto"/>
                <w:kern w:val="0"/>
                <w:lang w:val="en-US" w:eastAsia="zh-CN" w:bidi="ar-SA"/>
              </w:rPr>
              <w:t>8</w:t>
            </w:r>
            <w:r>
              <w:rPr>
                <w:rStyle w:val="36"/>
                <w:rFonts w:hint="eastAsia" w:ascii="Times New Roman" w:hAnsi="宋体" w:eastAsia="宋体" w:cs="Times New Roman"/>
                <w:color w:val="auto"/>
                <w:kern w:val="0"/>
                <w:lang w:val="en-US" w:eastAsia="zh-CN" w:bidi="ar-SA"/>
              </w:rPr>
              <w:t>）</w:t>
            </w:r>
            <w:r>
              <w:rPr>
                <w:rStyle w:val="36"/>
                <w:rFonts w:hint="default" w:ascii="Times New Roman" w:hAnsi="宋体" w:eastAsia="宋体" w:cs="Times New Roman"/>
                <w:color w:val="auto"/>
                <w:kern w:val="0"/>
                <w:lang w:val="en-US" w:eastAsia="zh-CN" w:bidi="ar-SA"/>
              </w:rPr>
              <w:t>建立施工工地管理清单，将施工工地扬尘污染防治纳入文明施工管理范畴，建立扬尘控制责任制度，扬尘治理费用列入工程造价；</w:t>
            </w:r>
          </w:p>
          <w:p w14:paraId="179029AA">
            <w:pPr>
              <w:adjustRightInd w:val="0"/>
              <w:snapToGrid w:val="0"/>
              <w:spacing w:line="360" w:lineRule="auto"/>
              <w:ind w:firstLine="480" w:firstLineChars="200"/>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w:t>
            </w:r>
            <w:r>
              <w:rPr>
                <w:rStyle w:val="36"/>
                <w:rFonts w:hint="eastAsia" w:ascii="Times New Roman" w:hAnsi="宋体" w:cs="Times New Roman"/>
                <w:color w:val="auto"/>
                <w:kern w:val="0"/>
                <w:lang w:val="en-US" w:eastAsia="zh-CN" w:bidi="ar-SA"/>
              </w:rPr>
              <w:t>9</w:t>
            </w:r>
            <w:r>
              <w:rPr>
                <w:rStyle w:val="36"/>
                <w:rFonts w:hint="eastAsia" w:ascii="Times New Roman" w:hAnsi="宋体" w:eastAsia="宋体" w:cs="Times New Roman"/>
                <w:color w:val="auto"/>
                <w:kern w:val="0"/>
                <w:lang w:val="en-US" w:eastAsia="zh-CN" w:bidi="ar-SA"/>
              </w:rPr>
              <w:t>）</w:t>
            </w:r>
            <w:r>
              <w:rPr>
                <w:rStyle w:val="36"/>
                <w:rFonts w:hint="default" w:ascii="Times New Roman" w:hAnsi="宋体" w:eastAsia="宋体" w:cs="Times New Roman"/>
                <w:color w:val="auto"/>
                <w:kern w:val="0"/>
                <w:lang w:val="en-US" w:eastAsia="zh-CN" w:bidi="ar-SA"/>
              </w:rPr>
              <w:t>建筑施工工地要做到工地周边围挡、物料堆放覆盖、土方开挖湿法作业、路面硬化、出入车辆清洗、渣土车辆密闭运输“六个百分之百”；</w:t>
            </w:r>
          </w:p>
          <w:p w14:paraId="4CFFB10C">
            <w:pPr>
              <w:adjustRightInd w:val="0"/>
              <w:snapToGrid w:val="0"/>
              <w:spacing w:line="360" w:lineRule="auto"/>
              <w:ind w:firstLine="480" w:firstLineChars="200"/>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w:t>
            </w:r>
            <w:r>
              <w:rPr>
                <w:rStyle w:val="36"/>
                <w:rFonts w:hint="eastAsia" w:ascii="Times New Roman" w:hAnsi="宋体" w:cs="Times New Roman"/>
                <w:color w:val="auto"/>
                <w:kern w:val="0"/>
                <w:lang w:val="en-US" w:eastAsia="zh-CN" w:bidi="ar-SA"/>
              </w:rPr>
              <w:t>10</w:t>
            </w:r>
            <w:r>
              <w:rPr>
                <w:rStyle w:val="36"/>
                <w:rFonts w:hint="eastAsia" w:ascii="Times New Roman" w:hAnsi="宋体" w:eastAsia="宋体" w:cs="Times New Roman"/>
                <w:color w:val="auto"/>
                <w:kern w:val="0"/>
                <w:lang w:val="en-US" w:eastAsia="zh-CN" w:bidi="ar-SA"/>
              </w:rPr>
              <w:t>）</w:t>
            </w:r>
            <w:r>
              <w:rPr>
                <w:rStyle w:val="36"/>
                <w:rFonts w:hint="default" w:ascii="Times New Roman" w:hAnsi="宋体" w:eastAsia="宋体" w:cs="Times New Roman"/>
                <w:color w:val="auto"/>
                <w:kern w:val="0"/>
                <w:lang w:val="en-US" w:eastAsia="zh-CN" w:bidi="ar-SA"/>
              </w:rPr>
              <w:t>加强施工机械设备及车辆的养护，定期对施工机械和施工运输车辆排放的尾气进行检查监测，加强机械维修保养；</w:t>
            </w:r>
          </w:p>
          <w:p w14:paraId="64A46237">
            <w:pPr>
              <w:adjustRightInd w:val="0"/>
              <w:snapToGrid w:val="0"/>
              <w:spacing w:line="360" w:lineRule="auto"/>
              <w:ind w:firstLine="480" w:firstLineChars="200"/>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w:t>
            </w:r>
            <w:r>
              <w:rPr>
                <w:rStyle w:val="36"/>
                <w:rFonts w:hint="eastAsia" w:ascii="Times New Roman" w:hAnsi="宋体" w:cs="Times New Roman"/>
                <w:color w:val="auto"/>
                <w:kern w:val="0"/>
                <w:lang w:val="en-US" w:eastAsia="zh-CN" w:bidi="ar-SA"/>
              </w:rPr>
              <w:t>11</w:t>
            </w:r>
            <w:r>
              <w:rPr>
                <w:rStyle w:val="36"/>
                <w:rFonts w:hint="eastAsia" w:ascii="Times New Roman" w:hAnsi="宋体" w:eastAsia="宋体" w:cs="Times New Roman"/>
                <w:color w:val="auto"/>
                <w:kern w:val="0"/>
                <w:lang w:val="en-US" w:eastAsia="zh-CN" w:bidi="ar-SA"/>
              </w:rPr>
              <w:t>）</w:t>
            </w:r>
            <w:r>
              <w:rPr>
                <w:rStyle w:val="36"/>
                <w:rFonts w:hint="default" w:ascii="Times New Roman" w:hAnsi="宋体" w:eastAsia="宋体" w:cs="Times New Roman"/>
                <w:color w:val="auto"/>
                <w:kern w:val="0"/>
                <w:lang w:val="en-US" w:eastAsia="zh-CN" w:bidi="ar-SA"/>
              </w:rPr>
              <w:t>运送散装物料车辆应保持良好的密封状态，车辆不应装载过满，以免在运输途中颠簸洒落；在晴朗多风天气，装载土料时，应适当加湿或用帆布覆盖；</w:t>
            </w:r>
          </w:p>
          <w:p w14:paraId="2DAA9092">
            <w:pPr>
              <w:adjustRightInd w:val="0"/>
              <w:snapToGrid w:val="0"/>
              <w:spacing w:line="360" w:lineRule="auto"/>
              <w:ind w:firstLine="480" w:firstLineChars="200"/>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w:t>
            </w:r>
            <w:r>
              <w:rPr>
                <w:rStyle w:val="36"/>
                <w:rFonts w:hint="eastAsia" w:ascii="Times New Roman" w:hAnsi="宋体" w:cs="Times New Roman"/>
                <w:color w:val="auto"/>
                <w:kern w:val="0"/>
                <w:lang w:val="en-US" w:eastAsia="zh-CN" w:bidi="ar-SA"/>
              </w:rPr>
              <w:t>12</w:t>
            </w:r>
            <w:r>
              <w:rPr>
                <w:rStyle w:val="36"/>
                <w:rFonts w:hint="eastAsia" w:ascii="Times New Roman" w:hAnsi="宋体" w:eastAsia="宋体" w:cs="Times New Roman"/>
                <w:color w:val="auto"/>
                <w:kern w:val="0"/>
                <w:lang w:val="en-US" w:eastAsia="zh-CN" w:bidi="ar-SA"/>
              </w:rPr>
              <w:t>）</w:t>
            </w:r>
            <w:r>
              <w:rPr>
                <w:rStyle w:val="36"/>
                <w:rFonts w:hint="default" w:ascii="Times New Roman" w:hAnsi="宋体" w:eastAsia="宋体" w:cs="Times New Roman"/>
                <w:color w:val="auto"/>
                <w:kern w:val="0"/>
                <w:lang w:val="en-US" w:eastAsia="zh-CN" w:bidi="ar-SA"/>
              </w:rPr>
              <w:t>保持车辆进出施工场地路面清洁，设置洗车平台，完善排水设施，运输车辆应当在除泥、冲洗干净后，方可驶出施工工地；</w:t>
            </w:r>
          </w:p>
          <w:p w14:paraId="40C8D686">
            <w:pPr>
              <w:adjustRightInd w:val="0"/>
              <w:snapToGrid w:val="0"/>
              <w:spacing w:line="360" w:lineRule="auto"/>
              <w:ind w:firstLine="480" w:firstLineChars="200"/>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w:t>
            </w:r>
            <w:r>
              <w:rPr>
                <w:rStyle w:val="36"/>
                <w:rFonts w:hint="eastAsia" w:ascii="Times New Roman" w:hAnsi="宋体" w:cs="Times New Roman"/>
                <w:color w:val="auto"/>
                <w:kern w:val="0"/>
                <w:lang w:val="en-US" w:eastAsia="zh-CN" w:bidi="ar-SA"/>
              </w:rPr>
              <w:t>13</w:t>
            </w:r>
            <w:r>
              <w:rPr>
                <w:rStyle w:val="36"/>
                <w:rFonts w:hint="eastAsia" w:ascii="Times New Roman" w:hAnsi="宋体" w:eastAsia="宋体" w:cs="Times New Roman"/>
                <w:color w:val="auto"/>
                <w:kern w:val="0"/>
                <w:lang w:val="en-US" w:eastAsia="zh-CN" w:bidi="ar-SA"/>
              </w:rPr>
              <w:t>）</w:t>
            </w:r>
            <w:r>
              <w:rPr>
                <w:rStyle w:val="36"/>
                <w:rFonts w:hint="default" w:ascii="Times New Roman" w:hAnsi="宋体" w:eastAsia="宋体" w:cs="Times New Roman"/>
                <w:color w:val="auto"/>
                <w:kern w:val="0"/>
                <w:lang w:val="en-US" w:eastAsia="zh-CN" w:bidi="ar-SA"/>
              </w:rPr>
              <w:t>工地应有专人负责逸散性材料、垃圾、渣土、裸地等密闭、覆盖、洒水作业以及车辆清洗作业等，并记录扬尘控制措施的实施情况。</w:t>
            </w:r>
          </w:p>
          <w:p w14:paraId="2F6623FF">
            <w:pPr>
              <w:adjustRightInd w:val="0"/>
              <w:snapToGrid w:val="0"/>
              <w:spacing w:line="360" w:lineRule="auto"/>
              <w:ind w:firstLine="480" w:firstLineChars="200"/>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w:t>
            </w:r>
            <w:r>
              <w:rPr>
                <w:rStyle w:val="36"/>
                <w:rFonts w:hint="eastAsia" w:ascii="Times New Roman" w:hAnsi="宋体" w:cs="Times New Roman"/>
                <w:color w:val="auto"/>
                <w:kern w:val="0"/>
                <w:lang w:val="en-US" w:eastAsia="zh-CN" w:bidi="ar-SA"/>
              </w:rPr>
              <w:t>14</w:t>
            </w:r>
            <w:r>
              <w:rPr>
                <w:rStyle w:val="36"/>
                <w:rFonts w:hint="eastAsia" w:ascii="Times New Roman" w:hAnsi="宋体" w:eastAsia="宋体" w:cs="Times New Roman"/>
                <w:color w:val="auto"/>
                <w:kern w:val="0"/>
                <w:lang w:val="en-US" w:eastAsia="zh-CN" w:bidi="ar-SA"/>
              </w:rPr>
              <w:t>）</w:t>
            </w:r>
            <w:r>
              <w:rPr>
                <w:rStyle w:val="36"/>
                <w:rFonts w:hint="default" w:ascii="Times New Roman" w:hAnsi="宋体" w:eastAsia="宋体" w:cs="Times New Roman"/>
                <w:color w:val="auto"/>
                <w:kern w:val="0"/>
                <w:lang w:val="en-US" w:eastAsia="zh-CN" w:bidi="ar-SA"/>
              </w:rPr>
              <w:t>施工结束时，应及时对施工占用场地恢复地面道路及植被。</w:t>
            </w:r>
          </w:p>
          <w:p w14:paraId="1EA653F9">
            <w:pPr>
              <w:adjustRightInd w:val="0"/>
              <w:snapToGrid w:val="0"/>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通过以上措施，可在一定程度上减少扬尘的产生，从而减少对大气环境的影响。</w:t>
            </w:r>
          </w:p>
          <w:p w14:paraId="47A98F00">
            <w:pPr>
              <w:widowControl/>
              <w:adjustRightInd w:val="0"/>
              <w:snapToGrid w:val="0"/>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2、水污染物防治措施</w:t>
            </w:r>
          </w:p>
          <w:p w14:paraId="1A1CB8EF">
            <w:pPr>
              <w:widowControl/>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本项目废水主要包括钻井工艺废水、车辆冲洗废水以及生活污水。</w:t>
            </w:r>
          </w:p>
          <w:p w14:paraId="6D61E132">
            <w:pPr>
              <w:widowControl/>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（1）钻井液</w:t>
            </w:r>
          </w:p>
          <w:p w14:paraId="73C26958">
            <w:pPr>
              <w:widowControl/>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钻井液通过泥浆泵以废浆池为介质循环使用，不外排，待钻井结束后投加泥浆固化剂固化后作为周边路基维护的建材使用，不随便丢弃，对当地地表水环境影响较小，在当地环境可接受范围内。</w:t>
            </w:r>
          </w:p>
          <w:p w14:paraId="4DF17596">
            <w:pPr>
              <w:widowControl/>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为了加强项目钻井液储存的管理，环评要求建设单位做好以下几点：</w:t>
            </w:r>
          </w:p>
          <w:p w14:paraId="6F34A592">
            <w:pPr>
              <w:widowControl/>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①井场应实施清污分流，清污分流管道应完善畅通，并确保钻井液全部进入沉淀池处理后进入废浆池储存</w:t>
            </w:r>
            <w:r>
              <w:rPr>
                <w:rStyle w:val="36"/>
                <w:rFonts w:hint="eastAsia" w:ascii="Times New Roman" w:hAnsi="宋体" w:eastAsia="宋体" w:cs="Times New Roman"/>
                <w:color w:val="auto"/>
                <w:kern w:val="0"/>
                <w:lang w:val="en-US" w:eastAsia="zh-CN" w:bidi="ar-SA"/>
              </w:rPr>
              <w:t>，</w:t>
            </w:r>
            <w:r>
              <w:rPr>
                <w:rStyle w:val="36"/>
                <w:rFonts w:hint="default" w:ascii="Times New Roman" w:hAnsi="宋体" w:eastAsia="宋体" w:cs="Times New Roman"/>
                <w:color w:val="auto"/>
                <w:kern w:val="0"/>
                <w:lang w:val="en-US" w:eastAsia="zh-CN" w:bidi="ar-SA"/>
              </w:rPr>
              <w:t>保证闭路循环使用。</w:t>
            </w:r>
          </w:p>
          <w:p w14:paraId="46D049DA">
            <w:pPr>
              <w:widowControl/>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②不得乱排乱放废水。</w:t>
            </w:r>
          </w:p>
          <w:p w14:paraId="0DA45A41">
            <w:pPr>
              <w:widowControl/>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③现场人员应定期对废浆池渗漏情况进行巡检，发现异常情况立即汇报和整改，并作好记录。</w:t>
            </w:r>
          </w:p>
          <w:p w14:paraId="1F10E7F8">
            <w:pPr>
              <w:widowControl/>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（2）车辆冲洗废水</w:t>
            </w:r>
          </w:p>
          <w:p w14:paraId="2D932365">
            <w:pPr>
              <w:widowControl/>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每个井场进出口</w:t>
            </w:r>
            <w:r>
              <w:rPr>
                <w:rStyle w:val="36"/>
                <w:rFonts w:hint="eastAsia" w:ascii="Times New Roman" w:hAnsi="宋体" w:eastAsia="宋体" w:cs="Times New Roman"/>
                <w:color w:val="auto"/>
                <w:kern w:val="0"/>
                <w:lang w:val="en-US" w:eastAsia="zh-CN" w:bidi="ar-SA"/>
              </w:rPr>
              <w:t>对</w:t>
            </w:r>
            <w:r>
              <w:rPr>
                <w:rStyle w:val="36"/>
                <w:rFonts w:hint="default" w:ascii="Times New Roman" w:hAnsi="宋体" w:eastAsia="宋体" w:cs="Times New Roman"/>
                <w:color w:val="auto"/>
                <w:kern w:val="0"/>
                <w:lang w:val="en-US" w:eastAsia="zh-CN" w:bidi="ar-SA"/>
              </w:rPr>
              <w:t>车辆</w:t>
            </w:r>
            <w:r>
              <w:rPr>
                <w:rStyle w:val="36"/>
                <w:rFonts w:hint="eastAsia" w:ascii="Times New Roman" w:hAnsi="宋体" w:eastAsia="宋体" w:cs="Times New Roman"/>
                <w:color w:val="auto"/>
                <w:kern w:val="0"/>
                <w:lang w:val="en-US" w:eastAsia="zh-CN" w:bidi="ar-SA"/>
              </w:rPr>
              <w:t>进行</w:t>
            </w:r>
            <w:r>
              <w:rPr>
                <w:rStyle w:val="36"/>
                <w:rFonts w:hint="default" w:ascii="Times New Roman" w:hAnsi="宋体" w:eastAsia="宋体" w:cs="Times New Roman"/>
                <w:color w:val="auto"/>
                <w:kern w:val="0"/>
                <w:lang w:val="en-US" w:eastAsia="zh-CN" w:bidi="ar-SA"/>
              </w:rPr>
              <w:t>冲洗，配套建设容积10m</w:t>
            </w:r>
            <w:r>
              <w:rPr>
                <w:rStyle w:val="36"/>
                <w:rFonts w:hint="default" w:ascii="Times New Roman" w:hAnsi="宋体" w:eastAsia="宋体" w:cs="Times New Roman"/>
                <w:color w:val="auto"/>
                <w:kern w:val="0"/>
                <w:vertAlign w:val="superscript"/>
                <w:lang w:val="en-US" w:eastAsia="zh-CN" w:bidi="ar-SA"/>
              </w:rPr>
              <w:t>3</w:t>
            </w:r>
            <w:r>
              <w:rPr>
                <w:rStyle w:val="36"/>
                <w:rFonts w:hint="default" w:ascii="Times New Roman" w:hAnsi="宋体" w:eastAsia="宋体" w:cs="Times New Roman"/>
                <w:color w:val="auto"/>
                <w:kern w:val="0"/>
                <w:lang w:val="en-US" w:eastAsia="zh-CN" w:bidi="ar-SA"/>
              </w:rPr>
              <w:t>循环沉淀池，车辆清洗废水经沉淀池沉淀后循环使用，不外排。</w:t>
            </w:r>
          </w:p>
          <w:p w14:paraId="3854A03A">
            <w:pPr>
              <w:widowControl/>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（3）生活污水</w:t>
            </w:r>
          </w:p>
          <w:p w14:paraId="625971AF">
            <w:pPr>
              <w:widowControl/>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生活污水纳入</w:t>
            </w:r>
            <w:r>
              <w:rPr>
                <w:rStyle w:val="36"/>
                <w:rFonts w:hint="eastAsia" w:ascii="Times New Roman" w:hAnsi="宋体" w:eastAsia="宋体" w:cs="Times New Roman"/>
                <w:color w:val="auto"/>
                <w:kern w:val="0"/>
                <w:lang w:val="en-US" w:eastAsia="zh-CN" w:bidi="ar-SA"/>
              </w:rPr>
              <w:t>场地临时</w:t>
            </w:r>
            <w:r>
              <w:rPr>
                <w:rStyle w:val="36"/>
                <w:rFonts w:hint="default" w:ascii="Times New Roman" w:hAnsi="宋体" w:eastAsia="宋体" w:cs="Times New Roman"/>
                <w:color w:val="auto"/>
                <w:kern w:val="0"/>
                <w:lang w:val="en-US" w:eastAsia="zh-CN" w:bidi="ar-SA"/>
              </w:rPr>
              <w:t>化粪池等收集处理设施最终用于周边农田施肥，不外排。</w:t>
            </w:r>
          </w:p>
          <w:p w14:paraId="36C8007E">
            <w:pPr>
              <w:widowControl/>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生活污水农肥可行性分析：项目地处农村环境，根据对井场周边500m范围内的土地利用现状进行调查可知，由于项目地处农村环境，周边区域有大量耕地，对肥料的需求量很大。对当地地表水环境无影响，在当地环境可接受范围内，生活污水用于旱地农肥措施可行。因此，项目施工对局部水域水质的影响是不大的，且影响是短期的。</w:t>
            </w:r>
          </w:p>
          <w:p w14:paraId="01780715">
            <w:pPr>
              <w:widowControl/>
              <w:adjustRightInd w:val="0"/>
              <w:snapToGrid w:val="0"/>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3、噪声防治措施</w:t>
            </w:r>
          </w:p>
          <w:p w14:paraId="39286A7D">
            <w:pPr>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为减轻项目施工对周边敏感点的影响，评价提出如下措施加以控制：</w:t>
            </w:r>
          </w:p>
          <w:p w14:paraId="4273E689">
            <w:pPr>
              <w:widowControl/>
              <w:spacing w:line="360" w:lineRule="auto"/>
              <w:ind w:firstLine="480" w:firstLineChars="200"/>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（1）</w:t>
            </w:r>
            <w:r>
              <w:rPr>
                <w:rStyle w:val="36"/>
                <w:rFonts w:hint="default" w:ascii="Times New Roman" w:hAnsi="宋体" w:eastAsia="宋体" w:cs="Times New Roman"/>
                <w:color w:val="auto"/>
                <w:kern w:val="0"/>
                <w:lang w:val="en-US" w:eastAsia="zh-CN" w:bidi="ar-SA"/>
              </w:rPr>
              <w:t>合理安排施工时间，尽可能避免高噪声设备夜间同时施工，避免高噪声设备同时使用。除井筒工程必须连续施工外，夜间尽量不施工。井筒工程夜间施工，应提前向当地生态环境部门申请，并在附近敏感点张贴告示告知附近群众。</w:t>
            </w:r>
          </w:p>
          <w:p w14:paraId="534C91EC">
            <w:pPr>
              <w:widowControl/>
              <w:spacing w:line="360" w:lineRule="auto"/>
              <w:ind w:firstLine="480" w:firstLineChars="200"/>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（2）</w:t>
            </w:r>
            <w:r>
              <w:rPr>
                <w:rStyle w:val="36"/>
                <w:rFonts w:hint="default" w:ascii="Times New Roman" w:hAnsi="宋体" w:eastAsia="宋体" w:cs="Times New Roman"/>
                <w:color w:val="auto"/>
                <w:kern w:val="0"/>
                <w:lang w:val="en-US" w:eastAsia="zh-CN" w:bidi="ar-SA"/>
              </w:rPr>
              <w:t>在临近</w:t>
            </w:r>
            <w:r>
              <w:rPr>
                <w:rStyle w:val="36"/>
                <w:rFonts w:hint="eastAsia" w:ascii="Times New Roman" w:hAnsi="宋体" w:eastAsia="宋体" w:cs="Times New Roman"/>
                <w:color w:val="auto"/>
                <w:kern w:val="0"/>
                <w:lang w:val="en-US" w:eastAsia="zh-CN" w:bidi="ar-SA"/>
              </w:rPr>
              <w:t>2</w:t>
            </w:r>
            <w:r>
              <w:rPr>
                <w:rStyle w:val="36"/>
                <w:rFonts w:hint="default" w:ascii="Times New Roman" w:hAnsi="宋体" w:eastAsia="宋体" w:cs="Times New Roman"/>
                <w:color w:val="auto"/>
                <w:kern w:val="0"/>
                <w:lang w:val="en-US" w:eastAsia="zh-CN" w:bidi="ar-SA"/>
              </w:rPr>
              <w:t>号井场</w:t>
            </w:r>
            <w:r>
              <w:rPr>
                <w:rStyle w:val="36"/>
                <w:rFonts w:hint="eastAsia" w:ascii="Times New Roman" w:hAnsi="宋体" w:eastAsia="宋体" w:cs="Times New Roman"/>
                <w:color w:val="auto"/>
                <w:kern w:val="0"/>
                <w:lang w:val="en-US" w:eastAsia="zh-CN" w:bidi="ar-SA"/>
              </w:rPr>
              <w:t>东</w:t>
            </w:r>
            <w:r>
              <w:rPr>
                <w:rStyle w:val="36"/>
                <w:rFonts w:hint="default" w:ascii="Times New Roman" w:hAnsi="宋体" w:eastAsia="宋体" w:cs="Times New Roman"/>
                <w:color w:val="auto"/>
                <w:kern w:val="0"/>
                <w:lang w:val="en-US" w:eastAsia="zh-CN" w:bidi="ar-SA"/>
              </w:rPr>
              <w:t>场界、</w:t>
            </w:r>
            <w:r>
              <w:rPr>
                <w:rStyle w:val="36"/>
                <w:rFonts w:hint="eastAsia" w:ascii="Times New Roman" w:hAnsi="宋体" w:eastAsia="宋体" w:cs="Times New Roman"/>
                <w:color w:val="auto"/>
                <w:kern w:val="0"/>
                <w:lang w:val="en-US" w:eastAsia="zh-CN" w:bidi="ar-SA"/>
              </w:rPr>
              <w:t>3号井场东</w:t>
            </w:r>
            <w:r>
              <w:rPr>
                <w:rStyle w:val="36"/>
                <w:rFonts w:hint="default" w:ascii="Times New Roman" w:hAnsi="宋体" w:eastAsia="宋体" w:cs="Times New Roman"/>
                <w:color w:val="auto"/>
                <w:kern w:val="0"/>
                <w:lang w:val="en-US" w:eastAsia="zh-CN" w:bidi="ar-SA"/>
              </w:rPr>
              <w:t>场界</w:t>
            </w:r>
            <w:r>
              <w:rPr>
                <w:rStyle w:val="36"/>
                <w:rFonts w:hint="eastAsia" w:ascii="Times New Roman" w:hAnsi="宋体" w:eastAsia="宋体" w:cs="Times New Roman"/>
                <w:color w:val="auto"/>
                <w:kern w:val="0"/>
                <w:lang w:val="en-US" w:eastAsia="zh-CN" w:bidi="ar-SA"/>
              </w:rPr>
              <w:t>、4号井场南场界</w:t>
            </w:r>
            <w:r>
              <w:rPr>
                <w:rStyle w:val="36"/>
                <w:rFonts w:hint="default" w:ascii="Times New Roman" w:hAnsi="宋体" w:eastAsia="宋体" w:cs="Times New Roman"/>
                <w:color w:val="auto"/>
                <w:kern w:val="0"/>
                <w:lang w:val="en-US" w:eastAsia="zh-CN" w:bidi="ar-SA"/>
              </w:rPr>
              <w:t>施工时可采用移动式隔声屏障。</w:t>
            </w:r>
          </w:p>
          <w:p w14:paraId="46050605">
            <w:pPr>
              <w:widowControl/>
              <w:spacing w:line="360" w:lineRule="auto"/>
              <w:ind w:firstLine="480" w:firstLineChars="200"/>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（3）</w:t>
            </w:r>
            <w:r>
              <w:rPr>
                <w:rStyle w:val="36"/>
                <w:rFonts w:hint="default" w:ascii="Times New Roman" w:hAnsi="宋体" w:eastAsia="宋体" w:cs="Times New Roman"/>
                <w:color w:val="auto"/>
                <w:kern w:val="0"/>
                <w:lang w:val="en-US" w:eastAsia="zh-CN" w:bidi="ar-SA"/>
              </w:rPr>
              <w:t>施工机械应尽量选用低噪声设备，按规定操作机械设备对闲置不用的设备及时关闭，定期对机械设备维护管理。</w:t>
            </w:r>
          </w:p>
          <w:p w14:paraId="075983E5">
            <w:pPr>
              <w:widowControl/>
              <w:spacing w:line="360" w:lineRule="auto"/>
              <w:ind w:firstLine="480" w:firstLineChars="200"/>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（4）</w:t>
            </w:r>
            <w:r>
              <w:rPr>
                <w:rStyle w:val="36"/>
                <w:rFonts w:hint="default" w:ascii="Times New Roman" w:hAnsi="宋体" w:eastAsia="宋体" w:cs="Times New Roman"/>
                <w:color w:val="auto"/>
                <w:kern w:val="0"/>
                <w:lang w:val="en-US" w:eastAsia="zh-CN" w:bidi="ar-SA"/>
              </w:rPr>
              <w:t>物料进场选择在白天，装卸材料应做到轻拿轻放，运输车辆进入施工现场严禁鸣笛，做到文明施工。</w:t>
            </w:r>
          </w:p>
          <w:p w14:paraId="05A91875">
            <w:pPr>
              <w:widowControl/>
              <w:spacing w:line="360" w:lineRule="auto"/>
              <w:ind w:firstLine="480" w:firstLineChars="200"/>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（5）</w:t>
            </w:r>
            <w:r>
              <w:rPr>
                <w:rStyle w:val="36"/>
                <w:rFonts w:hint="default" w:ascii="Times New Roman" w:hAnsi="宋体" w:eastAsia="宋体" w:cs="Times New Roman"/>
                <w:color w:val="auto"/>
                <w:kern w:val="0"/>
                <w:lang w:val="en-US" w:eastAsia="zh-CN" w:bidi="ar-SA"/>
              </w:rPr>
              <w:t>在支架拆卸等过程中减少碰撞噪声，减轻人为噪声对声环境的影响。</w:t>
            </w:r>
          </w:p>
          <w:p w14:paraId="3921FECF">
            <w:pPr>
              <w:widowControl/>
              <w:spacing w:line="360" w:lineRule="auto"/>
              <w:ind w:firstLine="480" w:firstLineChars="200"/>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（6）</w:t>
            </w:r>
            <w:r>
              <w:rPr>
                <w:rStyle w:val="36"/>
                <w:rFonts w:hint="default" w:ascii="Times New Roman" w:hAnsi="宋体" w:eastAsia="宋体" w:cs="Times New Roman"/>
                <w:color w:val="auto"/>
                <w:kern w:val="0"/>
                <w:lang w:val="en-US" w:eastAsia="zh-CN" w:bidi="ar-SA"/>
              </w:rPr>
              <w:t>本次工程施工时高噪声设备不能集中同时使用，应合理安排使用时间，从而减小高噪声设备施工对周围敏感点的影响。</w:t>
            </w:r>
          </w:p>
          <w:p w14:paraId="7E67F800">
            <w:pPr>
              <w:widowControl/>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（7）</w:t>
            </w:r>
            <w:r>
              <w:rPr>
                <w:rStyle w:val="36"/>
                <w:rFonts w:hint="default" w:ascii="Times New Roman" w:hAnsi="宋体" w:eastAsia="宋体" w:cs="Times New Roman"/>
                <w:color w:val="auto"/>
                <w:kern w:val="0"/>
                <w:lang w:val="en-US" w:eastAsia="zh-CN" w:bidi="ar-SA"/>
              </w:rPr>
              <w:t>强化施工期噪声环境管理，确保居民点不受施工噪声干扰，避免扰民事件发生。经采取上述污染防治措施后，施工噪声不会对周围环境造成的大的不利影响。</w:t>
            </w:r>
          </w:p>
          <w:p w14:paraId="0C887FB1">
            <w:pPr>
              <w:widowControl/>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4、固体污染物防治措施</w:t>
            </w:r>
          </w:p>
          <w:p w14:paraId="225A1642">
            <w:pPr>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本项目产生的固体废物主要为一般固废、生活垃圾和危险废物。</w:t>
            </w:r>
          </w:p>
          <w:p w14:paraId="190BCB6A">
            <w:pPr>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一般固废主要为钻井废液、钻井岩屑和废包装材料。生活垃圾主要来自员工办公。危险废物主要为废润滑油和废润滑油桶、分类后的废含油抹布和废含油手套。</w:t>
            </w:r>
          </w:p>
          <w:p w14:paraId="57D638D5">
            <w:pPr>
              <w:pStyle w:val="5"/>
              <w:spacing w:line="360" w:lineRule="auto"/>
              <w:ind w:firstLine="48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钻井废液暂存于废浆池中，待钻井结束后投加泥浆固化剂后作为周边路基维护的建材使用；钻井岩屑经沉淀池沉淀后暂存于池中，本项目不以矿物油为连续相配制钻井泥浆，项目采用纤维素等进行钻井工作，泥浆干化后属于一般固废，作为周边路基维护的建材使用；废包装材料集中收集后外售处理。生活垃圾利用周边农村农户现有的设施进行收集，由环卫部门统一清运处理。废润滑油、废润滑油桶</w:t>
            </w:r>
            <w:r>
              <w:rPr>
                <w:rStyle w:val="36"/>
                <w:rFonts w:hint="eastAsia" w:ascii="Times New Roman" w:hAnsi="宋体" w:eastAsia="宋体" w:cs="Times New Roman"/>
                <w:color w:val="auto"/>
                <w:kern w:val="0"/>
                <w:lang w:val="en-US" w:eastAsia="zh-CN" w:bidi="ar-SA"/>
              </w:rPr>
              <w:t>、</w:t>
            </w:r>
            <w:r>
              <w:rPr>
                <w:rStyle w:val="36"/>
                <w:rFonts w:hint="default" w:ascii="Times New Roman" w:hAnsi="宋体" w:eastAsia="宋体" w:cs="Times New Roman"/>
                <w:color w:val="auto"/>
                <w:kern w:val="0"/>
                <w:lang w:val="en-US" w:eastAsia="zh-CN" w:bidi="ar-SA"/>
              </w:rPr>
              <w:t>分类后的废含油抹布和废含油手套需集中收集，暂存于</w:t>
            </w:r>
            <w:r>
              <w:rPr>
                <w:rStyle w:val="36"/>
                <w:rFonts w:hint="eastAsia" w:ascii="Times New Roman" w:hAnsi="宋体" w:eastAsia="宋体" w:cs="Times New Roman"/>
                <w:color w:val="auto"/>
                <w:kern w:val="0"/>
                <w:lang w:val="en-US" w:eastAsia="zh-CN" w:bidi="ar-SA"/>
              </w:rPr>
              <w:t>朱集西煤矿现有</w:t>
            </w:r>
            <w:r>
              <w:rPr>
                <w:rStyle w:val="36"/>
                <w:rFonts w:hint="default" w:ascii="Times New Roman" w:hAnsi="宋体" w:eastAsia="宋体" w:cs="Times New Roman"/>
                <w:color w:val="auto"/>
                <w:kern w:val="0"/>
                <w:lang w:val="en-US" w:eastAsia="zh-CN" w:bidi="ar-SA"/>
              </w:rPr>
              <w:t>危废暂存间内，</w:t>
            </w:r>
            <w:r>
              <w:rPr>
                <w:rStyle w:val="36"/>
                <w:rFonts w:hint="eastAsia" w:ascii="Times New Roman" w:hAnsi="宋体" w:eastAsia="宋体" w:cs="Times New Roman"/>
                <w:color w:val="auto"/>
                <w:kern w:val="0"/>
                <w:lang w:val="en-US" w:eastAsia="zh-CN" w:bidi="ar-SA"/>
              </w:rPr>
              <w:t>定期</w:t>
            </w:r>
            <w:r>
              <w:rPr>
                <w:rStyle w:val="36"/>
                <w:rFonts w:hint="default" w:ascii="Times New Roman" w:hAnsi="宋体" w:eastAsia="宋体" w:cs="Times New Roman"/>
                <w:color w:val="auto"/>
                <w:kern w:val="0"/>
                <w:lang w:val="en-US" w:eastAsia="zh-CN" w:bidi="ar-SA"/>
              </w:rPr>
              <w:t>交由有资质单位处置。</w:t>
            </w:r>
          </w:p>
          <w:p w14:paraId="42208243">
            <w:pPr>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综上所述，项目固废均得到合理处置，不会产生二次污染，对周边环境的影响较小。</w:t>
            </w:r>
          </w:p>
          <w:p w14:paraId="1D5ADAB0">
            <w:pPr>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（1）一般固废管理要求：</w:t>
            </w:r>
          </w:p>
          <w:p w14:paraId="6EAC13C1">
            <w:pPr>
              <w:spacing w:line="360" w:lineRule="auto"/>
              <w:ind w:firstLine="482"/>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一般固废暂存间应该满足相关法律法规要求：</w:t>
            </w:r>
          </w:p>
          <w:p w14:paraId="37CCA1F6">
            <w:pPr>
              <w:spacing w:line="360" w:lineRule="auto"/>
              <w:ind w:firstLine="482"/>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①按照《一般工业固体废物贮存和填埋污染控制标准》（GB18599-2020）中规定其贮存过程应满足相应防渗漏、防雨淋、防扬尘等环境保护要求。</w:t>
            </w:r>
          </w:p>
          <w:p w14:paraId="197A9412">
            <w:pPr>
              <w:spacing w:line="360" w:lineRule="auto"/>
              <w:ind w:firstLine="482"/>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②收集、贮存、运输、利用、处置固体废物的单位和其他生产经营者，应当加强对相关设施、设备和场所的管理和维护，保证其正常运行和使用。</w:t>
            </w:r>
          </w:p>
          <w:p w14:paraId="0FA07213">
            <w:pPr>
              <w:spacing w:line="360" w:lineRule="auto"/>
              <w:ind w:firstLine="482"/>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③产生、收集、贮存、运输、利用、处置固体废物的单位和其他生产经营者，应当采取防扬散、防流失、防渗漏或者其他防止污染环境的措施，不得擅自倾倒、堆放、丢弃、遗撒固体废物。禁止任何单位或者个人向江河、湖泊、运河、渠道、水库及其最高水位线以下的滩地和岸坡以及法律法规规定的其他地点倾倒、堆放、贮存固体废物。</w:t>
            </w:r>
          </w:p>
          <w:p w14:paraId="65100801">
            <w:pPr>
              <w:spacing w:line="360" w:lineRule="auto"/>
              <w:ind w:firstLine="482"/>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④禁止向生活垃圾收集设施中投放工业固体废物。</w:t>
            </w:r>
          </w:p>
          <w:p w14:paraId="25C79115">
            <w:pPr>
              <w:spacing w:line="360" w:lineRule="auto"/>
              <w:ind w:firstLine="482"/>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⑤产生工业固体废物的单位委托他人运输、利用、处置工业固体废物的，应当对受托方的主体资格和技术能力进行核实，依法签订书面合同，在合同中约定污染防治要求。 受托方运输、利用、处置工业固体废物，应当依照有关法律法规的规定和合同约定履行污染防治要求，并将运输、利用、处置情况告知产生工业固体废物的单位。 产生工业固体废物的单位违反本条第一款规定的，除依照有关法律法规的规定予以处罚外，还应当与造成环境污染和生态破坏的受托方承担连带责任。</w:t>
            </w:r>
          </w:p>
          <w:p w14:paraId="1163026A">
            <w:pPr>
              <w:spacing w:line="360" w:lineRule="auto"/>
              <w:ind w:firstLine="482"/>
              <w:rPr>
                <w:rStyle w:val="36"/>
                <w:rFonts w:hint="default"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⑥建设工业固体废物贮存、处置的设施、场所，应当符合《一般工业固体废物贮存和填埋污染控制标准》（GB18599-2020）。</w:t>
            </w:r>
          </w:p>
          <w:p w14:paraId="4DD617BA">
            <w:pPr>
              <w:spacing w:line="360" w:lineRule="auto"/>
              <w:ind w:firstLine="482"/>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（2）生活垃圾管理要求：</w:t>
            </w:r>
          </w:p>
          <w:p w14:paraId="781FA29F">
            <w:pPr>
              <w:spacing w:line="360" w:lineRule="auto"/>
              <w:ind w:firstLine="482"/>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按照《中华人民共和国固体废物污染环境防治法》（2020年04月30日）有关规定设置暂存场所，</w:t>
            </w:r>
            <w:r>
              <w:rPr>
                <w:rStyle w:val="36"/>
                <w:rFonts w:hint="eastAsia" w:ascii="Times New Roman" w:hAnsi="宋体" w:eastAsia="宋体" w:cs="Times New Roman"/>
                <w:color w:val="auto"/>
                <w:kern w:val="0"/>
                <w:lang w:val="en-US" w:eastAsia="zh-CN" w:bidi="ar-SA"/>
              </w:rPr>
              <w:t>应当依法在指定的地点分类投放生活垃圾。已经分类投放的生活垃圾，应当按照规定分类收集、分类运输、分类处理清扫、收集、运输、处理城乡生活垃圾，应当遵守国家有关环境保护和环境卫生管理的规定，防止污染环境。</w:t>
            </w:r>
          </w:p>
          <w:p w14:paraId="5D7C3C19">
            <w:pPr>
              <w:spacing w:line="360" w:lineRule="auto"/>
              <w:ind w:firstLine="482"/>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（3）项目危险废物管理要求：</w:t>
            </w:r>
          </w:p>
          <w:p w14:paraId="79CD9771">
            <w:pPr>
              <w:spacing w:line="360" w:lineRule="auto"/>
              <w:ind w:firstLine="482"/>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项目对危险废物进行临时贮存，转移和最终处置严格按照《危险废物收集、贮存、运输技术规范》（HJ2025-2012）中相关规定，危险废物临时贮存期间应满足《危险废物贮存污染控制标准》（GB18597-2023）和《中华人民共和国固体废弃物污染环境防治法》中的有关规定，严禁将危险废物混入非危险废物中，并对产生的危险废物向当地生态环境局备案。</w:t>
            </w:r>
          </w:p>
          <w:p w14:paraId="448AEF1B">
            <w:pPr>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按照危险固废处置的有关规定，对属于国家规定危险废物之列的固体废物，必须委托有资质单位进行妥善处理。外运时需要严格按照国家环境保护总局令第5号文件《危险废物转移联单管理办法》的相关规定报批危险废物转移计划，应做到不沿途抛洒；因此，必须加强对固体废弃物的管理，确保各类固体废弃物的妥善处置，固体废弃物贮存场所所应有明显的标志，并有防风、防雨、防晒等设施。</w:t>
            </w:r>
          </w:p>
          <w:p w14:paraId="4BC96D3F">
            <w:pPr>
              <w:widowControl/>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5、环境风险</w:t>
            </w:r>
            <w:r>
              <w:rPr>
                <w:rStyle w:val="36"/>
                <w:rFonts w:hint="eastAsia" w:ascii="Times New Roman" w:hAnsi="宋体" w:eastAsia="宋体" w:cs="Times New Roman"/>
                <w:color w:val="auto"/>
                <w:kern w:val="0"/>
                <w:lang w:val="en-US" w:eastAsia="zh-CN" w:bidi="ar-SA"/>
              </w:rPr>
              <w:t>防治</w:t>
            </w:r>
            <w:r>
              <w:rPr>
                <w:rStyle w:val="36"/>
                <w:rFonts w:hint="default" w:ascii="Times New Roman" w:hAnsi="宋体" w:eastAsia="宋体" w:cs="Times New Roman"/>
                <w:color w:val="auto"/>
                <w:kern w:val="0"/>
                <w:lang w:val="en-US" w:eastAsia="zh-CN" w:bidi="ar-SA"/>
              </w:rPr>
              <w:t>措施</w:t>
            </w:r>
          </w:p>
          <w:p w14:paraId="2E9BCE9D">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（1）火灾事故的风险防范措施</w:t>
            </w:r>
          </w:p>
          <w:p w14:paraId="3086A2CE">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①在储存场所附近配有足量的灭火器材，以便处理初期火灾；</w:t>
            </w:r>
          </w:p>
          <w:p w14:paraId="2AAE09D4">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②定期或不定期对消防设备进行检查，及时发现及时采取更换或维修；</w:t>
            </w:r>
          </w:p>
          <w:p w14:paraId="1B6A9373">
            <w:pPr>
              <w:pStyle w:val="23"/>
              <w:adjustRightInd/>
              <w:spacing w:line="360" w:lineRule="auto"/>
              <w:ind w:firstLine="480" w:firstLineChars="200"/>
              <w:jc w:val="both"/>
              <w:rPr>
                <w:rStyle w:val="36"/>
                <w:rFonts w:hint="eastAsia"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③定期或不定期对线路等进行检修，避免因线路老化造成短路而引起火灾的发生。</w:t>
            </w:r>
          </w:p>
          <w:p w14:paraId="64169B02">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④</w:t>
            </w:r>
            <w:r>
              <w:rPr>
                <w:rStyle w:val="36"/>
                <w:rFonts w:hint="default" w:ascii="Times New Roman" w:hAnsi="宋体" w:eastAsia="宋体" w:cs="Times New Roman"/>
                <w:color w:val="auto"/>
                <w:kern w:val="0"/>
                <w:lang w:val="en-US" w:eastAsia="zh-CN" w:bidi="ar-SA"/>
              </w:rPr>
              <w:t>为防止钻井过程中可能发生的甲烷气体溢出</w:t>
            </w:r>
            <w:r>
              <w:rPr>
                <w:rStyle w:val="36"/>
                <w:rFonts w:hint="eastAsia" w:ascii="Times New Roman" w:hAnsi="宋体" w:eastAsia="宋体" w:cs="Times New Roman"/>
                <w:color w:val="auto"/>
                <w:kern w:val="0"/>
                <w:lang w:val="en-US" w:eastAsia="zh-CN" w:bidi="ar-SA"/>
              </w:rPr>
              <w:t>，在</w:t>
            </w:r>
            <w:r>
              <w:rPr>
                <w:rStyle w:val="36"/>
                <w:rFonts w:hint="default" w:ascii="Times New Roman" w:hAnsi="宋体" w:eastAsia="宋体" w:cs="Times New Roman"/>
                <w:color w:val="auto"/>
                <w:kern w:val="0"/>
                <w:lang w:val="en-US" w:eastAsia="zh-CN" w:bidi="ar-SA"/>
              </w:rPr>
              <w:t>钻井井口需设置甲烷气体监测设备</w:t>
            </w:r>
            <w:r>
              <w:rPr>
                <w:rStyle w:val="36"/>
                <w:rFonts w:hint="eastAsia" w:ascii="Times New Roman" w:hAnsi="宋体" w:eastAsia="宋体" w:cs="Times New Roman"/>
                <w:color w:val="auto"/>
                <w:kern w:val="0"/>
                <w:lang w:val="en-US" w:eastAsia="zh-CN" w:bidi="ar-SA"/>
              </w:rPr>
              <w:t>，</w:t>
            </w:r>
            <w:r>
              <w:rPr>
                <w:rStyle w:val="36"/>
                <w:rFonts w:hint="default" w:ascii="Times New Roman" w:hAnsi="宋体" w:eastAsia="宋体" w:cs="Times New Roman"/>
                <w:color w:val="auto"/>
                <w:kern w:val="0"/>
                <w:lang w:val="en-US" w:eastAsia="zh-CN" w:bidi="ar-SA"/>
              </w:rPr>
              <w:t>并在钻井平台设置灭火器材。严格管理火种，划定禁火区，严禁携带火种进入禁火区内。</w:t>
            </w:r>
          </w:p>
          <w:p w14:paraId="26D3DCAA">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（2）泥浆水泄露或外溢风险防范措施</w:t>
            </w:r>
          </w:p>
          <w:p w14:paraId="68BF1FAD">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①泥浆水泄漏防范措施</w:t>
            </w:r>
          </w:p>
          <w:p w14:paraId="502C64EA">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a、废浆池体所在平台选址应避开不良地质或地质松散的地段，选择地质结构稳定的地方，并做好地面防渗工作。</w:t>
            </w:r>
          </w:p>
          <w:p w14:paraId="0F9625FC">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b、按相关要求规定对废浆干化池、废浆池等池体进行防渗处理。</w:t>
            </w:r>
          </w:p>
          <w:p w14:paraId="7EA82BAC">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c、加强员工操作，规范管理。</w:t>
            </w:r>
          </w:p>
          <w:p w14:paraId="62814C88">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②泥浆水外溢防范措施</w:t>
            </w:r>
          </w:p>
          <w:p w14:paraId="0FFCF35F">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a、对井场废浆干化池、废浆池等池体定期检查、巡视，避免池体储存量过大，保持池体留有一定的富余容量，减少池体储存量，降低废水外溢风险，特别在降雨来临之前要做好遮雨措施，防止废水渗漏或外溢污染地表水及浅层地下水。</w:t>
            </w:r>
          </w:p>
          <w:p w14:paraId="2D84E510">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b、井场采用清污分流系统，并定期进行维护，在暴雨季节，加强巡查，降低废水外溢的环境风险。</w:t>
            </w:r>
          </w:p>
          <w:p w14:paraId="70F3C306">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③</w:t>
            </w:r>
            <w:r>
              <w:rPr>
                <w:rStyle w:val="36"/>
                <w:rFonts w:hint="default" w:ascii="Times New Roman" w:hAnsi="宋体" w:eastAsia="宋体" w:cs="Times New Roman"/>
                <w:color w:val="auto"/>
                <w:kern w:val="0"/>
                <w:lang w:val="en-US" w:eastAsia="zh-CN" w:bidi="ar-SA"/>
              </w:rPr>
              <w:t>泥浆水外溢应急措施</w:t>
            </w:r>
          </w:p>
          <w:p w14:paraId="41FAA227">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设置地表水三级防控机制，项目地表水三级防控措施布置如下：</w:t>
            </w:r>
          </w:p>
          <w:p w14:paraId="53314484">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第一级防控措施是通过修建拦水沟和及时转运等措施，将废浆干化池、废浆池等池体所在平台沿地表加高20～50cm，并保持废浆干化池、废浆池等池体高为20～50cm，防止废水外溢。</w:t>
            </w:r>
          </w:p>
          <w:p w14:paraId="59154E5B">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第二级防控措施是在井场周围、废浆干化池、废浆池等池体周围设截水沟，将从井场、废浆干化池、废浆池等池体溢出的污水截留下来，截留的废水收集至废水池中。</w:t>
            </w:r>
          </w:p>
          <w:p w14:paraId="29A575DE">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第三级防控措施是在发生废水外溢事故时，在废浆干化池、废浆池等池体周围的低洼区域和废浆干化池、废浆池等池体外溢口处采用沙包、装土编织袋等拦截措施阻拦外溢废水，避免废水流入外环境之中。</w:t>
            </w:r>
          </w:p>
          <w:p w14:paraId="1F7ABD08">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（3）危险废物的储存要求和防范措施</w:t>
            </w:r>
          </w:p>
          <w:p w14:paraId="184C34FD">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本项目在</w:t>
            </w:r>
            <w:r>
              <w:rPr>
                <w:rStyle w:val="36"/>
                <w:rFonts w:hint="eastAsia" w:ascii="Times New Roman" w:hAnsi="宋体" w:eastAsia="宋体" w:cs="Times New Roman"/>
                <w:color w:val="auto"/>
                <w:kern w:val="0"/>
                <w:lang w:val="en-US" w:eastAsia="zh-CN" w:bidi="ar-SA"/>
              </w:rPr>
              <w:t>施工</w:t>
            </w:r>
            <w:r>
              <w:rPr>
                <w:rStyle w:val="36"/>
                <w:rFonts w:hint="default" w:ascii="Times New Roman" w:hAnsi="宋体" w:eastAsia="宋体" w:cs="Times New Roman"/>
                <w:color w:val="auto"/>
                <w:kern w:val="0"/>
                <w:lang w:val="en-US" w:eastAsia="zh-CN" w:bidi="ar-SA"/>
              </w:rPr>
              <w:t>过程中产生的废润滑油属于危险废物，因此必须对其加以严格控制以防止事故的发生，从而造成不必要的损失，为此本评价对上述危险物品提出如下规范或要求：</w:t>
            </w:r>
          </w:p>
          <w:p w14:paraId="3FE8DCB1">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①上述危险物品的贮存必须符合《中华人民共和国消防法》、《常用化学危险品贮存通则》（GB15603-1995）以及《仓库防火安全管理规则》等相关规定，如：贮存场所配备足够的、适应的消防器材，完善各项规章制度，在仓库等储存区设置明显的防火标志、危险标志等。</w:t>
            </w:r>
          </w:p>
          <w:p w14:paraId="4C26590B">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②存放各种危险物品时，要求做到稳固整齐，便于搬运，不致于稍受外力即跌落或因搬运不便而造成事故。</w:t>
            </w:r>
          </w:p>
          <w:p w14:paraId="7672B6AA">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（4）溢流、井喷风险防范措施</w:t>
            </w:r>
          </w:p>
          <w:p w14:paraId="2BB8B4B1">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①严格执行井控工作管理制度，落实溢流监测岗位、关井操作岗位和钻井队干部24h值班制度。</w:t>
            </w:r>
          </w:p>
          <w:p w14:paraId="1AA48BFB">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②对现场所有作业人员进行井控培训并定期举行不同工况下的井控演练。</w:t>
            </w:r>
          </w:p>
          <w:p w14:paraId="50F54221">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③严格落实坐岗制度，无论钻进还是起下钻，或其它辅助作业，钻井班落实专人坐岗观察钻井液池液面变化和钻井液出口情况。</w:t>
            </w:r>
          </w:p>
          <w:p w14:paraId="5279A867">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④认真做好随钻地层压力的监测工作，发现地层压力异常、溢流、井涌等情况，应及时关井并调整钻井液密度，同时上报有关部门。</w:t>
            </w:r>
          </w:p>
          <w:p w14:paraId="687D8D58">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⑤严格控制起下钻速度，起钻必须按照规定灌满钻井液。</w:t>
            </w:r>
          </w:p>
          <w:p w14:paraId="2222BC18">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⑥发生溢流后，根据关井压力，尽快在井口、地层和套管安全条件下压井，待井内平稳后才恢复钻进。</w:t>
            </w:r>
          </w:p>
          <w:p w14:paraId="3367B42F">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（5）火灾、泄漏事故次生污染防治措施</w:t>
            </w:r>
          </w:p>
          <w:p w14:paraId="381774DA">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企业发生危化品泄露或发生火灾事故进行消防时，污染废水或消防废水会到处溢流，可能进入厂区及外环境雨水系统，造成环境污染。</w:t>
            </w:r>
          </w:p>
          <w:p w14:paraId="6A6B8CE0">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（6）废润滑油储运过程中的风险防治措施</w:t>
            </w:r>
          </w:p>
          <w:p w14:paraId="7FE928BC">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①加强对废润滑油的</w:t>
            </w:r>
            <w:r>
              <w:rPr>
                <w:rStyle w:val="36"/>
                <w:rFonts w:hint="eastAsia" w:ascii="Times New Roman" w:hAnsi="宋体" w:eastAsia="宋体" w:cs="Times New Roman"/>
                <w:color w:val="auto"/>
                <w:kern w:val="0"/>
                <w:lang w:val="en-US" w:eastAsia="zh-CN" w:bidi="ar-SA"/>
              </w:rPr>
              <w:t>运输</w:t>
            </w:r>
            <w:r>
              <w:rPr>
                <w:rStyle w:val="36"/>
                <w:rFonts w:hint="default" w:ascii="Times New Roman" w:hAnsi="宋体" w:eastAsia="宋体" w:cs="Times New Roman"/>
                <w:color w:val="auto"/>
                <w:kern w:val="0"/>
                <w:lang w:val="en-US" w:eastAsia="zh-CN" w:bidi="ar-SA"/>
              </w:rPr>
              <w:t>管理，</w:t>
            </w:r>
            <w:r>
              <w:rPr>
                <w:rStyle w:val="36"/>
                <w:rFonts w:hint="eastAsia" w:ascii="Times New Roman" w:hAnsi="宋体" w:eastAsia="宋体" w:cs="Times New Roman"/>
                <w:color w:val="auto"/>
                <w:kern w:val="0"/>
                <w:lang w:val="en-US" w:eastAsia="zh-CN" w:bidi="ar-SA"/>
              </w:rPr>
              <w:t>产生后由专人运输至朱集西煤矿危废暂存间，禁止在井场内进行存放</w:t>
            </w:r>
            <w:r>
              <w:rPr>
                <w:rStyle w:val="36"/>
                <w:rFonts w:hint="default" w:ascii="Times New Roman" w:hAnsi="宋体" w:eastAsia="宋体" w:cs="Times New Roman"/>
                <w:color w:val="auto"/>
                <w:kern w:val="0"/>
                <w:lang w:val="en-US" w:eastAsia="zh-CN" w:bidi="ar-SA"/>
              </w:rPr>
              <w:t>。</w:t>
            </w:r>
          </w:p>
          <w:p w14:paraId="54BA2977">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（7）其他要求</w:t>
            </w:r>
          </w:p>
          <w:p w14:paraId="6580DF96">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①工程建设时严格按设计要求建设足够容积的各类池体，确保有足够容量存放钻井废液及岩屑。</w:t>
            </w:r>
          </w:p>
          <w:p w14:paraId="728D958E">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②安装符合行业规范要求的防喷器组，并进行压力测试，最低试压到18Mpa方可投入使用。</w:t>
            </w:r>
          </w:p>
          <w:p w14:paraId="45191E82">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通过风险防范措施制定，可以较为有效的最大限度防止风险事故的发生和风险事故的有效处置，结合企业在施工期间不断完善风险防范措施，项目发生的环境风险可以控制在较低的水平，风险发生概率及危害将低于国内同类企业水平，项目的事故风险值处于可接受水平。</w:t>
            </w:r>
          </w:p>
          <w:p w14:paraId="02A67BA7">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6、地下水、土壤防治措施</w:t>
            </w:r>
          </w:p>
          <w:p w14:paraId="7B85C13A">
            <w:pPr>
              <w:pStyle w:val="23"/>
              <w:adjustRightInd/>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本项目对地下水</w:t>
            </w:r>
            <w:r>
              <w:rPr>
                <w:rStyle w:val="36"/>
                <w:rFonts w:hint="eastAsia" w:ascii="Times New Roman" w:hAnsi="宋体" w:eastAsia="宋体" w:cs="Times New Roman"/>
                <w:color w:val="auto"/>
                <w:kern w:val="0"/>
                <w:lang w:val="en-US" w:eastAsia="zh-CN" w:bidi="ar-SA"/>
              </w:rPr>
              <w:t>、</w:t>
            </w:r>
            <w:r>
              <w:rPr>
                <w:rStyle w:val="36"/>
                <w:rFonts w:hint="default" w:ascii="Times New Roman" w:hAnsi="宋体" w:eastAsia="宋体" w:cs="Times New Roman"/>
                <w:color w:val="auto"/>
                <w:kern w:val="0"/>
                <w:lang w:val="en-US" w:eastAsia="zh-CN" w:bidi="ar-SA"/>
              </w:rPr>
              <w:t>土壤环境可能造成影响主要在钻井环节。钻孔穿过的地层可能引起各含水层越流补给，使地下水赋存条件发生变化，特别是通过径流使具有</w:t>
            </w:r>
            <w:r>
              <w:rPr>
                <w:rStyle w:val="36"/>
                <w:rFonts w:hint="eastAsia" w:ascii="Times New Roman" w:hAnsi="宋体" w:eastAsia="宋体" w:cs="Times New Roman"/>
                <w:color w:val="auto"/>
                <w:kern w:val="0"/>
                <w:lang w:val="en-US" w:eastAsia="zh-CN" w:bidi="ar-SA"/>
              </w:rPr>
              <w:t>水力联系</w:t>
            </w:r>
            <w:r>
              <w:rPr>
                <w:rStyle w:val="36"/>
                <w:rFonts w:hint="default" w:ascii="Times New Roman" w:hAnsi="宋体" w:eastAsia="宋体" w:cs="Times New Roman"/>
                <w:color w:val="auto"/>
                <w:kern w:val="0"/>
                <w:lang w:val="en-US" w:eastAsia="zh-CN" w:bidi="ar-SA"/>
              </w:rPr>
              <w:t>的含水水质受到污染；泥浆池渗漏可能对地下水造成污染。采取的防治措施如下</w:t>
            </w:r>
            <w:r>
              <w:rPr>
                <w:rStyle w:val="36"/>
                <w:rFonts w:hint="eastAsia" w:ascii="Times New Roman" w:hAnsi="宋体" w:eastAsia="宋体" w:cs="Times New Roman"/>
                <w:color w:val="auto"/>
                <w:kern w:val="0"/>
                <w:lang w:val="en-US" w:eastAsia="zh-CN" w:bidi="ar-SA"/>
              </w:rPr>
              <w:t>：</w:t>
            </w:r>
          </w:p>
          <w:p w14:paraId="36FF5DE5">
            <w:pPr>
              <w:pStyle w:val="23"/>
              <w:adjustRightInd/>
              <w:spacing w:line="360" w:lineRule="auto"/>
              <w:ind w:firstLine="480" w:firstLineChars="200"/>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（1）</w:t>
            </w:r>
            <w:r>
              <w:rPr>
                <w:rStyle w:val="36"/>
                <w:rFonts w:hint="default" w:ascii="Times New Roman" w:hAnsi="宋体" w:eastAsia="宋体" w:cs="Times New Roman"/>
                <w:color w:val="auto"/>
                <w:kern w:val="0"/>
                <w:lang w:val="en-US" w:eastAsia="zh-CN" w:bidi="ar-SA"/>
              </w:rPr>
              <w:t>本项目采用泥浆循环系统，泥浆从钻孔直接回收至固控系统，然后通过泥浆泵再次注入孔内，实现了地面泥浆循环不落地，固控系统过滤出的钻渣废浆排入废浆干化池，废浆干化池采用砖砌，面层水泥抹面做防渗层。</w:t>
            </w:r>
          </w:p>
          <w:p w14:paraId="45A9A00A">
            <w:pPr>
              <w:pStyle w:val="23"/>
              <w:adjustRightInd/>
              <w:spacing w:line="360" w:lineRule="auto"/>
              <w:ind w:firstLine="480" w:firstLineChars="200"/>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（2）</w:t>
            </w:r>
            <w:r>
              <w:rPr>
                <w:rStyle w:val="36"/>
                <w:rFonts w:hint="default" w:ascii="Times New Roman" w:hAnsi="宋体" w:eastAsia="宋体" w:cs="Times New Roman"/>
                <w:color w:val="auto"/>
                <w:kern w:val="0"/>
                <w:lang w:val="en-US" w:eastAsia="zh-CN" w:bidi="ar-SA"/>
              </w:rPr>
              <w:t>表层固井要求：表层固井必须封固含水层</w:t>
            </w:r>
            <w:r>
              <w:rPr>
                <w:rStyle w:val="36"/>
                <w:rFonts w:hint="eastAsia" w:ascii="Times New Roman" w:hAnsi="宋体" w:eastAsia="宋体" w:cs="Times New Roman"/>
                <w:color w:val="auto"/>
                <w:kern w:val="0"/>
                <w:lang w:val="en-US" w:eastAsia="zh-CN" w:bidi="ar-SA"/>
              </w:rPr>
              <w:t>。</w:t>
            </w:r>
          </w:p>
          <w:p w14:paraId="56F8A365">
            <w:pPr>
              <w:pStyle w:val="23"/>
              <w:adjustRightInd/>
              <w:spacing w:line="360" w:lineRule="auto"/>
              <w:ind w:firstLine="480" w:firstLineChars="200"/>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（3）</w:t>
            </w:r>
            <w:r>
              <w:rPr>
                <w:rStyle w:val="36"/>
                <w:rFonts w:hint="default" w:ascii="Times New Roman" w:hAnsi="宋体" w:eastAsia="宋体" w:cs="Times New Roman"/>
                <w:color w:val="auto"/>
                <w:kern w:val="0"/>
                <w:lang w:val="en-US" w:eastAsia="zh-CN" w:bidi="ar-SA"/>
              </w:rPr>
              <w:t>固井作业要求：为了确保地层的承压能力能够满足固井时防漏及打开气层时安全钻井的需要，在进入气层前必须按工程设计要求进行转化钻井液和工艺堵漏；固井所用水泥、外掺料、外加剂及水泥浆配方必须经公司工程技术管理部检验认可备案后，方可使用</w:t>
            </w:r>
            <w:r>
              <w:rPr>
                <w:rStyle w:val="36"/>
                <w:rFonts w:hint="eastAsia" w:ascii="Times New Roman" w:hAnsi="宋体" w:eastAsia="宋体" w:cs="Times New Roman"/>
                <w:color w:val="auto"/>
                <w:kern w:val="0"/>
                <w:lang w:val="en-US" w:eastAsia="zh-CN" w:bidi="ar-SA"/>
              </w:rPr>
              <w:t>。</w:t>
            </w:r>
          </w:p>
          <w:p w14:paraId="0B4A03C5">
            <w:pPr>
              <w:pStyle w:val="23"/>
              <w:adjustRightInd/>
              <w:spacing w:line="360" w:lineRule="auto"/>
              <w:ind w:firstLine="480" w:firstLineChars="200"/>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（4）</w:t>
            </w:r>
            <w:r>
              <w:rPr>
                <w:rStyle w:val="36"/>
                <w:rFonts w:hint="default" w:ascii="Times New Roman" w:hAnsi="宋体" w:eastAsia="宋体" w:cs="Times New Roman"/>
                <w:color w:val="auto"/>
                <w:kern w:val="0"/>
                <w:lang w:val="en-US" w:eastAsia="zh-CN" w:bidi="ar-SA"/>
              </w:rPr>
              <w:t>生产套管固井后钻水泥塞要求：钻完全井水泥塞后，必须大排量循环冲洗干净胶皮及铝片。</w:t>
            </w:r>
          </w:p>
          <w:p w14:paraId="6B05F13E">
            <w:pPr>
              <w:pStyle w:val="23"/>
              <w:adjustRightInd/>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（5）</w:t>
            </w:r>
            <w:r>
              <w:rPr>
                <w:rStyle w:val="36"/>
                <w:rFonts w:hint="default" w:ascii="Times New Roman" w:hAnsi="宋体" w:eastAsia="宋体" w:cs="Times New Roman"/>
                <w:color w:val="auto"/>
                <w:kern w:val="0"/>
                <w:lang w:val="en-US" w:eastAsia="zh-CN" w:bidi="ar-SA"/>
              </w:rPr>
              <w:t>防渗措施</w:t>
            </w:r>
            <w:r>
              <w:rPr>
                <w:rStyle w:val="36"/>
                <w:rFonts w:hint="eastAsia" w:ascii="Times New Roman" w:hAnsi="宋体" w:eastAsia="宋体" w:cs="Times New Roman"/>
                <w:color w:val="auto"/>
                <w:kern w:val="0"/>
                <w:lang w:val="en-US" w:eastAsia="zh-CN" w:bidi="ar-SA"/>
              </w:rPr>
              <w:t>：</w:t>
            </w:r>
            <w:r>
              <w:rPr>
                <w:rStyle w:val="36"/>
                <w:rFonts w:hint="default" w:ascii="Times New Roman" w:hAnsi="宋体" w:eastAsia="宋体" w:cs="Times New Roman"/>
                <w:color w:val="auto"/>
                <w:kern w:val="0"/>
                <w:lang w:val="en-US" w:eastAsia="zh-CN" w:bidi="ar-SA"/>
              </w:rPr>
              <w:t>为进一步减少工程建设对地下水环境的影响，环评建议对井场各区域切实做好防渗措施。</w:t>
            </w:r>
          </w:p>
          <w:p w14:paraId="1CC6B26B">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采取以上措施后，本项目对地下水、土壤环境的影响较小。</w:t>
            </w:r>
          </w:p>
          <w:p w14:paraId="369148AF">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7、生态保护防治措施</w:t>
            </w:r>
          </w:p>
          <w:p w14:paraId="0BEC42FE">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（1）土地利用现有格局的保护和恢复措施</w:t>
            </w:r>
          </w:p>
          <w:p w14:paraId="612B9C6C">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①施工占地合理规划，尽量控制工程施工活动范围，减少对周边占地的影响。</w:t>
            </w:r>
          </w:p>
          <w:p w14:paraId="2CBA8578">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②</w:t>
            </w:r>
            <w:r>
              <w:rPr>
                <w:rStyle w:val="36"/>
                <w:rFonts w:hint="default" w:ascii="Times New Roman" w:hAnsi="宋体" w:eastAsia="宋体" w:cs="Times New Roman"/>
                <w:color w:val="auto"/>
                <w:kern w:val="0"/>
                <w:lang w:val="en-US" w:eastAsia="zh-CN" w:bidi="ar-SA"/>
              </w:rPr>
              <w:t>按设计标准规定，严格控制施工作业面积，不得超过作业标准规定，以减少土壤扰动和地表植被破坏，减少裸地和土方暴露面积。</w:t>
            </w:r>
          </w:p>
          <w:p w14:paraId="7AB628D6">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③</w:t>
            </w:r>
            <w:r>
              <w:rPr>
                <w:rStyle w:val="36"/>
                <w:rFonts w:hint="default" w:ascii="Times New Roman" w:hAnsi="宋体" w:eastAsia="宋体" w:cs="Times New Roman"/>
                <w:color w:val="auto"/>
                <w:kern w:val="0"/>
                <w:lang w:val="en-US" w:eastAsia="zh-CN" w:bidi="ar-SA"/>
              </w:rPr>
              <w:t>井场施工作业机械应严格管理，划定活动范围，不得在道路场地以外的地方行驶和作业，保持路外植被不被破坏。</w:t>
            </w:r>
          </w:p>
          <w:p w14:paraId="352692EC">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④</w:t>
            </w:r>
            <w:r>
              <w:rPr>
                <w:rStyle w:val="36"/>
                <w:rFonts w:hint="default" w:ascii="Times New Roman" w:hAnsi="宋体" w:eastAsia="宋体" w:cs="Times New Roman"/>
                <w:color w:val="auto"/>
                <w:kern w:val="0"/>
                <w:lang w:val="en-US" w:eastAsia="zh-CN" w:bidi="ar-SA"/>
              </w:rPr>
              <w:t>项目施工过程中涉及挖方量大的项目应加快施工进度，缩短施工时间，对产生的挖方及时进行平整处理。此外，施工时应避免在雨天、大风等天气条件不利情况下施工，做到水土流失最小化，如遇特殊天气施工，应用施工布料对现挖松散临时土方进行临时遮掩，保证有效控制水土流失。</w:t>
            </w:r>
          </w:p>
          <w:p w14:paraId="348B3559">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⑤</w:t>
            </w:r>
            <w:r>
              <w:rPr>
                <w:rStyle w:val="36"/>
                <w:rFonts w:hint="default" w:ascii="Times New Roman" w:hAnsi="宋体" w:eastAsia="宋体" w:cs="Times New Roman"/>
                <w:color w:val="auto"/>
                <w:kern w:val="0"/>
                <w:lang w:val="en-US" w:eastAsia="zh-CN" w:bidi="ar-SA"/>
              </w:rPr>
              <w:t>施工结束后，应恢复地貌原状。施工时对占地范围的土壤开挖应做分区堆放，分层回填压实，以保护植被生长层，降低对土壤养分的影响尽快使土壤恢复生产力，同时减少水土流失。</w:t>
            </w:r>
          </w:p>
          <w:p w14:paraId="054EA45A">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（2）水土流失防治措施</w:t>
            </w:r>
          </w:p>
          <w:p w14:paraId="6E50532D">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①尽量避开雨季施工，提高工程施工效率，缩短施工工期。</w:t>
            </w:r>
          </w:p>
          <w:p w14:paraId="7944545A">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②划定施工作业范围线，不随意扩大。并严格控制机械和车辆的作业范围，尽可能减少对土壤和农作物的破坏以及由此引发的水土流失。</w:t>
            </w:r>
          </w:p>
          <w:p w14:paraId="09152C76">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③施工单位开工前，应先剥离占地范围内表层土，井场范围内表层土堆至于表层土堆放区内，并对表层土堆放区采用彩条布遮挡、构筑截、排水沟等水保措施，防止水土流失。</w:t>
            </w:r>
          </w:p>
          <w:p w14:paraId="1ADD19EC">
            <w:pPr>
              <w:pStyle w:val="7"/>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（3）生态影响防护措施</w:t>
            </w:r>
          </w:p>
          <w:p w14:paraId="5A0A3A2A">
            <w:pPr>
              <w:pStyle w:val="7"/>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生态影响的防护是指采取对生态影响起到避免、削减和补偿作用的措施。</w:t>
            </w:r>
          </w:p>
          <w:p w14:paraId="0D4BDD6E">
            <w:pPr>
              <w:pStyle w:val="7"/>
              <w:spacing w:line="360" w:lineRule="auto"/>
              <w:ind w:firstLine="480" w:firstLineChars="200"/>
              <w:jc w:val="both"/>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本项目井场建设短期内会改变区域土地利用，降低区域自然体系的生产能力，因此，应采取必要的生态防护措施，尽可能的减少对原有生态结构的改变，恢复和改善原生生态系统的功能。在井场建设时要求：</w:t>
            </w:r>
          </w:p>
          <w:p w14:paraId="670F2090">
            <w:pPr>
              <w:pStyle w:val="7"/>
              <w:spacing w:line="360" w:lineRule="auto"/>
              <w:ind w:firstLine="480" w:firstLineChars="200"/>
              <w:jc w:val="both"/>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①强化施工阶段的环境管理，为了保证环境保护措施得到落实，项目单位应将环境保护内容作为合同条款纳入到合同中，要求施工单位按评价要求科学、合理施工，项目单位定期对工程施工情况进行监督。</w:t>
            </w:r>
          </w:p>
          <w:p w14:paraId="59E50E9B">
            <w:pPr>
              <w:pStyle w:val="7"/>
              <w:spacing w:line="360" w:lineRule="auto"/>
              <w:ind w:firstLine="480" w:firstLineChars="200"/>
              <w:jc w:val="both"/>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②加强施工队伍职工环境教育，规范施工人员行为。教育职工爱护生态环境，保护施工场所周围一草一木，不随意摘花折木，严禁砍伐、破坏施工带以外的作物和树木，尽量减少对植被的破坏。</w:t>
            </w:r>
          </w:p>
          <w:p w14:paraId="4EEDB772">
            <w:pPr>
              <w:pStyle w:val="7"/>
              <w:spacing w:line="360" w:lineRule="auto"/>
              <w:ind w:firstLine="480" w:firstLineChars="200"/>
              <w:jc w:val="both"/>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③项目单位要聘请有资质的监理单位进行工程监理，监理单位即要做好工程质量监理，更要做好环保监理，要求施工单位在规定的施工作业面内文明施工，禁止在施工人员进入作业面以外区域，以尽可能减小施工期对土地和植被的破坏。</w:t>
            </w:r>
          </w:p>
          <w:p w14:paraId="55D95CEE">
            <w:pPr>
              <w:pStyle w:val="7"/>
              <w:spacing w:line="360" w:lineRule="auto"/>
              <w:ind w:firstLine="480" w:firstLineChars="200"/>
              <w:jc w:val="both"/>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④在职工中宣传环境保护法规，加强施工生产和生活用火管理，要防止引起火灾，避免造成不必要的损失和破坏。加强员工的环保意识，制定和完善企业内部环境保护工作的规章制度；宣传清洁生产技术思想，进行清洁生产技术培训；积极建立清洁生产环境管理体系；同时建立安全监督机制，进行安全考核等。</w:t>
            </w:r>
          </w:p>
          <w:p w14:paraId="5C558305">
            <w:pPr>
              <w:pStyle w:val="7"/>
              <w:spacing w:line="360" w:lineRule="auto"/>
              <w:ind w:firstLine="480" w:firstLineChars="200"/>
              <w:jc w:val="both"/>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⑤施工结束后应采用套管+水泥砂浆予以恰当封孔并留地面标记进行封井，施工占地应利用原土回填，恢复原有植被。</w:t>
            </w:r>
          </w:p>
          <w:p w14:paraId="12F2D84C">
            <w:pPr>
              <w:pStyle w:val="7"/>
              <w:spacing w:line="360" w:lineRule="auto"/>
              <w:ind w:firstLine="480" w:firstLineChars="200"/>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项目施工结束后，井场全部进行生态恢复，项目因占地、植物减少、土壤扰动和水土流失等生态问题和生态扰动都将恢复。</w:t>
            </w:r>
          </w:p>
          <w:p w14:paraId="6A7AA6B6">
            <w:pPr>
              <w:pStyle w:val="23"/>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（4）临时用地复垦措施</w:t>
            </w:r>
          </w:p>
          <w:p w14:paraId="7BAD4C87">
            <w:pPr>
              <w:pStyle w:val="23"/>
              <w:spacing w:line="360" w:lineRule="auto"/>
              <w:ind w:firstLine="480" w:firstLineChars="200"/>
              <w:jc w:val="both"/>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本项目施工期结束后需要对临时用地进行土地恢复，使临时用地状况恢复到原有水平。本项目建设单位已制定临时用地复垦方案，建设单位施工完成后要严格落实复垦方案中的措施，因地制宜，以恢复项目区原有土地利用类型为主，改善生态环境，改善破坏土地的质量。</w:t>
            </w:r>
          </w:p>
          <w:p w14:paraId="6B47E70E">
            <w:pPr>
              <w:pStyle w:val="23"/>
              <w:spacing w:line="360" w:lineRule="auto"/>
              <w:ind w:firstLine="480" w:firstLineChars="200"/>
              <w:jc w:val="both"/>
              <w:rPr>
                <w:rStyle w:val="36"/>
                <w:rFonts w:hint="eastAsia" w:ascii="Times New Roman" w:hAnsi="宋体" w:eastAsia="宋体" w:cs="Times New Roman"/>
                <w:color w:val="auto"/>
                <w:kern w:val="0"/>
                <w:lang w:val="en-US" w:eastAsia="zh-CN" w:bidi="ar-SA"/>
              </w:rPr>
            </w:pPr>
            <w:r>
              <w:rPr>
                <w:rStyle w:val="36"/>
                <w:rFonts w:hint="eastAsia" w:ascii="Times New Roman" w:hAnsi="宋体" w:eastAsia="宋体" w:cs="Times New Roman"/>
                <w:color w:val="auto"/>
                <w:kern w:val="0"/>
                <w:lang w:val="en-US" w:eastAsia="zh-CN" w:bidi="ar-SA"/>
              </w:rPr>
              <w:t>本项目涉及临时用地对土地的损毁主要为土壤物理性质和结构遭到损坏，临时用地毁坏类型主要为压占，毁坏程度为中度破坏。在落实复垦方案中的措施后，使临时用地性质恢复到原有水平，复垦结束后，要对复垦对象进行为期一年的管护，确保复垦工程能够达到预期效果。具体复垦措施如下所示：</w:t>
            </w:r>
          </w:p>
          <w:p w14:paraId="44CB6EE5">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①表土剥离：表土层的剥离在本工程土地复垦中极为重要，耕作层土壤和表层土壤是经过多年耕作和植物作用而形成的熟化土壤，对于植物种子的萌发和幼苗的生长有着重要作用。在临时用地占用前，对临时地块内占用耕地部分进行0.3m厚表土剥离。</w:t>
            </w:r>
          </w:p>
          <w:p w14:paraId="1E31AE00">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②表土</w:t>
            </w:r>
            <w:r>
              <w:rPr>
                <w:rStyle w:val="36"/>
                <w:rFonts w:hint="eastAsia" w:ascii="Times New Roman" w:hAnsi="宋体" w:eastAsia="宋体" w:cs="Times New Roman"/>
                <w:color w:val="auto"/>
                <w:kern w:val="0"/>
                <w:lang w:val="en-US" w:eastAsia="zh-CN" w:bidi="ar-SA"/>
              </w:rPr>
              <w:t>堆存与</w:t>
            </w:r>
            <w:r>
              <w:rPr>
                <w:rStyle w:val="36"/>
                <w:rFonts w:hint="default" w:ascii="Times New Roman" w:hAnsi="宋体" w:eastAsia="宋体" w:cs="Times New Roman"/>
                <w:color w:val="auto"/>
                <w:kern w:val="0"/>
                <w:lang w:val="en-US" w:eastAsia="zh-CN" w:bidi="ar-SA"/>
              </w:rPr>
              <w:t>防护：在表土堆放区周围釆用1m高的草袋防护。堆土区两侧边坡和堆放区顶面均釆用草籽进行防护。堆土区边缘部位需修筑排水沟，以阻挡周边雨水，排水沟断面根据当地暴雨特征值与汇流面积计算后选用底宽0.5m、口宽1m、深0.5m的梯形断面，为防止表土堆放区内四周冲刷沟的产生，在雨季需在表土堆放区上覆盖防水编织布</w:t>
            </w:r>
            <w:r>
              <w:rPr>
                <w:rStyle w:val="36"/>
                <w:rFonts w:hint="eastAsia" w:ascii="Times New Roman" w:hAnsi="宋体" w:cs="Times New Roman"/>
                <w:color w:val="auto"/>
                <w:kern w:val="0"/>
                <w:lang w:val="en-US" w:eastAsia="zh-CN" w:bidi="ar-SA"/>
              </w:rPr>
              <w:t>。</w:t>
            </w:r>
          </w:p>
          <w:p w14:paraId="67C3ACF5">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③建筑垃圾拆除及清运：对临时用地局部硬化路面进行拆除并清运出项目区，用于周边农村素土便道垫路，无法利用的建筑垃圾清运到政府指定地点，中转清运。</w:t>
            </w:r>
          </w:p>
          <w:p w14:paraId="0E5D503F">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④土地深松：场地清理工作结束后，对各类场地进行填凹、推平，再用机械深耕，租用当地松土机对耕地进行松土，松土深度30-50cm，通过深翻深耕，提高土壤入渗能力。</w:t>
            </w:r>
          </w:p>
          <w:p w14:paraId="3A828836">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⑤表土回填：在对压占土地翻耕后，将前期剥离的表土进行回填，回填土方量为前期剥离量之和，可保证复垦后恢复原地貌。</w:t>
            </w:r>
          </w:p>
          <w:p w14:paraId="2FC1EA0D">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⑥道路修复：临时用地施工便道连接农村道路使用期间可能会产生一定损毁，对损毁路面进行修复，临时用地使用完毕后将恢复成原地貌，复垦后道路通达率与原地块通达率一致，仍为100%。</w:t>
            </w:r>
          </w:p>
          <w:p w14:paraId="5B2512F4">
            <w:pPr>
              <w:pStyle w:val="23"/>
              <w:adjustRightInd/>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⑦在工程复垦结束后，进行生物复垦，快速恢复植被，从而有效地控制水土流失，改善项目区生态环境。</w:t>
            </w:r>
          </w:p>
          <w:p w14:paraId="60682828">
            <w:pPr>
              <w:pStyle w:val="7"/>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w:t>
            </w:r>
            <w:r>
              <w:rPr>
                <w:rStyle w:val="36"/>
                <w:rFonts w:hint="eastAsia" w:ascii="Times New Roman" w:hAnsi="宋体" w:eastAsia="宋体" w:cs="Times New Roman"/>
                <w:color w:val="auto"/>
                <w:kern w:val="0"/>
                <w:lang w:val="en-US" w:eastAsia="zh-CN" w:bidi="ar-SA"/>
              </w:rPr>
              <w:t>5</w:t>
            </w:r>
            <w:r>
              <w:rPr>
                <w:rStyle w:val="36"/>
                <w:rFonts w:hint="default" w:ascii="Times New Roman" w:hAnsi="宋体" w:eastAsia="宋体" w:cs="Times New Roman"/>
                <w:color w:val="auto"/>
                <w:kern w:val="0"/>
                <w:lang w:val="en-US" w:eastAsia="zh-CN" w:bidi="ar-SA"/>
              </w:rPr>
              <w:t>）临时占地生态保护措施</w:t>
            </w:r>
          </w:p>
          <w:p w14:paraId="19775C51">
            <w:pPr>
              <w:pStyle w:val="7"/>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根据《土地管理法》规定和相关地方规定，对工程临时征地进行补偿；严禁砍伐野外植被；严格规定施工作业范围，严格限制施工活动范围；鼓励居民进行植被恢复。项目施工结束后，硬化地面、雨水沟、污水沟等地面设施进行整体拆除，对拆除过程中可重复使用的材料可运至其他井站进行重复利用，水泥渣、碎石等尽可能用于其他井场的道路和井场建设，不可利用部分运至政府指定的渣场，做到工完、料净、场地清，对构筑的设备基础拆除后作场地边坡凹地平整填方区填方回填，不留坑凼；清除场内固体废物，平整井场，在表层覆盖耕作土层，将废弃的井场恢复原状。</w:t>
            </w:r>
          </w:p>
          <w:p w14:paraId="16EE96E2">
            <w:pPr>
              <w:pStyle w:val="7"/>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w:t>
            </w:r>
            <w:r>
              <w:rPr>
                <w:rStyle w:val="36"/>
                <w:rFonts w:hint="eastAsia" w:ascii="Times New Roman" w:hAnsi="宋体" w:eastAsia="宋体" w:cs="Times New Roman"/>
                <w:color w:val="auto"/>
                <w:kern w:val="0"/>
                <w:lang w:val="en-US" w:eastAsia="zh-CN" w:bidi="ar-SA"/>
              </w:rPr>
              <w:t>6</w:t>
            </w:r>
            <w:r>
              <w:rPr>
                <w:rStyle w:val="36"/>
                <w:rFonts w:hint="default" w:ascii="Times New Roman" w:hAnsi="宋体" w:eastAsia="宋体" w:cs="Times New Roman"/>
                <w:color w:val="auto"/>
                <w:kern w:val="0"/>
                <w:lang w:val="en-US" w:eastAsia="zh-CN" w:bidi="ar-SA"/>
              </w:rPr>
              <w:t>）完井后环境保护措施</w:t>
            </w:r>
          </w:p>
          <w:p w14:paraId="4D663F69">
            <w:pPr>
              <w:pStyle w:val="7"/>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完井后将对钻井设备、基础进行拆除、搬迁，封井口作业，最终对临时占地进行恢复。</w:t>
            </w:r>
          </w:p>
          <w:p w14:paraId="2DEF5059">
            <w:pPr>
              <w:pStyle w:val="7"/>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①井口封隔措施</w:t>
            </w:r>
          </w:p>
          <w:p w14:paraId="578F793C">
            <w:pPr>
              <w:pStyle w:val="7"/>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采用泵送的方式分段向井内注入水泥浆封井，封井完成后，在井口设立永久标志：包含井名、项目名称、开钻日期、完钻日期、完钻井深及施工单位名称等。</w:t>
            </w:r>
          </w:p>
          <w:p w14:paraId="271FEB11">
            <w:pPr>
              <w:pStyle w:val="7"/>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②临时占地保护措施</w:t>
            </w:r>
          </w:p>
          <w:p w14:paraId="081C9D2D">
            <w:pPr>
              <w:pStyle w:val="7"/>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本次评价结合项目土地占用情况，按照因地制宜的原则，对临时占地在完钻时的土地复垦提出以下建议：</w:t>
            </w:r>
          </w:p>
          <w:p w14:paraId="75A51ADB">
            <w:pPr>
              <w:pStyle w:val="7"/>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利用井场剥离表层土回填，复垦为旱地或根据当地居民要求复垦为其他用地；井场基础设施拆除后，建议复垦为旱地。</w:t>
            </w:r>
          </w:p>
          <w:p w14:paraId="0E31ADCB">
            <w:pPr>
              <w:pStyle w:val="7"/>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③表层土回填措施</w:t>
            </w:r>
          </w:p>
          <w:p w14:paraId="1703074D">
            <w:pPr>
              <w:pStyle w:val="7"/>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项目施工期间在井场设置表层土堆放区，用于堆放剥离的表层土，表层土用于土地复垦用土；填方由井场池体等挖出的土方进行回填，挖出的土方堆放于土方堆放区，待钻井工程完成后回填于泥浆循环池等池体，最终得到合理利用。表层土回填时，可混合基肥或土壤改良剂以利于植草，表层土应均匀回填并夯压整平，回填整平后之后尽快植草以防表层土流失。</w:t>
            </w:r>
          </w:p>
          <w:p w14:paraId="30A3844C">
            <w:pPr>
              <w:pStyle w:val="7"/>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④土地复垦质量要求</w:t>
            </w:r>
          </w:p>
          <w:p w14:paraId="2BC80D4D">
            <w:pPr>
              <w:pStyle w:val="7"/>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钻前阶段：合理进行施工布置，精心组织施工管理，尽量减少对生态环境的影响范围和程度；合理安排工作计划和作业时间，尽量减少项目区域内植被的破坏，对在植被覆盖度相对较高区域，应预先剥离表层植被层和土壤，以备后期进行迹地恢复，采取一定的生物措施，有效保持水土和改善生态环境。</w:t>
            </w:r>
          </w:p>
          <w:p w14:paraId="7DE09424">
            <w:pPr>
              <w:pStyle w:val="7"/>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完井阶段：工程应按照土地复垦方案的相关要求进行复垦，复垦时可混合基肥或土壤改良剂以利于植草。耕植土应均匀回填并夯压整平，回填整平之后尽快植草以防耕植土流失。复垦后应达到《土地复垦质量控制标准》（TD</w:t>
            </w:r>
            <w:r>
              <w:rPr>
                <w:rStyle w:val="36"/>
                <w:rFonts w:hint="eastAsia" w:hAnsi="宋体" w:cs="Times New Roman"/>
                <w:color w:val="auto"/>
                <w:kern w:val="0"/>
                <w:lang w:val="en-US" w:eastAsia="zh-CN" w:bidi="ar-SA"/>
              </w:rPr>
              <w:t>/</w:t>
            </w:r>
            <w:r>
              <w:rPr>
                <w:rStyle w:val="36"/>
                <w:rFonts w:hint="default" w:ascii="Times New Roman" w:hAnsi="宋体" w:eastAsia="宋体" w:cs="Times New Roman"/>
                <w:color w:val="auto"/>
                <w:kern w:val="0"/>
                <w:lang w:val="en-US" w:eastAsia="zh-CN" w:bidi="ar-SA"/>
              </w:rPr>
              <w:t>T1036-2013）中规定的要求。即：</w:t>
            </w:r>
          </w:p>
          <w:p w14:paraId="6ED46F80">
            <w:pPr>
              <w:pStyle w:val="7"/>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a、旱地田面坡度不得超过25°。复垦地为水浇地、水田时，地面坡度不宣超过15°。</w:t>
            </w:r>
          </w:p>
          <w:p w14:paraId="2A4FFB01">
            <w:pPr>
              <w:pStyle w:val="7"/>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b、有效土层厚度大于30cm，土壤具有较好的肥力，土壤环境质量符合《土壤环境质量</w:t>
            </w:r>
            <w:r>
              <w:rPr>
                <w:rStyle w:val="36"/>
                <w:rFonts w:hint="eastAsia" w:ascii="Times New Roman" w:hAnsi="宋体" w:eastAsia="宋体" w:cs="Times New Roman"/>
                <w:color w:val="auto"/>
                <w:kern w:val="0"/>
                <w:lang w:val="en-US" w:eastAsia="zh-CN" w:bidi="ar-SA"/>
              </w:rPr>
              <w:t xml:space="preserve">  </w:t>
            </w:r>
            <w:r>
              <w:rPr>
                <w:rStyle w:val="36"/>
                <w:rFonts w:hint="default" w:ascii="Times New Roman" w:hAnsi="宋体" w:eastAsia="宋体" w:cs="Times New Roman"/>
                <w:color w:val="auto"/>
                <w:kern w:val="0"/>
                <w:lang w:val="en-US" w:eastAsia="zh-CN" w:bidi="ar-SA"/>
              </w:rPr>
              <w:t>农用地土壤污染风险管控标准（试行）》（GB15618-2018）农用地土壤污染风险筛选限值。</w:t>
            </w:r>
          </w:p>
          <w:p w14:paraId="58AE98F1">
            <w:pPr>
              <w:pStyle w:val="7"/>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由于项目临时占地涉及耕地，建设单位在办理临时用地批复前根据《土地复垦条例》编制了《临时用地复垦方案》，钻井工程完工后必须及时进行土地复垦</w:t>
            </w:r>
            <w:r>
              <w:rPr>
                <w:rStyle w:val="36"/>
                <w:rFonts w:hint="eastAsia" w:ascii="Times New Roman" w:hAnsi="宋体" w:eastAsia="宋体" w:cs="Times New Roman"/>
                <w:color w:val="auto"/>
                <w:kern w:val="0"/>
                <w:lang w:val="en-US" w:eastAsia="zh-CN" w:bidi="ar-SA"/>
              </w:rPr>
              <w:t>。临时用地复垦</w:t>
            </w:r>
            <w:r>
              <w:rPr>
                <w:rStyle w:val="36"/>
                <w:rFonts w:hint="default" w:ascii="Times New Roman" w:hAnsi="宋体" w:eastAsia="宋体" w:cs="Times New Roman"/>
                <w:color w:val="auto"/>
                <w:kern w:val="0"/>
                <w:lang w:val="en-US" w:eastAsia="zh-CN" w:bidi="ar-SA"/>
              </w:rPr>
              <w:t>应坚持科学规划、因地制宜、综合治理、经济可行、合理利用的原则。井场所在地域地表植被茂盛，大气质量和地下水、地表水水质均较好。复垦方向应以农用地优先为主，以恢复生态环境为辅，因地制宜的建立植被与恢复体系，同时遵循破坏土地与周边现状保持一致的原则。本评价要求因临时占用所损坏的土地，必须按照土地复垦方案的相关要求进行。</w:t>
            </w:r>
          </w:p>
          <w:p w14:paraId="27D70642">
            <w:pPr>
              <w:pStyle w:val="7"/>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9、封井影响分析</w:t>
            </w:r>
          </w:p>
          <w:p w14:paraId="28DD9AD8">
            <w:pPr>
              <w:pStyle w:val="7"/>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（1）影响分析</w:t>
            </w:r>
          </w:p>
          <w:p w14:paraId="3FEF1E28">
            <w:pPr>
              <w:pStyle w:val="7"/>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地面设施拆除、井场清理等工作会产生部分废弃管线、废弃建筑残渣，对这些废弃管线、残渣将进行集中清理收集，管线</w:t>
            </w:r>
            <w:r>
              <w:rPr>
                <w:rStyle w:val="36"/>
                <w:rFonts w:hint="eastAsia" w:ascii="Times New Roman" w:hAnsi="宋体" w:eastAsia="宋体" w:cs="Times New Roman"/>
                <w:color w:val="auto"/>
                <w:kern w:val="0"/>
                <w:lang w:val="en-US" w:eastAsia="zh-CN" w:bidi="ar-SA"/>
              </w:rPr>
              <w:t>收集</w:t>
            </w:r>
            <w:r>
              <w:rPr>
                <w:rStyle w:val="36"/>
                <w:rFonts w:hint="default" w:ascii="Times New Roman" w:hAnsi="宋体" w:eastAsia="宋体" w:cs="Times New Roman"/>
                <w:color w:val="auto"/>
                <w:kern w:val="0"/>
                <w:lang w:val="en-US" w:eastAsia="zh-CN" w:bidi="ar-SA"/>
              </w:rPr>
              <w:t>后可回收再利用，废弃建筑残渣</w:t>
            </w:r>
            <w:r>
              <w:rPr>
                <w:rStyle w:val="36"/>
                <w:rFonts w:hint="eastAsia" w:ascii="Times New Roman" w:hAnsi="宋体" w:eastAsia="宋体" w:cs="Times New Roman"/>
                <w:color w:val="auto"/>
                <w:kern w:val="0"/>
                <w:lang w:val="en-US" w:eastAsia="zh-CN" w:bidi="ar-SA"/>
              </w:rPr>
              <w:t>按照一般工业固废进行综合利用</w:t>
            </w:r>
            <w:r>
              <w:rPr>
                <w:rStyle w:val="36"/>
                <w:rFonts w:hint="default" w:ascii="Times New Roman" w:hAnsi="宋体" w:eastAsia="宋体" w:cs="Times New Roman"/>
                <w:color w:val="auto"/>
                <w:kern w:val="0"/>
                <w:lang w:val="en-US" w:eastAsia="zh-CN" w:bidi="ar-SA"/>
              </w:rPr>
              <w:t>。</w:t>
            </w:r>
          </w:p>
          <w:p w14:paraId="2D373C9D">
            <w:pPr>
              <w:pStyle w:val="7"/>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（2）封井后应采取的环保措施</w:t>
            </w:r>
          </w:p>
          <w:p w14:paraId="3E2EEE85">
            <w:pPr>
              <w:pStyle w:val="7"/>
              <w:spacing w:line="360" w:lineRule="auto"/>
              <w:ind w:firstLine="480" w:firstLineChars="200"/>
              <w:jc w:val="both"/>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①人工拆除临时占地基础。将井场建设保留的耕植土直接摊铺覆盖于场面上，然后进行植被恢复。</w:t>
            </w:r>
          </w:p>
          <w:p w14:paraId="4CEB89C5">
            <w:pPr>
              <w:adjustRightInd w:val="0"/>
              <w:snapToGrid w:val="0"/>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②为尽快恢复土地功能，可增施肥料，加强灌溉，以改良土壤结构及其理化性质，提高土壤的保肥保水能力，恢复土壤生产能力。</w:t>
            </w:r>
          </w:p>
        </w:tc>
      </w:tr>
      <w:tr w14:paraId="613CA5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3" w:type="dxa"/>
            <w:noWrap w:val="0"/>
            <w:tcMar>
              <w:left w:w="28" w:type="dxa"/>
              <w:right w:w="28" w:type="dxa"/>
            </w:tcMar>
            <w:vAlign w:val="center"/>
          </w:tcPr>
          <w:p w14:paraId="390FFB12">
            <w:pPr>
              <w:adjustRightInd w:val="0"/>
              <w:snapToGrid w:val="0"/>
              <w:jc w:val="center"/>
              <w:rPr>
                <w:rFonts w:ascii="Times New Roman" w:hAnsi="Times New Roman"/>
                <w:bCs/>
                <w:color w:val="auto"/>
                <w:spacing w:val="10"/>
                <w:sz w:val="24"/>
              </w:rPr>
            </w:pPr>
            <w:r>
              <w:rPr>
                <w:rFonts w:ascii="Times New Roman" w:hAnsi="Times New Roman"/>
                <w:bCs/>
                <w:color w:val="auto"/>
                <w:spacing w:val="10"/>
                <w:sz w:val="24"/>
              </w:rPr>
              <w:t>运营期生态环境保护措施</w:t>
            </w:r>
          </w:p>
        </w:tc>
        <w:tc>
          <w:tcPr>
            <w:tcW w:w="7980" w:type="dxa"/>
            <w:noWrap w:val="0"/>
            <w:vAlign w:val="top"/>
          </w:tcPr>
          <w:p w14:paraId="387EDDF7">
            <w:pPr>
              <w:spacing w:line="360" w:lineRule="auto"/>
              <w:ind w:firstLine="480" w:firstLineChars="200"/>
              <w:rPr>
                <w:rStyle w:val="36"/>
                <w:rFonts w:hint="default" w:ascii="Times New Roman" w:hAnsi="宋体" w:eastAsia="宋体" w:cs="Times New Roman"/>
                <w:color w:val="auto"/>
                <w:kern w:val="0"/>
                <w:lang w:val="en-US" w:eastAsia="zh-CN" w:bidi="ar-SA"/>
              </w:rPr>
            </w:pPr>
            <w:r>
              <w:rPr>
                <w:rStyle w:val="36"/>
                <w:rFonts w:hint="default" w:ascii="Times New Roman" w:hAnsi="宋体" w:eastAsia="宋体" w:cs="Times New Roman"/>
                <w:color w:val="auto"/>
                <w:kern w:val="0"/>
                <w:lang w:val="en-US" w:eastAsia="zh-CN" w:bidi="ar-SA"/>
              </w:rPr>
              <w:t>本项目的生态环境的影响主要表现在施工期，不涉及运营期生态环境影响，因此评价不对运营期提出生态保护措施要求。</w:t>
            </w:r>
          </w:p>
        </w:tc>
      </w:tr>
      <w:tr w14:paraId="2C5992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3" w:type="dxa"/>
            <w:noWrap w:val="0"/>
            <w:vAlign w:val="center"/>
          </w:tcPr>
          <w:p w14:paraId="4F6F1161">
            <w:pPr>
              <w:adjustRightInd w:val="0"/>
              <w:snapToGrid w:val="0"/>
              <w:jc w:val="center"/>
              <w:rPr>
                <w:rFonts w:ascii="Times New Roman" w:hAnsi="Times New Roman"/>
                <w:bCs/>
                <w:color w:val="auto"/>
                <w:spacing w:val="10"/>
                <w:sz w:val="24"/>
              </w:rPr>
            </w:pPr>
            <w:r>
              <w:rPr>
                <w:rFonts w:ascii="Times New Roman" w:hAnsi="Times New Roman"/>
                <w:bCs/>
                <w:color w:val="auto"/>
                <w:sz w:val="24"/>
              </w:rPr>
              <w:t>其他</w:t>
            </w:r>
          </w:p>
        </w:tc>
        <w:tc>
          <w:tcPr>
            <w:tcW w:w="7980" w:type="dxa"/>
            <w:noWrap w:val="0"/>
            <w:vAlign w:val="top"/>
          </w:tcPr>
          <w:p w14:paraId="2061AE08">
            <w:pPr>
              <w:spacing w:line="360" w:lineRule="auto"/>
              <w:ind w:firstLine="480" w:firstLineChars="200"/>
              <w:rPr>
                <w:rFonts w:ascii="Times New Roman" w:hAnsi="Times New Roman"/>
                <w:color w:val="auto"/>
                <w:sz w:val="24"/>
              </w:rPr>
            </w:pPr>
            <w:r>
              <w:rPr>
                <w:rFonts w:ascii="Times New Roman" w:hAnsi="Times New Roman"/>
                <w:color w:val="auto"/>
                <w:sz w:val="24"/>
              </w:rPr>
              <w:t>1、设立环境保护管理机构</w:t>
            </w:r>
          </w:p>
          <w:p w14:paraId="43A389A1">
            <w:pPr>
              <w:spacing w:line="360" w:lineRule="auto"/>
              <w:ind w:firstLine="480" w:firstLineChars="200"/>
              <w:rPr>
                <w:rFonts w:ascii="Times New Roman" w:hAnsi="Times New Roman"/>
                <w:color w:val="auto"/>
                <w:sz w:val="24"/>
              </w:rPr>
            </w:pPr>
            <w:r>
              <w:rPr>
                <w:rFonts w:ascii="Times New Roman" w:hAnsi="Times New Roman"/>
                <w:color w:val="auto"/>
                <w:sz w:val="24"/>
              </w:rPr>
              <w:t>为了做好全过程的环境保护工作，减轻本项目外排污染物对环境的影响程度，建设单位应高度重视环境保护工作。建议设立内部环境保护管理机构，专人负责环境保护工作，实行定岗定员，岗位责任制，负责各生产环节的环境保护管理，保证施工期环保措施的正常运行。</w:t>
            </w:r>
          </w:p>
          <w:p w14:paraId="28C73E18">
            <w:pPr>
              <w:spacing w:line="360" w:lineRule="auto"/>
              <w:ind w:firstLine="480" w:firstLineChars="200"/>
              <w:rPr>
                <w:rFonts w:ascii="Times New Roman" w:hAnsi="Times New Roman"/>
                <w:color w:val="auto"/>
                <w:sz w:val="24"/>
              </w:rPr>
            </w:pPr>
            <w:r>
              <w:rPr>
                <w:rFonts w:ascii="Times New Roman" w:hAnsi="Times New Roman"/>
                <w:color w:val="auto"/>
                <w:sz w:val="24"/>
              </w:rPr>
              <w:t>环境保护管理机构（或环境保护责任人）应明确如下责任：</w:t>
            </w:r>
          </w:p>
          <w:p w14:paraId="19180ABA">
            <w:pPr>
              <w:spacing w:line="360" w:lineRule="auto"/>
              <w:ind w:firstLine="480" w:firstLineChars="200"/>
              <w:rPr>
                <w:rFonts w:ascii="Times New Roman" w:hAnsi="Times New Roman"/>
                <w:color w:val="auto"/>
                <w:sz w:val="24"/>
              </w:rPr>
            </w:pPr>
            <w:r>
              <w:rPr>
                <w:rFonts w:ascii="Times New Roman" w:hAnsi="Times New Roman"/>
                <w:color w:val="auto"/>
                <w:sz w:val="24"/>
              </w:rPr>
              <w:t>（1）保持与</w:t>
            </w:r>
            <w:r>
              <w:rPr>
                <w:rFonts w:hint="eastAsia" w:ascii="Times New Roman" w:hAnsi="Times New Roman"/>
                <w:color w:val="auto"/>
                <w:sz w:val="24"/>
                <w:lang w:val="en-US" w:eastAsia="zh-CN"/>
              </w:rPr>
              <w:t>生态环境</w:t>
            </w:r>
            <w:r>
              <w:rPr>
                <w:rFonts w:ascii="Times New Roman" w:hAnsi="Times New Roman"/>
                <w:color w:val="auto"/>
                <w:sz w:val="24"/>
              </w:rPr>
              <w:t>主管</w:t>
            </w:r>
            <w:r>
              <w:rPr>
                <w:rFonts w:hint="eastAsia" w:ascii="Times New Roman" w:hAnsi="Times New Roman"/>
                <w:color w:val="auto"/>
                <w:sz w:val="24"/>
                <w:lang w:val="en-US" w:eastAsia="zh-CN"/>
              </w:rPr>
              <w:t>部门</w:t>
            </w:r>
            <w:r>
              <w:rPr>
                <w:rFonts w:ascii="Times New Roman" w:hAnsi="Times New Roman"/>
                <w:color w:val="auto"/>
                <w:sz w:val="24"/>
              </w:rPr>
              <w:t>的密切联系，及时了解国家、地方与本项目环境保护有关的法律、法规和其它要求，及时向</w:t>
            </w:r>
            <w:r>
              <w:rPr>
                <w:rFonts w:hint="eastAsia" w:ascii="Times New Roman" w:hAnsi="Times New Roman"/>
                <w:color w:val="auto"/>
                <w:sz w:val="24"/>
                <w:lang w:val="en-US" w:eastAsia="zh-CN"/>
              </w:rPr>
              <w:t>生态环境</w:t>
            </w:r>
            <w:r>
              <w:rPr>
                <w:rFonts w:ascii="Times New Roman" w:hAnsi="Times New Roman"/>
                <w:color w:val="auto"/>
                <w:sz w:val="24"/>
              </w:rPr>
              <w:t>主管</w:t>
            </w:r>
            <w:r>
              <w:rPr>
                <w:rFonts w:hint="eastAsia" w:ascii="Times New Roman" w:hAnsi="Times New Roman"/>
                <w:color w:val="auto"/>
                <w:sz w:val="24"/>
                <w:lang w:val="en-US" w:eastAsia="zh-CN"/>
              </w:rPr>
              <w:t>部门</w:t>
            </w:r>
            <w:r>
              <w:rPr>
                <w:rFonts w:ascii="Times New Roman" w:hAnsi="Times New Roman"/>
                <w:color w:val="auto"/>
                <w:sz w:val="24"/>
              </w:rPr>
              <w:t>反映与项目施工期有关的污染因素、存在的环境问题、采取的污染控制对策等环境保护方面的内容，听取</w:t>
            </w:r>
            <w:r>
              <w:rPr>
                <w:rFonts w:hint="eastAsia" w:ascii="Times New Roman" w:hAnsi="Times New Roman"/>
                <w:color w:val="auto"/>
                <w:sz w:val="24"/>
                <w:lang w:val="en-US" w:eastAsia="zh-CN"/>
              </w:rPr>
              <w:t>生态环境</w:t>
            </w:r>
            <w:r>
              <w:rPr>
                <w:rFonts w:ascii="Times New Roman" w:hAnsi="Times New Roman"/>
                <w:color w:val="auto"/>
                <w:sz w:val="24"/>
              </w:rPr>
              <w:t>主管</w:t>
            </w:r>
            <w:r>
              <w:rPr>
                <w:rFonts w:hint="eastAsia" w:ascii="Times New Roman" w:hAnsi="Times New Roman"/>
                <w:color w:val="auto"/>
                <w:sz w:val="24"/>
                <w:lang w:val="en-US" w:eastAsia="zh-CN"/>
              </w:rPr>
              <w:t>部门</w:t>
            </w:r>
            <w:r>
              <w:rPr>
                <w:rFonts w:ascii="Times New Roman" w:hAnsi="Times New Roman"/>
                <w:color w:val="auto"/>
                <w:sz w:val="24"/>
              </w:rPr>
              <w:t>的批示意见。</w:t>
            </w:r>
          </w:p>
          <w:p w14:paraId="6BA184DE">
            <w:pPr>
              <w:spacing w:line="360" w:lineRule="auto"/>
              <w:ind w:firstLine="480" w:firstLineChars="200"/>
              <w:rPr>
                <w:rFonts w:ascii="Times New Roman" w:hAnsi="Times New Roman"/>
                <w:color w:val="auto"/>
                <w:sz w:val="24"/>
              </w:rPr>
            </w:pPr>
            <w:r>
              <w:rPr>
                <w:rFonts w:ascii="Times New Roman" w:hAnsi="Times New Roman"/>
                <w:color w:val="auto"/>
                <w:sz w:val="24"/>
              </w:rPr>
              <w:t>（2）及时将国家、地方与本项目环境保护有关的法律、法规和规定向单位负责人汇报，及时向本单位有关机构、人员进行通报，组织职工进行环境保护方面的教育、培训，提高环保意识。</w:t>
            </w:r>
          </w:p>
          <w:p w14:paraId="50085E80">
            <w:pPr>
              <w:spacing w:line="360" w:lineRule="auto"/>
              <w:ind w:firstLine="480" w:firstLineChars="200"/>
              <w:rPr>
                <w:rFonts w:ascii="Times New Roman" w:hAnsi="Times New Roman"/>
                <w:color w:val="auto"/>
                <w:sz w:val="24"/>
              </w:rPr>
            </w:pPr>
            <w:r>
              <w:rPr>
                <w:rFonts w:ascii="Times New Roman" w:hAnsi="Times New Roman"/>
                <w:color w:val="auto"/>
                <w:sz w:val="24"/>
              </w:rPr>
              <w:t>（3）及时向单位负责人汇报与本项目有关的污染因素、存在的环境问题、采取的污染控制对策、实施情况等，提出改进建议。</w:t>
            </w:r>
          </w:p>
          <w:p w14:paraId="573B0BE0">
            <w:pPr>
              <w:spacing w:line="360" w:lineRule="auto"/>
              <w:ind w:firstLine="480" w:firstLineChars="200"/>
              <w:rPr>
                <w:rFonts w:ascii="Times New Roman" w:hAnsi="Times New Roman"/>
                <w:color w:val="auto"/>
                <w:sz w:val="24"/>
              </w:rPr>
            </w:pPr>
            <w:r>
              <w:rPr>
                <w:rFonts w:ascii="Times New Roman" w:hAnsi="Times New Roman"/>
                <w:color w:val="auto"/>
                <w:sz w:val="24"/>
              </w:rPr>
              <w:t>（4）负贵制定、监督实施本单位的有关施工期环境保护管理规章制度，负责实施污染控制措施、管理污染治理设施，并进行详细的记录，以备检查。</w:t>
            </w:r>
          </w:p>
          <w:p w14:paraId="0D8118DE">
            <w:pPr>
              <w:spacing w:line="360" w:lineRule="auto"/>
              <w:ind w:firstLine="480" w:firstLineChars="200"/>
              <w:rPr>
                <w:rFonts w:ascii="Times New Roman" w:hAnsi="Times New Roman"/>
                <w:color w:val="auto"/>
                <w:sz w:val="24"/>
              </w:rPr>
            </w:pPr>
            <w:r>
              <w:rPr>
                <w:rFonts w:ascii="Times New Roman" w:hAnsi="Times New Roman"/>
                <w:color w:val="auto"/>
                <w:sz w:val="24"/>
              </w:rPr>
              <w:t>（5）按本评价提出的各项环境保护措施，编制详细的施工期环境保护。</w:t>
            </w:r>
          </w:p>
          <w:p w14:paraId="6E62295D">
            <w:pPr>
              <w:pStyle w:val="23"/>
              <w:adjustRightInd/>
              <w:spacing w:line="360" w:lineRule="auto"/>
              <w:ind w:firstLine="480" w:firstLineChars="200"/>
              <w:jc w:val="both"/>
              <w:rPr>
                <w:rFonts w:ascii="Times New Roman" w:hAnsi="Times New Roman"/>
                <w:color w:val="auto"/>
              </w:rPr>
            </w:pPr>
            <w:r>
              <w:rPr>
                <w:rFonts w:ascii="Times New Roman" w:hAnsi="Times New Roman"/>
                <w:color w:val="auto"/>
              </w:rPr>
              <w:t>措施落实计划，明确各污染源位置、环境影响、环境保护措施、落实责任机构（人）等，并将该环境保护计划以书面形式发给相关人员，以便于各项措施的有效落实。</w:t>
            </w:r>
          </w:p>
          <w:p w14:paraId="60F8A50E">
            <w:pPr>
              <w:pStyle w:val="23"/>
              <w:adjustRightInd/>
              <w:spacing w:line="360" w:lineRule="auto"/>
              <w:ind w:firstLine="480" w:firstLineChars="200"/>
              <w:jc w:val="both"/>
              <w:rPr>
                <w:rFonts w:ascii="Times New Roman" w:hAnsi="Times New Roman"/>
                <w:color w:val="auto"/>
              </w:rPr>
            </w:pPr>
            <w:r>
              <w:rPr>
                <w:rFonts w:ascii="Times New Roman" w:hAnsi="Times New Roman"/>
                <w:color w:val="auto"/>
              </w:rPr>
              <w:t>2、健全环境管理制度</w:t>
            </w:r>
          </w:p>
          <w:p w14:paraId="3C7BF468">
            <w:pPr>
              <w:pStyle w:val="23"/>
              <w:adjustRightInd/>
              <w:spacing w:line="360" w:lineRule="auto"/>
              <w:ind w:firstLine="480" w:firstLineChars="200"/>
              <w:jc w:val="both"/>
              <w:rPr>
                <w:rFonts w:ascii="Times New Roman" w:hAnsi="Times New Roman"/>
                <w:color w:val="auto"/>
              </w:rPr>
            </w:pPr>
            <w:r>
              <w:rPr>
                <w:rFonts w:ascii="Times New Roman" w:hAnsi="Times New Roman"/>
                <w:color w:val="auto"/>
              </w:rPr>
              <w:t>建立完善的环境管理体系，健全内部环境管理制度，加强日常环境管理工作，对整个施工过程实施全程环境管理，杜绝施工过程中环境污染事故的发生，保护环境。</w:t>
            </w:r>
          </w:p>
          <w:p w14:paraId="2759F2CE">
            <w:pPr>
              <w:pStyle w:val="23"/>
              <w:adjustRightInd/>
              <w:spacing w:line="360" w:lineRule="auto"/>
              <w:ind w:firstLine="480" w:firstLineChars="200"/>
              <w:jc w:val="both"/>
              <w:rPr>
                <w:rFonts w:ascii="Times New Roman" w:hAnsi="Times New Roman"/>
                <w:color w:val="auto"/>
              </w:rPr>
            </w:pPr>
            <w:r>
              <w:rPr>
                <w:rFonts w:ascii="Times New Roman" w:hAnsi="Times New Roman"/>
                <w:color w:val="auto"/>
              </w:rPr>
              <w:t>加强建设项目的环境管理，根据本评价提出的污染防治措施和对策，制定出切实可行的环境污染防治方法和措施；做好环境教育和宣传工作，提高各级管理人员和操作人员的环境保护意识，加强员工对环境污染防治的责任心，自觉遵守和执行各项环境保护的规章制度；确保环境保护措施的正常运行，防止污染事故的发生；加强与</w:t>
            </w:r>
            <w:r>
              <w:rPr>
                <w:rFonts w:hint="eastAsia" w:ascii="Times New Roman" w:hAnsi="Times New Roman"/>
                <w:color w:val="auto"/>
                <w:lang w:val="en-US" w:eastAsia="zh-CN"/>
              </w:rPr>
              <w:t>生态环境主管</w:t>
            </w:r>
            <w:r>
              <w:rPr>
                <w:rFonts w:ascii="Times New Roman" w:hAnsi="Times New Roman"/>
                <w:color w:val="auto"/>
              </w:rPr>
              <w:t>部门的沟通和联系，主动接受</w:t>
            </w:r>
            <w:r>
              <w:rPr>
                <w:rFonts w:hint="eastAsia" w:ascii="Times New Roman" w:hAnsi="Times New Roman"/>
                <w:color w:val="auto"/>
                <w:lang w:val="en-US" w:eastAsia="zh-CN"/>
              </w:rPr>
              <w:t>生态环境主管</w:t>
            </w:r>
            <w:r>
              <w:rPr>
                <w:rFonts w:ascii="Times New Roman" w:hAnsi="Times New Roman"/>
                <w:color w:val="auto"/>
              </w:rPr>
              <w:t>部门的管理、监督和指导。</w:t>
            </w:r>
          </w:p>
          <w:p w14:paraId="414246B5">
            <w:pPr>
              <w:pStyle w:val="23"/>
              <w:adjustRightInd/>
              <w:spacing w:line="360" w:lineRule="auto"/>
              <w:ind w:firstLine="480" w:firstLineChars="200"/>
              <w:jc w:val="both"/>
              <w:rPr>
                <w:rFonts w:ascii="Times New Roman" w:hAnsi="Times New Roman"/>
                <w:color w:val="auto"/>
              </w:rPr>
            </w:pPr>
            <w:r>
              <w:rPr>
                <w:rFonts w:ascii="Times New Roman" w:hAnsi="Times New Roman"/>
                <w:color w:val="auto"/>
              </w:rPr>
              <w:t>3、环境管理职责及内容</w:t>
            </w:r>
          </w:p>
          <w:p w14:paraId="77CE41AB">
            <w:pPr>
              <w:pStyle w:val="23"/>
              <w:adjustRightInd/>
              <w:spacing w:line="360" w:lineRule="auto"/>
              <w:ind w:firstLine="480" w:firstLineChars="200"/>
              <w:jc w:val="both"/>
              <w:rPr>
                <w:rFonts w:ascii="Times New Roman" w:hAnsi="Times New Roman"/>
                <w:color w:val="auto"/>
              </w:rPr>
            </w:pPr>
            <w:r>
              <w:rPr>
                <w:rFonts w:ascii="Times New Roman" w:hAnsi="Times New Roman"/>
                <w:color w:val="auto"/>
              </w:rPr>
              <w:t>执行国家、地方环境保护法规和标准；负责环保工作的计划安排，加强对废水、废气、噪声、固体废物等的管理，加强在施工过程中对周边生态环境的保护。建设单位主要注意以下几个方面的措施：</w:t>
            </w:r>
          </w:p>
          <w:p w14:paraId="1F64C685">
            <w:pPr>
              <w:pStyle w:val="23"/>
              <w:adjustRightInd/>
              <w:spacing w:line="360" w:lineRule="auto"/>
              <w:ind w:firstLine="480" w:firstLineChars="200"/>
              <w:jc w:val="both"/>
              <w:rPr>
                <w:rFonts w:ascii="Times New Roman" w:hAnsi="Times New Roman"/>
                <w:color w:val="auto"/>
              </w:rPr>
            </w:pPr>
            <w:r>
              <w:rPr>
                <w:rFonts w:ascii="Times New Roman" w:hAnsi="Times New Roman"/>
                <w:color w:val="auto"/>
              </w:rPr>
              <w:t>（1）控制建设项目在开发建设过程中的各种施工活动，尽量减少对生态环境的破坏，做好植被恢复与水土保持工作，防止土壤荒漠化。</w:t>
            </w:r>
          </w:p>
          <w:p w14:paraId="03BF950C">
            <w:pPr>
              <w:pStyle w:val="23"/>
              <w:adjustRightInd/>
              <w:spacing w:line="360" w:lineRule="auto"/>
              <w:ind w:firstLine="480" w:firstLineChars="200"/>
              <w:jc w:val="both"/>
              <w:rPr>
                <w:rFonts w:ascii="Times New Roman" w:hAnsi="Times New Roman"/>
                <w:color w:val="auto"/>
              </w:rPr>
            </w:pPr>
            <w:r>
              <w:rPr>
                <w:rFonts w:ascii="Times New Roman" w:hAnsi="Times New Roman"/>
                <w:color w:val="auto"/>
              </w:rPr>
              <w:t>（2）项目建成后，废气达标排放、废水按要求外运处理，场界噪声控制在可接受范围之内，固废得到合理利用及无害化处置，符合国家和地方要求。</w:t>
            </w:r>
          </w:p>
          <w:p w14:paraId="4E97008C">
            <w:pPr>
              <w:pStyle w:val="23"/>
              <w:adjustRightInd/>
              <w:spacing w:line="360" w:lineRule="auto"/>
              <w:ind w:firstLine="480" w:firstLineChars="200"/>
              <w:jc w:val="both"/>
              <w:rPr>
                <w:rFonts w:ascii="Times New Roman" w:hAnsi="Times New Roman"/>
                <w:color w:val="auto"/>
              </w:rPr>
            </w:pPr>
            <w:r>
              <w:rPr>
                <w:rFonts w:ascii="Times New Roman" w:hAnsi="Times New Roman"/>
                <w:color w:val="auto"/>
              </w:rPr>
              <w:t>（3）保证评价区域空气、地下水质量维持现有水平；将工程对生态环境的不利影响程度降至最低，使受影响区域的整体生态环境无明显破坏。</w:t>
            </w:r>
          </w:p>
          <w:p w14:paraId="449D0098">
            <w:pPr>
              <w:pStyle w:val="23"/>
              <w:adjustRightInd/>
              <w:spacing w:line="360" w:lineRule="auto"/>
              <w:ind w:firstLine="480" w:firstLineChars="200"/>
              <w:jc w:val="both"/>
              <w:rPr>
                <w:rFonts w:ascii="Times New Roman" w:hAnsi="Times New Roman"/>
                <w:color w:val="auto"/>
              </w:rPr>
            </w:pPr>
            <w:r>
              <w:rPr>
                <w:rFonts w:ascii="Times New Roman" w:hAnsi="Times New Roman"/>
                <w:color w:val="auto"/>
              </w:rPr>
              <w:t>（4）控制井场占地，减轻工程建设对地表植被和土壤的破坏程度及水土流失量。</w:t>
            </w:r>
          </w:p>
          <w:p w14:paraId="5DA84137">
            <w:pPr>
              <w:pStyle w:val="23"/>
              <w:adjustRightInd/>
              <w:spacing w:line="360" w:lineRule="auto"/>
              <w:ind w:firstLine="480" w:firstLineChars="200"/>
              <w:jc w:val="both"/>
              <w:rPr>
                <w:rFonts w:ascii="Times New Roman" w:hAnsi="Times New Roman"/>
                <w:color w:val="auto"/>
              </w:rPr>
            </w:pPr>
            <w:r>
              <w:rPr>
                <w:rFonts w:ascii="Times New Roman" w:hAnsi="Times New Roman"/>
                <w:color w:val="auto"/>
              </w:rPr>
              <w:t>（5）控制各种施工活动对工程附近地表水体的影响，防止施工活动影响地表水和地下水水体功能和水质。</w:t>
            </w:r>
          </w:p>
          <w:p w14:paraId="44FB4464">
            <w:pPr>
              <w:pStyle w:val="23"/>
              <w:adjustRightInd/>
              <w:spacing w:line="360" w:lineRule="auto"/>
              <w:ind w:firstLine="480" w:firstLineChars="200"/>
              <w:jc w:val="both"/>
              <w:rPr>
                <w:rFonts w:ascii="Times New Roman" w:hAnsi="Times New Roman"/>
                <w:color w:val="auto"/>
              </w:rPr>
            </w:pPr>
            <w:r>
              <w:rPr>
                <w:rFonts w:ascii="Times New Roman" w:hAnsi="Times New Roman"/>
                <w:color w:val="auto"/>
              </w:rPr>
              <w:t>（6）实施清洁生产，减少钻井工程每米进尺所产生的钻井废水、固体废物的量，推行污染物“减量化、资源化、无害化”的环保理念。</w:t>
            </w:r>
          </w:p>
          <w:p w14:paraId="4D2A06F8">
            <w:pPr>
              <w:pStyle w:val="23"/>
              <w:adjustRightInd/>
              <w:spacing w:line="360" w:lineRule="auto"/>
              <w:ind w:firstLine="480" w:firstLineChars="200"/>
              <w:jc w:val="both"/>
              <w:rPr>
                <w:rFonts w:ascii="Times New Roman" w:hAnsi="Times New Roman"/>
                <w:color w:val="auto"/>
              </w:rPr>
            </w:pPr>
            <w:r>
              <w:rPr>
                <w:rFonts w:ascii="Times New Roman" w:hAnsi="Times New Roman"/>
                <w:color w:val="auto"/>
              </w:rPr>
              <w:t>（7）采取各种有效的环境风险防控措施，切实降低本工程施工期的各类环境风险事故发生率。</w:t>
            </w:r>
          </w:p>
          <w:p w14:paraId="5476A031">
            <w:pPr>
              <w:pStyle w:val="23"/>
              <w:adjustRightInd/>
              <w:spacing w:line="360" w:lineRule="auto"/>
              <w:ind w:firstLine="480" w:firstLineChars="200"/>
              <w:jc w:val="both"/>
              <w:rPr>
                <w:rFonts w:ascii="Times New Roman" w:hAnsi="Times New Roman"/>
                <w:color w:val="auto"/>
              </w:rPr>
            </w:pPr>
            <w:r>
              <w:rPr>
                <w:rFonts w:ascii="Times New Roman" w:hAnsi="Times New Roman"/>
                <w:color w:val="auto"/>
              </w:rPr>
              <w:t>（8）根据工程实际，针对施工过程产生的钻井废水采取切实有效的多种处理方式，确保不对环境造成污染。</w:t>
            </w:r>
          </w:p>
          <w:p w14:paraId="5D9A0F26">
            <w:pPr>
              <w:pStyle w:val="23"/>
              <w:adjustRightInd/>
              <w:spacing w:line="360" w:lineRule="auto"/>
              <w:ind w:firstLine="480" w:firstLineChars="200"/>
              <w:jc w:val="both"/>
              <w:rPr>
                <w:rFonts w:ascii="Times New Roman" w:hAnsi="Times New Roman"/>
                <w:color w:val="auto"/>
              </w:rPr>
            </w:pPr>
            <w:r>
              <w:rPr>
                <w:rFonts w:ascii="Times New Roman" w:hAnsi="Times New Roman"/>
                <w:color w:val="auto"/>
              </w:rPr>
              <w:t>4、施工期环境监测计划</w:t>
            </w:r>
          </w:p>
          <w:p w14:paraId="4C745394">
            <w:pPr>
              <w:pStyle w:val="23"/>
              <w:spacing w:line="360" w:lineRule="auto"/>
              <w:ind w:firstLine="480" w:firstLineChars="200"/>
              <w:jc w:val="both"/>
              <w:rPr>
                <w:rFonts w:ascii="Times New Roman" w:hAnsi="Times New Roman"/>
                <w:color w:val="auto"/>
              </w:rPr>
            </w:pPr>
            <w:r>
              <w:rPr>
                <w:rFonts w:ascii="Times New Roman" w:hAnsi="Times New Roman"/>
                <w:color w:val="auto"/>
              </w:rPr>
              <w:t>施工期的环境监测主要是对作业场所的控制监测，主要监测对象有土壤、植被、施工作业废气、噪声等。对作业场所的控制监测可视当地具体情况、当地生态环境主管部门要求等情况而定，诸如：在人群密集区施工可进行适当噪声监测；对事故监测可根据事故性质、事故影响的大小等，视具体情况监测气、土壤、水等；生态环境监测主要监测内容为项目建设所涉及的生态环境要素、生态环境问题、生态环保措施的落实情况。具体施工期环境监控计划见下表。</w:t>
            </w:r>
          </w:p>
          <w:p w14:paraId="36728DEB">
            <w:pPr>
              <w:pStyle w:val="23"/>
              <w:adjustRightInd/>
              <w:spacing w:line="360" w:lineRule="auto"/>
              <w:jc w:val="center"/>
              <w:rPr>
                <w:rFonts w:ascii="Times New Roman" w:hAnsi="Times New Roman"/>
                <w:b/>
                <w:color w:val="auto"/>
                <w:sz w:val="21"/>
                <w:szCs w:val="21"/>
              </w:rPr>
            </w:pPr>
            <w:r>
              <w:rPr>
                <w:rFonts w:ascii="Times New Roman" w:hAnsi="Times New Roman"/>
                <w:b/>
                <w:color w:val="auto"/>
                <w:sz w:val="21"/>
                <w:szCs w:val="21"/>
              </w:rPr>
              <w:t>表 5-</w:t>
            </w:r>
            <w:r>
              <w:rPr>
                <w:rFonts w:hint="eastAsia" w:ascii="Times New Roman" w:hAnsi="Times New Roman"/>
                <w:b/>
                <w:color w:val="auto"/>
                <w:sz w:val="21"/>
                <w:szCs w:val="21"/>
              </w:rPr>
              <w:t>1</w:t>
            </w:r>
            <w:r>
              <w:rPr>
                <w:rFonts w:ascii="Times New Roman" w:hAnsi="Times New Roman"/>
                <w:b/>
                <w:color w:val="auto"/>
                <w:sz w:val="21"/>
                <w:szCs w:val="21"/>
              </w:rPr>
              <w:t xml:space="preserve"> 施工期环境监测、监控计划</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158"/>
              <w:gridCol w:w="3332"/>
              <w:gridCol w:w="1254"/>
              <w:gridCol w:w="1200"/>
            </w:tblGrid>
            <w:tr w14:paraId="2D184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noWrap w:val="0"/>
                  <w:vAlign w:val="center"/>
                </w:tcPr>
                <w:p w14:paraId="29919A2B">
                  <w:pPr>
                    <w:pStyle w:val="23"/>
                    <w:adjustRightInd/>
                    <w:jc w:val="center"/>
                    <w:rPr>
                      <w:rFonts w:ascii="Times New Roman" w:hAnsi="Times New Roman"/>
                      <w:color w:val="auto"/>
                      <w:sz w:val="21"/>
                      <w:szCs w:val="21"/>
                    </w:rPr>
                  </w:pPr>
                  <w:r>
                    <w:rPr>
                      <w:rFonts w:ascii="Times New Roman" w:hAnsi="Times New Roman"/>
                      <w:color w:val="auto"/>
                      <w:sz w:val="21"/>
                      <w:szCs w:val="21"/>
                    </w:rPr>
                    <w:t>序号</w:t>
                  </w:r>
                </w:p>
              </w:tc>
              <w:tc>
                <w:tcPr>
                  <w:tcW w:w="1158" w:type="dxa"/>
                  <w:noWrap w:val="0"/>
                  <w:vAlign w:val="center"/>
                </w:tcPr>
                <w:p w14:paraId="5AE07643">
                  <w:pPr>
                    <w:pStyle w:val="23"/>
                    <w:adjustRightInd/>
                    <w:jc w:val="center"/>
                    <w:rPr>
                      <w:rFonts w:ascii="Times New Roman" w:hAnsi="Times New Roman"/>
                      <w:color w:val="auto"/>
                      <w:sz w:val="21"/>
                      <w:szCs w:val="21"/>
                    </w:rPr>
                  </w:pPr>
                  <w:r>
                    <w:rPr>
                      <w:rFonts w:ascii="Times New Roman" w:hAnsi="Times New Roman"/>
                      <w:color w:val="auto"/>
                      <w:sz w:val="21"/>
                      <w:szCs w:val="21"/>
                    </w:rPr>
                    <w:t>监测项目</w:t>
                  </w:r>
                </w:p>
              </w:tc>
              <w:tc>
                <w:tcPr>
                  <w:tcW w:w="3332" w:type="dxa"/>
                  <w:noWrap w:val="0"/>
                  <w:vAlign w:val="center"/>
                </w:tcPr>
                <w:p w14:paraId="3DA9B780">
                  <w:pPr>
                    <w:pStyle w:val="23"/>
                    <w:adjustRightInd/>
                    <w:jc w:val="center"/>
                    <w:rPr>
                      <w:rFonts w:ascii="Times New Roman" w:hAnsi="Times New Roman"/>
                      <w:color w:val="auto"/>
                      <w:sz w:val="21"/>
                      <w:szCs w:val="21"/>
                    </w:rPr>
                  </w:pPr>
                  <w:r>
                    <w:rPr>
                      <w:rFonts w:ascii="Times New Roman" w:hAnsi="Times New Roman"/>
                      <w:color w:val="auto"/>
                      <w:sz w:val="21"/>
                      <w:szCs w:val="21"/>
                    </w:rPr>
                    <w:t>主要技术要求</w:t>
                  </w:r>
                </w:p>
              </w:tc>
              <w:tc>
                <w:tcPr>
                  <w:tcW w:w="1254" w:type="dxa"/>
                  <w:noWrap w:val="0"/>
                  <w:vAlign w:val="center"/>
                </w:tcPr>
                <w:p w14:paraId="03C88120">
                  <w:pPr>
                    <w:pStyle w:val="23"/>
                    <w:adjustRightInd/>
                    <w:jc w:val="center"/>
                    <w:rPr>
                      <w:rFonts w:ascii="Times New Roman" w:hAnsi="Times New Roman"/>
                      <w:color w:val="auto"/>
                      <w:sz w:val="21"/>
                      <w:szCs w:val="21"/>
                    </w:rPr>
                  </w:pPr>
                  <w:r>
                    <w:rPr>
                      <w:rFonts w:ascii="Times New Roman" w:hAnsi="Times New Roman"/>
                      <w:color w:val="auto"/>
                      <w:sz w:val="21"/>
                      <w:szCs w:val="21"/>
                    </w:rPr>
                    <w:t>实施单位</w:t>
                  </w:r>
                </w:p>
              </w:tc>
              <w:tc>
                <w:tcPr>
                  <w:tcW w:w="1200" w:type="dxa"/>
                  <w:noWrap w:val="0"/>
                  <w:vAlign w:val="center"/>
                </w:tcPr>
                <w:p w14:paraId="0974DCC1">
                  <w:pPr>
                    <w:pStyle w:val="23"/>
                    <w:adjustRightInd/>
                    <w:jc w:val="center"/>
                    <w:rPr>
                      <w:rFonts w:ascii="Times New Roman" w:hAnsi="Times New Roman"/>
                      <w:color w:val="auto"/>
                      <w:sz w:val="21"/>
                      <w:szCs w:val="21"/>
                    </w:rPr>
                  </w:pPr>
                  <w:r>
                    <w:rPr>
                      <w:rFonts w:ascii="Times New Roman" w:hAnsi="Times New Roman"/>
                      <w:color w:val="auto"/>
                      <w:sz w:val="21"/>
                      <w:szCs w:val="21"/>
                    </w:rPr>
                    <w:t>监督机构</w:t>
                  </w:r>
                </w:p>
              </w:tc>
            </w:tr>
            <w:tr w14:paraId="225E0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noWrap w:val="0"/>
                  <w:vAlign w:val="center"/>
                </w:tcPr>
                <w:p w14:paraId="045E5F5F">
                  <w:pPr>
                    <w:pStyle w:val="23"/>
                    <w:adjustRightInd/>
                    <w:jc w:val="center"/>
                    <w:rPr>
                      <w:rFonts w:ascii="Times New Roman" w:hAnsi="Times New Roman"/>
                      <w:color w:val="auto"/>
                      <w:sz w:val="21"/>
                      <w:szCs w:val="21"/>
                    </w:rPr>
                  </w:pPr>
                  <w:r>
                    <w:rPr>
                      <w:rFonts w:ascii="Times New Roman" w:hAnsi="Times New Roman"/>
                      <w:color w:val="auto"/>
                      <w:sz w:val="21"/>
                      <w:szCs w:val="21"/>
                    </w:rPr>
                    <w:t>1</w:t>
                  </w:r>
                </w:p>
              </w:tc>
              <w:tc>
                <w:tcPr>
                  <w:tcW w:w="1158" w:type="dxa"/>
                  <w:noWrap w:val="0"/>
                  <w:vAlign w:val="center"/>
                </w:tcPr>
                <w:p w14:paraId="0271596B">
                  <w:pPr>
                    <w:pStyle w:val="23"/>
                    <w:adjustRightInd/>
                    <w:jc w:val="center"/>
                    <w:rPr>
                      <w:rFonts w:ascii="Times New Roman" w:hAnsi="Times New Roman"/>
                      <w:color w:val="auto"/>
                      <w:sz w:val="21"/>
                      <w:szCs w:val="21"/>
                    </w:rPr>
                  </w:pPr>
                  <w:r>
                    <w:rPr>
                      <w:rFonts w:ascii="Times New Roman" w:hAnsi="Times New Roman"/>
                      <w:color w:val="auto"/>
                      <w:sz w:val="21"/>
                      <w:szCs w:val="21"/>
                    </w:rPr>
                    <w:t>施工废气</w:t>
                  </w:r>
                </w:p>
              </w:tc>
              <w:tc>
                <w:tcPr>
                  <w:tcW w:w="3332" w:type="dxa"/>
                  <w:noWrap w:val="0"/>
                  <w:vAlign w:val="center"/>
                </w:tcPr>
                <w:p w14:paraId="3ABF943C">
                  <w:pPr>
                    <w:pStyle w:val="23"/>
                    <w:jc w:val="center"/>
                    <w:rPr>
                      <w:rFonts w:ascii="Times New Roman" w:hAnsi="Times New Roman"/>
                      <w:color w:val="auto"/>
                      <w:sz w:val="21"/>
                      <w:szCs w:val="21"/>
                    </w:rPr>
                  </w:pPr>
                  <w:r>
                    <w:rPr>
                      <w:rFonts w:ascii="Times New Roman" w:hAnsi="Times New Roman"/>
                      <w:color w:val="auto"/>
                      <w:sz w:val="21"/>
                      <w:szCs w:val="21"/>
                    </w:rPr>
                    <w:t>1、监测时间及频率：施工期一次</w:t>
                  </w:r>
                </w:p>
                <w:p w14:paraId="3EBB5AE9">
                  <w:pPr>
                    <w:pStyle w:val="23"/>
                    <w:jc w:val="center"/>
                    <w:rPr>
                      <w:rFonts w:ascii="Times New Roman" w:hAnsi="Times New Roman"/>
                      <w:color w:val="auto"/>
                      <w:sz w:val="21"/>
                      <w:szCs w:val="21"/>
                    </w:rPr>
                  </w:pPr>
                  <w:r>
                    <w:rPr>
                      <w:rFonts w:ascii="Times New Roman" w:hAnsi="Times New Roman"/>
                      <w:color w:val="auto"/>
                      <w:sz w:val="21"/>
                      <w:szCs w:val="21"/>
                    </w:rPr>
                    <w:t>2、监测地点：</w:t>
                  </w:r>
                  <w:r>
                    <w:rPr>
                      <w:rFonts w:hint="eastAsia" w:ascii="Times New Roman" w:hAnsi="Times New Roman"/>
                      <w:color w:val="auto"/>
                      <w:sz w:val="21"/>
                      <w:szCs w:val="21"/>
                      <w:lang w:val="en-US" w:eastAsia="zh-CN"/>
                    </w:rPr>
                    <w:t>史圩孜村</w:t>
                  </w:r>
                </w:p>
                <w:p w14:paraId="7E327DB3">
                  <w:pPr>
                    <w:pStyle w:val="23"/>
                    <w:jc w:val="center"/>
                    <w:rPr>
                      <w:rFonts w:ascii="Times New Roman" w:hAnsi="Times New Roman"/>
                      <w:color w:val="auto"/>
                      <w:sz w:val="21"/>
                      <w:szCs w:val="21"/>
                    </w:rPr>
                  </w:pPr>
                  <w:r>
                    <w:rPr>
                      <w:rFonts w:ascii="Times New Roman" w:hAnsi="Times New Roman"/>
                      <w:color w:val="auto"/>
                      <w:sz w:val="21"/>
                      <w:szCs w:val="21"/>
                    </w:rPr>
                    <w:t>3、监测内容：TSP</w:t>
                  </w:r>
                </w:p>
              </w:tc>
              <w:tc>
                <w:tcPr>
                  <w:tcW w:w="1254" w:type="dxa"/>
                  <w:noWrap w:val="0"/>
                  <w:vAlign w:val="center"/>
                </w:tcPr>
                <w:p w14:paraId="29D4B6C3">
                  <w:pPr>
                    <w:pStyle w:val="23"/>
                    <w:jc w:val="center"/>
                    <w:rPr>
                      <w:rFonts w:ascii="Times New Roman" w:hAnsi="Times New Roman"/>
                      <w:color w:val="auto"/>
                      <w:sz w:val="21"/>
                      <w:szCs w:val="21"/>
                    </w:rPr>
                  </w:pPr>
                  <w:r>
                    <w:rPr>
                      <w:rFonts w:ascii="Times New Roman" w:hAnsi="Times New Roman"/>
                      <w:color w:val="auto"/>
                      <w:sz w:val="21"/>
                      <w:szCs w:val="21"/>
                    </w:rPr>
                    <w:t>委托有资质监测单位</w:t>
                  </w:r>
                </w:p>
              </w:tc>
              <w:tc>
                <w:tcPr>
                  <w:tcW w:w="1200" w:type="dxa"/>
                  <w:noWrap w:val="0"/>
                  <w:vAlign w:val="center"/>
                </w:tcPr>
                <w:p w14:paraId="1C3CA14F">
                  <w:pPr>
                    <w:pStyle w:val="23"/>
                    <w:jc w:val="center"/>
                    <w:rPr>
                      <w:rFonts w:ascii="Times New Roman" w:hAnsi="Times New Roman"/>
                      <w:color w:val="auto"/>
                      <w:sz w:val="21"/>
                      <w:szCs w:val="21"/>
                    </w:rPr>
                  </w:pPr>
                  <w:r>
                    <w:rPr>
                      <w:rFonts w:ascii="Times New Roman" w:hAnsi="Times New Roman"/>
                      <w:color w:val="auto"/>
                      <w:sz w:val="21"/>
                      <w:szCs w:val="21"/>
                    </w:rPr>
                    <w:t>当地生态环境部门</w:t>
                  </w:r>
                </w:p>
              </w:tc>
            </w:tr>
            <w:tr w14:paraId="0A99D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noWrap w:val="0"/>
                  <w:vAlign w:val="center"/>
                </w:tcPr>
                <w:p w14:paraId="15A75671">
                  <w:pPr>
                    <w:pStyle w:val="23"/>
                    <w:adjustRightInd/>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2</w:t>
                  </w:r>
                </w:p>
              </w:tc>
              <w:tc>
                <w:tcPr>
                  <w:tcW w:w="1158" w:type="dxa"/>
                  <w:noWrap w:val="0"/>
                  <w:vAlign w:val="center"/>
                </w:tcPr>
                <w:p w14:paraId="337E8627">
                  <w:pPr>
                    <w:pStyle w:val="23"/>
                    <w:adjustRightInd/>
                    <w:jc w:val="center"/>
                    <w:rPr>
                      <w:rFonts w:ascii="Times New Roman" w:hAnsi="Times New Roman"/>
                      <w:color w:val="auto"/>
                      <w:sz w:val="21"/>
                      <w:szCs w:val="21"/>
                    </w:rPr>
                  </w:pPr>
                  <w:r>
                    <w:rPr>
                      <w:rFonts w:ascii="Times New Roman" w:hAnsi="Times New Roman"/>
                      <w:color w:val="auto"/>
                      <w:sz w:val="21"/>
                      <w:szCs w:val="21"/>
                    </w:rPr>
                    <w:t>施工噪声</w:t>
                  </w:r>
                </w:p>
              </w:tc>
              <w:tc>
                <w:tcPr>
                  <w:tcW w:w="3332" w:type="dxa"/>
                  <w:noWrap w:val="0"/>
                  <w:vAlign w:val="center"/>
                </w:tcPr>
                <w:p w14:paraId="57C0BC67">
                  <w:pPr>
                    <w:pStyle w:val="23"/>
                    <w:jc w:val="center"/>
                    <w:rPr>
                      <w:rFonts w:ascii="Times New Roman" w:hAnsi="Times New Roman"/>
                      <w:color w:val="auto"/>
                      <w:sz w:val="21"/>
                      <w:szCs w:val="21"/>
                    </w:rPr>
                  </w:pPr>
                  <w:r>
                    <w:rPr>
                      <w:rFonts w:ascii="Times New Roman" w:hAnsi="Times New Roman"/>
                      <w:color w:val="auto"/>
                      <w:sz w:val="21"/>
                      <w:szCs w:val="21"/>
                    </w:rPr>
                    <w:t>1、监测项目：声环境质量。</w:t>
                  </w:r>
                </w:p>
                <w:p w14:paraId="3A95842D">
                  <w:pPr>
                    <w:pStyle w:val="23"/>
                    <w:jc w:val="center"/>
                    <w:rPr>
                      <w:rFonts w:ascii="Times New Roman" w:hAnsi="Times New Roman"/>
                      <w:color w:val="auto"/>
                      <w:sz w:val="21"/>
                      <w:szCs w:val="21"/>
                    </w:rPr>
                  </w:pPr>
                  <w:r>
                    <w:rPr>
                      <w:rFonts w:ascii="Times New Roman" w:hAnsi="Times New Roman"/>
                      <w:color w:val="auto"/>
                      <w:sz w:val="21"/>
                      <w:szCs w:val="21"/>
                    </w:rPr>
                    <w:t>2、监测频率：施工期监测一次</w:t>
                  </w:r>
                </w:p>
                <w:p w14:paraId="52C2F4CF">
                  <w:pPr>
                    <w:pStyle w:val="23"/>
                    <w:jc w:val="center"/>
                    <w:rPr>
                      <w:rFonts w:hint="default" w:ascii="Times New Roman" w:hAnsi="Times New Roman"/>
                      <w:color w:val="auto"/>
                      <w:sz w:val="21"/>
                      <w:szCs w:val="21"/>
                      <w:lang w:val="en-US"/>
                    </w:rPr>
                  </w:pPr>
                  <w:r>
                    <w:rPr>
                      <w:rFonts w:ascii="Times New Roman" w:hAnsi="Times New Roman"/>
                      <w:color w:val="auto"/>
                      <w:sz w:val="21"/>
                      <w:szCs w:val="21"/>
                    </w:rPr>
                    <w:t>3、监测点：</w:t>
                  </w:r>
                  <w:r>
                    <w:rPr>
                      <w:rFonts w:hint="eastAsia" w:ascii="Times New Roman" w:hAnsi="Times New Roman"/>
                      <w:color w:val="auto"/>
                      <w:sz w:val="21"/>
                      <w:szCs w:val="21"/>
                      <w:lang w:val="en-US" w:eastAsia="zh-CN"/>
                    </w:rPr>
                    <w:t>史圩孜村</w:t>
                  </w:r>
                </w:p>
                <w:p w14:paraId="4B050B65">
                  <w:pPr>
                    <w:pStyle w:val="23"/>
                    <w:adjustRightInd/>
                    <w:jc w:val="center"/>
                    <w:rPr>
                      <w:rFonts w:ascii="Times New Roman" w:hAnsi="Times New Roman"/>
                      <w:color w:val="auto"/>
                      <w:sz w:val="21"/>
                      <w:szCs w:val="21"/>
                    </w:rPr>
                  </w:pPr>
                  <w:r>
                    <w:rPr>
                      <w:rFonts w:ascii="Times New Roman" w:hAnsi="Times New Roman"/>
                      <w:color w:val="auto"/>
                      <w:sz w:val="21"/>
                      <w:szCs w:val="21"/>
                    </w:rPr>
                    <w:t>4、监测内容：等效连续 A 声级</w:t>
                  </w:r>
                </w:p>
              </w:tc>
              <w:tc>
                <w:tcPr>
                  <w:tcW w:w="1254" w:type="dxa"/>
                  <w:noWrap w:val="0"/>
                  <w:vAlign w:val="center"/>
                </w:tcPr>
                <w:p w14:paraId="07E772C1">
                  <w:pPr>
                    <w:pStyle w:val="23"/>
                    <w:adjustRightInd/>
                    <w:jc w:val="center"/>
                    <w:rPr>
                      <w:rFonts w:ascii="Times New Roman" w:hAnsi="Times New Roman"/>
                      <w:color w:val="auto"/>
                      <w:sz w:val="21"/>
                      <w:szCs w:val="21"/>
                    </w:rPr>
                  </w:pPr>
                  <w:r>
                    <w:rPr>
                      <w:rFonts w:ascii="Times New Roman" w:hAnsi="Times New Roman"/>
                      <w:color w:val="auto"/>
                      <w:sz w:val="21"/>
                      <w:szCs w:val="21"/>
                    </w:rPr>
                    <w:t>委托有资质监测单位</w:t>
                  </w:r>
                </w:p>
              </w:tc>
              <w:tc>
                <w:tcPr>
                  <w:tcW w:w="1200" w:type="dxa"/>
                  <w:noWrap w:val="0"/>
                  <w:vAlign w:val="center"/>
                </w:tcPr>
                <w:p w14:paraId="51854B21">
                  <w:pPr>
                    <w:pStyle w:val="23"/>
                    <w:adjustRightInd/>
                    <w:jc w:val="center"/>
                    <w:rPr>
                      <w:rFonts w:ascii="Times New Roman" w:hAnsi="Times New Roman"/>
                      <w:color w:val="auto"/>
                      <w:sz w:val="21"/>
                      <w:szCs w:val="21"/>
                    </w:rPr>
                  </w:pPr>
                  <w:r>
                    <w:rPr>
                      <w:rFonts w:ascii="Times New Roman" w:hAnsi="Times New Roman"/>
                      <w:color w:val="auto"/>
                      <w:sz w:val="21"/>
                      <w:szCs w:val="21"/>
                    </w:rPr>
                    <w:t>当地生态环境部门</w:t>
                  </w:r>
                </w:p>
              </w:tc>
            </w:tr>
            <w:tr w14:paraId="3491F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noWrap w:val="0"/>
                  <w:vAlign w:val="center"/>
                </w:tcPr>
                <w:p w14:paraId="70A6892F">
                  <w:pPr>
                    <w:pStyle w:val="23"/>
                    <w:adjustRightInd/>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3</w:t>
                  </w:r>
                </w:p>
              </w:tc>
              <w:tc>
                <w:tcPr>
                  <w:tcW w:w="1158" w:type="dxa"/>
                  <w:noWrap w:val="0"/>
                  <w:vAlign w:val="center"/>
                </w:tcPr>
                <w:p w14:paraId="7174AFEE">
                  <w:pPr>
                    <w:pStyle w:val="23"/>
                    <w:adjustRightInd/>
                    <w:jc w:val="center"/>
                    <w:rPr>
                      <w:rFonts w:ascii="Times New Roman" w:hAnsi="Times New Roman"/>
                      <w:color w:val="auto"/>
                      <w:sz w:val="21"/>
                      <w:szCs w:val="21"/>
                    </w:rPr>
                  </w:pPr>
                  <w:r>
                    <w:rPr>
                      <w:rFonts w:ascii="Times New Roman" w:hAnsi="Times New Roman"/>
                      <w:color w:val="auto"/>
                      <w:sz w:val="21"/>
                      <w:szCs w:val="21"/>
                    </w:rPr>
                    <w:t>固体废物</w:t>
                  </w:r>
                </w:p>
              </w:tc>
              <w:tc>
                <w:tcPr>
                  <w:tcW w:w="3332" w:type="dxa"/>
                  <w:noWrap w:val="0"/>
                  <w:vAlign w:val="center"/>
                </w:tcPr>
                <w:p w14:paraId="3AA644E9">
                  <w:pPr>
                    <w:pStyle w:val="23"/>
                    <w:jc w:val="center"/>
                    <w:rPr>
                      <w:rFonts w:ascii="Times New Roman" w:hAnsi="Times New Roman"/>
                      <w:color w:val="auto"/>
                      <w:sz w:val="21"/>
                      <w:szCs w:val="21"/>
                    </w:rPr>
                  </w:pPr>
                  <w:r>
                    <w:rPr>
                      <w:rFonts w:ascii="Times New Roman" w:hAnsi="Times New Roman"/>
                      <w:color w:val="auto"/>
                      <w:sz w:val="21"/>
                      <w:szCs w:val="21"/>
                    </w:rPr>
                    <w:t>对施工作业场地内产生的生活垃圾、废弃泥浆处理进行随机检查</w:t>
                  </w:r>
                </w:p>
              </w:tc>
              <w:tc>
                <w:tcPr>
                  <w:tcW w:w="1254" w:type="dxa"/>
                  <w:noWrap w:val="0"/>
                  <w:vAlign w:val="center"/>
                </w:tcPr>
                <w:p w14:paraId="0A2742C2">
                  <w:pPr>
                    <w:pStyle w:val="23"/>
                    <w:jc w:val="center"/>
                    <w:rPr>
                      <w:rFonts w:ascii="Times New Roman" w:hAnsi="Times New Roman"/>
                      <w:color w:val="auto"/>
                      <w:sz w:val="21"/>
                      <w:szCs w:val="21"/>
                    </w:rPr>
                  </w:pPr>
                  <w:r>
                    <w:rPr>
                      <w:rFonts w:ascii="Times New Roman" w:hAnsi="Times New Roman"/>
                      <w:color w:val="auto"/>
                      <w:sz w:val="21"/>
                      <w:szCs w:val="21"/>
                    </w:rPr>
                    <w:t>建设单位委托的监理单位</w:t>
                  </w:r>
                </w:p>
              </w:tc>
              <w:tc>
                <w:tcPr>
                  <w:tcW w:w="1200" w:type="dxa"/>
                  <w:noWrap w:val="0"/>
                  <w:vAlign w:val="center"/>
                </w:tcPr>
                <w:p w14:paraId="1A25AF01">
                  <w:pPr>
                    <w:pStyle w:val="23"/>
                    <w:adjustRightInd/>
                    <w:jc w:val="center"/>
                    <w:rPr>
                      <w:rFonts w:ascii="Times New Roman" w:hAnsi="Times New Roman"/>
                      <w:color w:val="auto"/>
                      <w:sz w:val="21"/>
                      <w:szCs w:val="21"/>
                    </w:rPr>
                  </w:pPr>
                  <w:r>
                    <w:rPr>
                      <w:rFonts w:ascii="Times New Roman" w:hAnsi="Times New Roman"/>
                      <w:color w:val="auto"/>
                      <w:sz w:val="21"/>
                      <w:szCs w:val="21"/>
                    </w:rPr>
                    <w:t>当地生态环境部门</w:t>
                  </w:r>
                </w:p>
              </w:tc>
            </w:tr>
            <w:tr w14:paraId="32ECC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noWrap w:val="0"/>
                  <w:vAlign w:val="center"/>
                </w:tcPr>
                <w:p w14:paraId="02FCA4F8">
                  <w:pPr>
                    <w:pStyle w:val="23"/>
                    <w:adjustRightInd/>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4</w:t>
                  </w:r>
                </w:p>
              </w:tc>
              <w:tc>
                <w:tcPr>
                  <w:tcW w:w="1158" w:type="dxa"/>
                  <w:noWrap w:val="0"/>
                  <w:vAlign w:val="center"/>
                </w:tcPr>
                <w:p w14:paraId="2D8B7085">
                  <w:pPr>
                    <w:pStyle w:val="23"/>
                    <w:adjustRightInd/>
                    <w:jc w:val="center"/>
                    <w:rPr>
                      <w:rFonts w:ascii="Times New Roman" w:hAnsi="Times New Roman"/>
                      <w:color w:val="auto"/>
                      <w:sz w:val="21"/>
                      <w:szCs w:val="21"/>
                    </w:rPr>
                  </w:pPr>
                  <w:r>
                    <w:rPr>
                      <w:rFonts w:ascii="Times New Roman" w:hAnsi="Times New Roman"/>
                      <w:color w:val="auto"/>
                      <w:sz w:val="21"/>
                      <w:szCs w:val="21"/>
                    </w:rPr>
                    <w:t>生态环境</w:t>
                  </w:r>
                </w:p>
              </w:tc>
              <w:tc>
                <w:tcPr>
                  <w:tcW w:w="3332" w:type="dxa"/>
                  <w:noWrap w:val="0"/>
                  <w:vAlign w:val="center"/>
                </w:tcPr>
                <w:p w14:paraId="6CFAD61C">
                  <w:pPr>
                    <w:pStyle w:val="23"/>
                    <w:jc w:val="center"/>
                    <w:rPr>
                      <w:rFonts w:ascii="Times New Roman" w:hAnsi="Times New Roman"/>
                      <w:color w:val="auto"/>
                      <w:sz w:val="21"/>
                      <w:szCs w:val="21"/>
                    </w:rPr>
                  </w:pPr>
                  <w:r>
                    <w:rPr>
                      <w:rFonts w:ascii="Times New Roman" w:hAnsi="Times New Roman"/>
                      <w:color w:val="auto"/>
                      <w:sz w:val="21"/>
                      <w:szCs w:val="21"/>
                    </w:rPr>
                    <w:t>1、监控项目：施工结束后，施工现场的弃土、石、渣等垃圾和生态环境恢复情况。</w:t>
                  </w:r>
                </w:p>
                <w:p w14:paraId="693D3C7E">
                  <w:pPr>
                    <w:pStyle w:val="23"/>
                    <w:jc w:val="center"/>
                    <w:rPr>
                      <w:rFonts w:ascii="Times New Roman" w:hAnsi="Times New Roman"/>
                      <w:color w:val="auto"/>
                      <w:sz w:val="21"/>
                      <w:szCs w:val="21"/>
                    </w:rPr>
                  </w:pPr>
                  <w:r>
                    <w:rPr>
                      <w:rFonts w:ascii="Times New Roman" w:hAnsi="Times New Roman"/>
                      <w:color w:val="auto"/>
                      <w:sz w:val="21"/>
                      <w:szCs w:val="21"/>
                    </w:rPr>
                    <w:t>2.监测频率：施工结束后 1 次。</w:t>
                  </w:r>
                </w:p>
                <w:p w14:paraId="26D1AE3F">
                  <w:pPr>
                    <w:pStyle w:val="23"/>
                    <w:adjustRightInd/>
                    <w:jc w:val="center"/>
                    <w:rPr>
                      <w:rFonts w:ascii="Times New Roman" w:hAnsi="Times New Roman"/>
                      <w:color w:val="auto"/>
                      <w:sz w:val="21"/>
                      <w:szCs w:val="21"/>
                    </w:rPr>
                  </w:pPr>
                  <w:r>
                    <w:rPr>
                      <w:rFonts w:ascii="Times New Roman" w:hAnsi="Times New Roman"/>
                      <w:color w:val="auto"/>
                      <w:sz w:val="21"/>
                      <w:szCs w:val="21"/>
                    </w:rPr>
                    <w:t>3.监测点：项目涉及的各井场。</w:t>
                  </w:r>
                </w:p>
              </w:tc>
              <w:tc>
                <w:tcPr>
                  <w:tcW w:w="1254" w:type="dxa"/>
                  <w:noWrap w:val="0"/>
                  <w:vAlign w:val="center"/>
                </w:tcPr>
                <w:p w14:paraId="1C0896AB">
                  <w:pPr>
                    <w:pStyle w:val="23"/>
                    <w:jc w:val="center"/>
                    <w:rPr>
                      <w:rFonts w:ascii="Times New Roman" w:hAnsi="Times New Roman"/>
                      <w:color w:val="auto"/>
                      <w:sz w:val="21"/>
                      <w:szCs w:val="21"/>
                    </w:rPr>
                  </w:pPr>
                  <w:r>
                    <w:rPr>
                      <w:rFonts w:ascii="Times New Roman" w:hAnsi="Times New Roman"/>
                      <w:color w:val="auto"/>
                      <w:sz w:val="21"/>
                      <w:szCs w:val="21"/>
                    </w:rPr>
                    <w:t>施工单位和建设单位</w:t>
                  </w:r>
                </w:p>
              </w:tc>
              <w:tc>
                <w:tcPr>
                  <w:tcW w:w="1200" w:type="dxa"/>
                  <w:noWrap w:val="0"/>
                  <w:vAlign w:val="center"/>
                </w:tcPr>
                <w:p w14:paraId="38D2AE23">
                  <w:pPr>
                    <w:pStyle w:val="23"/>
                    <w:adjustRightInd/>
                    <w:jc w:val="center"/>
                    <w:rPr>
                      <w:rFonts w:ascii="Times New Roman" w:hAnsi="Times New Roman"/>
                      <w:color w:val="auto"/>
                      <w:sz w:val="21"/>
                      <w:szCs w:val="21"/>
                    </w:rPr>
                  </w:pPr>
                  <w:r>
                    <w:rPr>
                      <w:rFonts w:ascii="Times New Roman" w:hAnsi="Times New Roman"/>
                      <w:color w:val="auto"/>
                      <w:sz w:val="21"/>
                      <w:szCs w:val="21"/>
                    </w:rPr>
                    <w:t>当地生态环境部门</w:t>
                  </w:r>
                </w:p>
              </w:tc>
            </w:tr>
            <w:tr w14:paraId="3351F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noWrap w:val="0"/>
                  <w:vAlign w:val="center"/>
                </w:tcPr>
                <w:p w14:paraId="53272327">
                  <w:pPr>
                    <w:pStyle w:val="23"/>
                    <w:adjustRightInd/>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5</w:t>
                  </w:r>
                </w:p>
              </w:tc>
              <w:tc>
                <w:tcPr>
                  <w:tcW w:w="1158" w:type="dxa"/>
                  <w:noWrap w:val="0"/>
                  <w:vAlign w:val="center"/>
                </w:tcPr>
                <w:p w14:paraId="3B274CD6">
                  <w:pPr>
                    <w:pStyle w:val="23"/>
                    <w:jc w:val="center"/>
                    <w:rPr>
                      <w:rFonts w:ascii="Times New Roman" w:hAnsi="Times New Roman"/>
                      <w:color w:val="auto"/>
                      <w:sz w:val="21"/>
                      <w:szCs w:val="21"/>
                    </w:rPr>
                  </w:pPr>
                  <w:r>
                    <w:rPr>
                      <w:rFonts w:ascii="Times New Roman" w:hAnsi="Times New Roman"/>
                      <w:color w:val="auto"/>
                      <w:sz w:val="21"/>
                      <w:szCs w:val="21"/>
                    </w:rPr>
                    <w:t>事故性监测</w:t>
                  </w:r>
                </w:p>
              </w:tc>
              <w:tc>
                <w:tcPr>
                  <w:tcW w:w="3332" w:type="dxa"/>
                  <w:noWrap w:val="0"/>
                  <w:vAlign w:val="center"/>
                </w:tcPr>
                <w:p w14:paraId="24E2BB5B">
                  <w:pPr>
                    <w:pStyle w:val="23"/>
                    <w:rPr>
                      <w:rFonts w:ascii="Times New Roman" w:hAnsi="Times New Roman"/>
                      <w:color w:val="auto"/>
                      <w:sz w:val="21"/>
                      <w:szCs w:val="21"/>
                    </w:rPr>
                  </w:pPr>
                  <w:r>
                    <w:rPr>
                      <w:rFonts w:ascii="Times New Roman" w:hAnsi="Times New Roman"/>
                      <w:color w:val="auto"/>
                      <w:sz w:val="21"/>
                      <w:szCs w:val="21"/>
                    </w:rPr>
                    <w:t>根据事故性质、事故影响的大小，视具体情况监测气、水等</w:t>
                  </w:r>
                </w:p>
              </w:tc>
              <w:tc>
                <w:tcPr>
                  <w:tcW w:w="1254" w:type="dxa"/>
                  <w:noWrap w:val="0"/>
                  <w:vAlign w:val="center"/>
                </w:tcPr>
                <w:p w14:paraId="151F72CD">
                  <w:pPr>
                    <w:pStyle w:val="23"/>
                    <w:jc w:val="center"/>
                    <w:rPr>
                      <w:rFonts w:ascii="Times New Roman" w:hAnsi="Times New Roman"/>
                      <w:color w:val="auto"/>
                      <w:sz w:val="21"/>
                      <w:szCs w:val="21"/>
                    </w:rPr>
                  </w:pPr>
                  <w:r>
                    <w:rPr>
                      <w:rFonts w:ascii="Times New Roman" w:hAnsi="Times New Roman"/>
                      <w:color w:val="auto"/>
                      <w:sz w:val="21"/>
                      <w:szCs w:val="21"/>
                    </w:rPr>
                    <w:t>委托有资质监测单位</w:t>
                  </w:r>
                </w:p>
              </w:tc>
              <w:tc>
                <w:tcPr>
                  <w:tcW w:w="1200" w:type="dxa"/>
                  <w:noWrap w:val="0"/>
                  <w:vAlign w:val="center"/>
                </w:tcPr>
                <w:p w14:paraId="6BB5FBDE">
                  <w:pPr>
                    <w:pStyle w:val="23"/>
                    <w:adjustRightInd/>
                    <w:jc w:val="center"/>
                    <w:rPr>
                      <w:rFonts w:ascii="Times New Roman" w:hAnsi="Times New Roman"/>
                      <w:color w:val="auto"/>
                      <w:sz w:val="21"/>
                      <w:szCs w:val="21"/>
                    </w:rPr>
                  </w:pPr>
                  <w:r>
                    <w:rPr>
                      <w:rFonts w:ascii="Times New Roman" w:hAnsi="Times New Roman"/>
                      <w:color w:val="auto"/>
                      <w:sz w:val="21"/>
                      <w:szCs w:val="21"/>
                    </w:rPr>
                    <w:t>当地生态环境部门</w:t>
                  </w:r>
                </w:p>
              </w:tc>
            </w:tr>
          </w:tbl>
          <w:p w14:paraId="7E09D017">
            <w:pPr>
              <w:spacing w:line="360" w:lineRule="auto"/>
              <w:ind w:firstLine="460" w:firstLineChars="200"/>
              <w:rPr>
                <w:rFonts w:ascii="Times New Roman" w:hAnsi="Times New Roman"/>
                <w:bCs/>
                <w:color w:val="auto"/>
                <w:spacing w:val="10"/>
                <w:szCs w:val="21"/>
              </w:rPr>
            </w:pPr>
          </w:p>
        </w:tc>
      </w:tr>
      <w:tr w14:paraId="7127DF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1" w:hRule="atLeast"/>
          <w:jc w:val="center"/>
        </w:trPr>
        <w:tc>
          <w:tcPr>
            <w:tcW w:w="753" w:type="dxa"/>
            <w:noWrap w:val="0"/>
            <w:vAlign w:val="center"/>
          </w:tcPr>
          <w:p w14:paraId="12BA4F74">
            <w:pPr>
              <w:adjustRightInd w:val="0"/>
              <w:snapToGrid w:val="0"/>
              <w:jc w:val="center"/>
              <w:rPr>
                <w:rFonts w:ascii="Times New Roman" w:hAnsi="Times New Roman"/>
                <w:bCs/>
                <w:color w:val="auto"/>
                <w:spacing w:val="10"/>
                <w:sz w:val="24"/>
              </w:rPr>
            </w:pPr>
            <w:r>
              <w:rPr>
                <w:rFonts w:ascii="Times New Roman" w:hAnsi="Times New Roman"/>
                <w:bCs/>
                <w:color w:val="auto"/>
                <w:sz w:val="24"/>
              </w:rPr>
              <w:t>环保投资</w:t>
            </w:r>
          </w:p>
        </w:tc>
        <w:tc>
          <w:tcPr>
            <w:tcW w:w="7980" w:type="dxa"/>
            <w:noWrap w:val="0"/>
            <w:vAlign w:val="top"/>
          </w:tcPr>
          <w:p w14:paraId="0290A931">
            <w:pPr>
              <w:adjustRightInd w:val="0"/>
              <w:snapToGrid w:val="0"/>
              <w:spacing w:line="360" w:lineRule="auto"/>
              <w:ind w:firstLine="480" w:firstLineChars="200"/>
              <w:rPr>
                <w:rFonts w:ascii="Times New Roman" w:hAnsi="Times New Roman"/>
                <w:color w:val="auto"/>
                <w:sz w:val="24"/>
              </w:rPr>
            </w:pPr>
            <w:r>
              <w:rPr>
                <w:rFonts w:ascii="Times New Roman" w:hAnsi="Times New Roman"/>
                <w:color w:val="auto"/>
                <w:sz w:val="24"/>
              </w:rPr>
              <w:t>项目环保投资</w:t>
            </w:r>
            <w:r>
              <w:rPr>
                <w:rFonts w:hint="eastAsia" w:ascii="Times New Roman" w:hAnsi="Times New Roman"/>
                <w:color w:val="auto"/>
                <w:sz w:val="24"/>
                <w:lang w:val="en-US" w:eastAsia="zh-CN"/>
              </w:rPr>
              <w:t>694</w:t>
            </w:r>
            <w:r>
              <w:rPr>
                <w:rFonts w:ascii="Times New Roman" w:hAnsi="Times New Roman"/>
                <w:color w:val="auto"/>
                <w:sz w:val="24"/>
              </w:rPr>
              <w:t>万元，占总投资</w:t>
            </w:r>
            <w:r>
              <w:rPr>
                <w:rFonts w:hint="eastAsia" w:ascii="Times New Roman" w:hAnsi="Times New Roman"/>
                <w:color w:val="auto"/>
                <w:sz w:val="24"/>
                <w:lang w:val="en-US" w:eastAsia="zh-CN"/>
              </w:rPr>
              <w:t>2500</w:t>
            </w:r>
            <w:r>
              <w:rPr>
                <w:rFonts w:ascii="Times New Roman" w:hAnsi="Times New Roman"/>
                <w:color w:val="auto"/>
                <w:sz w:val="24"/>
              </w:rPr>
              <w:t>万元的</w:t>
            </w:r>
            <w:r>
              <w:rPr>
                <w:rFonts w:hint="eastAsia" w:ascii="Times New Roman" w:hAnsi="Times New Roman"/>
                <w:color w:val="auto"/>
                <w:sz w:val="24"/>
                <w:lang w:val="en-US" w:eastAsia="zh-CN"/>
              </w:rPr>
              <w:t>27.76</w:t>
            </w:r>
            <w:r>
              <w:rPr>
                <w:rFonts w:ascii="Times New Roman" w:hAnsi="Times New Roman"/>
                <w:color w:val="auto"/>
                <w:sz w:val="24"/>
              </w:rPr>
              <w:t>%，环保投资估算详见下表。</w:t>
            </w:r>
          </w:p>
          <w:p w14:paraId="4E7448EB">
            <w:pPr>
              <w:adjustRightInd w:val="0"/>
              <w:snapToGrid w:val="0"/>
              <w:jc w:val="center"/>
              <w:rPr>
                <w:rFonts w:ascii="Times New Roman" w:hAnsi="Times New Roman"/>
                <w:b/>
                <w:color w:val="auto"/>
              </w:rPr>
            </w:pPr>
            <w:r>
              <w:rPr>
                <w:rFonts w:ascii="Times New Roman" w:hAnsi="Times New Roman"/>
                <w:b/>
                <w:color w:val="auto"/>
              </w:rPr>
              <w:t>表5-</w:t>
            </w:r>
            <w:r>
              <w:rPr>
                <w:rFonts w:hint="eastAsia" w:ascii="Times New Roman" w:hAnsi="Times New Roman"/>
                <w:b/>
                <w:color w:val="auto"/>
              </w:rPr>
              <w:t>2</w:t>
            </w:r>
            <w:r>
              <w:rPr>
                <w:rFonts w:ascii="Times New Roman" w:hAnsi="Times New Roman"/>
                <w:b/>
                <w:color w:val="auto"/>
              </w:rPr>
              <w:t xml:space="preserve">  环保投资一览表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1"/>
              <w:gridCol w:w="538"/>
              <w:gridCol w:w="1646"/>
              <w:gridCol w:w="4356"/>
              <w:gridCol w:w="753"/>
            </w:tblGrid>
            <w:tr w14:paraId="27421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2575" w:type="dxa"/>
                  <w:gridSpan w:val="3"/>
                  <w:noWrap w:val="0"/>
                  <w:vAlign w:val="center"/>
                </w:tcPr>
                <w:p w14:paraId="74729A32">
                  <w:pPr>
                    <w:ind w:left="-105" w:leftChars="-50" w:right="-105" w:rightChars="-50"/>
                    <w:jc w:val="center"/>
                    <w:rPr>
                      <w:rFonts w:ascii="Times New Roman" w:hAnsi="Times New Roman"/>
                      <w:color w:val="auto"/>
                      <w:szCs w:val="21"/>
                    </w:rPr>
                  </w:pPr>
                  <w:r>
                    <w:rPr>
                      <w:rFonts w:ascii="Times New Roman" w:hAnsi="Times New Roman"/>
                      <w:color w:val="auto"/>
                      <w:szCs w:val="21"/>
                    </w:rPr>
                    <w:t>项目</w:t>
                  </w:r>
                </w:p>
              </w:tc>
              <w:tc>
                <w:tcPr>
                  <w:tcW w:w="4356" w:type="dxa"/>
                  <w:noWrap w:val="0"/>
                  <w:vAlign w:val="center"/>
                </w:tcPr>
                <w:p w14:paraId="0FBBAA75">
                  <w:pPr>
                    <w:ind w:left="-105" w:leftChars="-50" w:right="-105" w:rightChars="-50"/>
                    <w:jc w:val="center"/>
                    <w:rPr>
                      <w:rFonts w:ascii="Times New Roman" w:hAnsi="Times New Roman"/>
                      <w:color w:val="auto"/>
                      <w:szCs w:val="21"/>
                    </w:rPr>
                  </w:pPr>
                  <w:r>
                    <w:rPr>
                      <w:rFonts w:ascii="Times New Roman" w:hAnsi="Times New Roman"/>
                      <w:color w:val="auto"/>
                      <w:szCs w:val="21"/>
                    </w:rPr>
                    <w:t>环保措施</w:t>
                  </w:r>
                </w:p>
              </w:tc>
              <w:tc>
                <w:tcPr>
                  <w:tcW w:w="753" w:type="dxa"/>
                  <w:noWrap w:val="0"/>
                  <w:vAlign w:val="center"/>
                </w:tcPr>
                <w:p w14:paraId="5E5B5D3D">
                  <w:pPr>
                    <w:ind w:left="-105" w:leftChars="-50" w:right="-105" w:rightChars="-50"/>
                    <w:jc w:val="center"/>
                    <w:rPr>
                      <w:rFonts w:ascii="Times New Roman" w:hAnsi="Times New Roman"/>
                      <w:color w:val="auto"/>
                      <w:szCs w:val="21"/>
                    </w:rPr>
                  </w:pPr>
                  <w:r>
                    <w:rPr>
                      <w:rFonts w:ascii="Times New Roman" w:hAnsi="Times New Roman"/>
                      <w:color w:val="auto"/>
                      <w:szCs w:val="21"/>
                    </w:rPr>
                    <w:t>投资</w:t>
                  </w:r>
                </w:p>
                <w:p w14:paraId="67CDDCFF">
                  <w:pPr>
                    <w:ind w:left="-105" w:leftChars="-50" w:right="-105" w:rightChars="-50"/>
                    <w:jc w:val="center"/>
                    <w:rPr>
                      <w:rFonts w:ascii="Times New Roman" w:hAnsi="Times New Roman"/>
                      <w:color w:val="auto"/>
                      <w:szCs w:val="21"/>
                    </w:rPr>
                  </w:pPr>
                  <w:r>
                    <w:rPr>
                      <w:rFonts w:ascii="Times New Roman" w:hAnsi="Times New Roman"/>
                      <w:color w:val="auto"/>
                      <w:szCs w:val="21"/>
                    </w:rPr>
                    <w:t>（万元）</w:t>
                  </w:r>
                </w:p>
              </w:tc>
            </w:tr>
            <w:tr w14:paraId="0113E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91" w:type="dxa"/>
                  <w:vMerge w:val="restart"/>
                  <w:noWrap w:val="0"/>
                  <w:vAlign w:val="center"/>
                </w:tcPr>
                <w:p w14:paraId="59D73B23">
                  <w:pPr>
                    <w:ind w:left="-105" w:leftChars="-50" w:right="-105" w:rightChars="-50"/>
                    <w:jc w:val="center"/>
                    <w:rPr>
                      <w:rFonts w:ascii="Times New Roman" w:hAnsi="Times New Roman"/>
                      <w:color w:val="auto"/>
                      <w:szCs w:val="21"/>
                    </w:rPr>
                  </w:pPr>
                  <w:r>
                    <w:rPr>
                      <w:rFonts w:ascii="Times New Roman" w:hAnsi="Times New Roman"/>
                      <w:color w:val="auto"/>
                      <w:szCs w:val="21"/>
                    </w:rPr>
                    <w:t>施</w:t>
                  </w:r>
                </w:p>
                <w:p w14:paraId="372D1532">
                  <w:pPr>
                    <w:ind w:left="-105" w:leftChars="-50" w:right="-105" w:rightChars="-50"/>
                    <w:jc w:val="center"/>
                    <w:rPr>
                      <w:rFonts w:ascii="Times New Roman" w:hAnsi="Times New Roman"/>
                      <w:color w:val="auto"/>
                      <w:szCs w:val="21"/>
                    </w:rPr>
                  </w:pPr>
                  <w:r>
                    <w:rPr>
                      <w:rFonts w:ascii="Times New Roman" w:hAnsi="Times New Roman"/>
                      <w:color w:val="auto"/>
                      <w:szCs w:val="21"/>
                    </w:rPr>
                    <w:t>工</w:t>
                  </w:r>
                </w:p>
                <w:p w14:paraId="0DA134CE">
                  <w:pPr>
                    <w:ind w:left="-105" w:leftChars="-50" w:right="-105" w:rightChars="-50"/>
                    <w:jc w:val="center"/>
                    <w:rPr>
                      <w:rFonts w:ascii="Times New Roman" w:hAnsi="Times New Roman"/>
                      <w:color w:val="auto"/>
                      <w:szCs w:val="21"/>
                    </w:rPr>
                  </w:pPr>
                  <w:r>
                    <w:rPr>
                      <w:rFonts w:ascii="Times New Roman" w:hAnsi="Times New Roman"/>
                      <w:color w:val="auto"/>
                      <w:szCs w:val="21"/>
                    </w:rPr>
                    <w:t>期</w:t>
                  </w:r>
                </w:p>
              </w:tc>
              <w:tc>
                <w:tcPr>
                  <w:tcW w:w="538" w:type="dxa"/>
                  <w:noWrap w:val="0"/>
                  <w:vAlign w:val="center"/>
                </w:tcPr>
                <w:p w14:paraId="00A25464">
                  <w:pPr>
                    <w:ind w:left="-105" w:leftChars="-50" w:right="-105" w:rightChars="-50"/>
                    <w:jc w:val="center"/>
                    <w:rPr>
                      <w:rFonts w:ascii="Times New Roman" w:hAnsi="Times New Roman"/>
                      <w:color w:val="auto"/>
                      <w:szCs w:val="21"/>
                    </w:rPr>
                  </w:pPr>
                  <w:r>
                    <w:rPr>
                      <w:rFonts w:ascii="Times New Roman" w:hAnsi="Times New Roman"/>
                      <w:color w:val="auto"/>
                      <w:szCs w:val="21"/>
                    </w:rPr>
                    <w:t>废气</w:t>
                  </w:r>
                </w:p>
              </w:tc>
              <w:tc>
                <w:tcPr>
                  <w:tcW w:w="1646" w:type="dxa"/>
                  <w:noWrap w:val="0"/>
                  <w:vAlign w:val="center"/>
                </w:tcPr>
                <w:p w14:paraId="3FABB87F">
                  <w:pPr>
                    <w:jc w:val="center"/>
                    <w:rPr>
                      <w:rFonts w:ascii="Times New Roman" w:hAnsi="Times New Roman"/>
                      <w:color w:val="auto"/>
                      <w:szCs w:val="21"/>
                    </w:rPr>
                  </w:pPr>
                  <w:r>
                    <w:rPr>
                      <w:rFonts w:ascii="Times New Roman" w:hAnsi="Times New Roman"/>
                      <w:color w:val="auto"/>
                      <w:szCs w:val="21"/>
                    </w:rPr>
                    <w:t>扬尘治理</w:t>
                  </w:r>
                </w:p>
              </w:tc>
              <w:tc>
                <w:tcPr>
                  <w:tcW w:w="4356" w:type="dxa"/>
                  <w:noWrap w:val="0"/>
                  <w:vAlign w:val="center"/>
                </w:tcPr>
                <w:p w14:paraId="71971B25">
                  <w:pPr>
                    <w:jc w:val="center"/>
                    <w:rPr>
                      <w:rFonts w:ascii="Times New Roman" w:hAnsi="Times New Roman"/>
                      <w:color w:val="auto"/>
                      <w:szCs w:val="21"/>
                    </w:rPr>
                  </w:pPr>
                  <w:r>
                    <w:rPr>
                      <w:rFonts w:ascii="Times New Roman" w:hAnsi="Times New Roman"/>
                      <w:color w:val="auto"/>
                      <w:szCs w:val="21"/>
                    </w:rPr>
                    <w:t>施工期影响主要为施工扬尘、机械尾气等。通过加强施工机械、车辆管理，进行物料覆盖，对施工道路进行固化、洒水处理等措施，施工现场扬尘污染防治应做到“六个百分之百”，减少对周边空气环境的影响</w:t>
                  </w:r>
                </w:p>
              </w:tc>
              <w:tc>
                <w:tcPr>
                  <w:tcW w:w="753" w:type="dxa"/>
                  <w:noWrap w:val="0"/>
                  <w:vAlign w:val="center"/>
                </w:tcPr>
                <w:p w14:paraId="5F15BE19">
                  <w:pPr>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60</w:t>
                  </w:r>
                </w:p>
              </w:tc>
            </w:tr>
            <w:tr w14:paraId="441EB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391" w:type="dxa"/>
                  <w:vMerge w:val="continue"/>
                  <w:noWrap w:val="0"/>
                  <w:vAlign w:val="center"/>
                </w:tcPr>
                <w:p w14:paraId="72A2402C">
                  <w:pPr>
                    <w:ind w:left="-105" w:leftChars="-50" w:right="-105" w:rightChars="-50"/>
                    <w:jc w:val="center"/>
                    <w:rPr>
                      <w:rFonts w:ascii="Times New Roman" w:hAnsi="Times New Roman"/>
                      <w:color w:val="auto"/>
                      <w:szCs w:val="21"/>
                    </w:rPr>
                  </w:pPr>
                </w:p>
              </w:tc>
              <w:tc>
                <w:tcPr>
                  <w:tcW w:w="538" w:type="dxa"/>
                  <w:vMerge w:val="restart"/>
                  <w:noWrap w:val="0"/>
                  <w:vAlign w:val="center"/>
                </w:tcPr>
                <w:p w14:paraId="1456CA83">
                  <w:pPr>
                    <w:ind w:left="-105" w:leftChars="-50" w:right="-105" w:rightChars="-50"/>
                    <w:jc w:val="center"/>
                    <w:rPr>
                      <w:rFonts w:ascii="Times New Roman" w:hAnsi="Times New Roman"/>
                      <w:color w:val="auto"/>
                      <w:szCs w:val="21"/>
                    </w:rPr>
                  </w:pPr>
                  <w:r>
                    <w:rPr>
                      <w:rFonts w:ascii="Times New Roman" w:hAnsi="Times New Roman"/>
                      <w:color w:val="auto"/>
                      <w:szCs w:val="21"/>
                    </w:rPr>
                    <w:t>废水</w:t>
                  </w:r>
                </w:p>
              </w:tc>
              <w:tc>
                <w:tcPr>
                  <w:tcW w:w="1646" w:type="dxa"/>
                  <w:vMerge w:val="restart"/>
                  <w:noWrap w:val="0"/>
                  <w:vAlign w:val="center"/>
                </w:tcPr>
                <w:p w14:paraId="14735E94">
                  <w:pPr>
                    <w:jc w:val="center"/>
                    <w:rPr>
                      <w:rFonts w:ascii="Times New Roman" w:hAnsi="Times New Roman"/>
                      <w:color w:val="auto"/>
                      <w:szCs w:val="21"/>
                    </w:rPr>
                  </w:pPr>
                  <w:r>
                    <w:rPr>
                      <w:rFonts w:ascii="Times New Roman" w:hAnsi="Times New Roman"/>
                      <w:color w:val="auto"/>
                      <w:szCs w:val="21"/>
                    </w:rPr>
                    <w:t>废水</w:t>
                  </w:r>
                </w:p>
              </w:tc>
              <w:tc>
                <w:tcPr>
                  <w:tcW w:w="4356" w:type="dxa"/>
                  <w:noWrap w:val="0"/>
                  <w:vAlign w:val="center"/>
                </w:tcPr>
                <w:p w14:paraId="5B1DD137">
                  <w:pPr>
                    <w:jc w:val="center"/>
                    <w:rPr>
                      <w:rFonts w:ascii="Times New Roman" w:hAnsi="Times New Roman"/>
                      <w:color w:val="auto"/>
                      <w:szCs w:val="21"/>
                    </w:rPr>
                  </w:pPr>
                  <w:r>
                    <w:rPr>
                      <w:rFonts w:ascii="Times New Roman" w:hAnsi="Times New Roman"/>
                      <w:color w:val="auto"/>
                      <w:szCs w:val="21"/>
                    </w:rPr>
                    <w:t>施工人员租住附近民房，用水量较少，生活污水经</w:t>
                  </w:r>
                  <w:r>
                    <w:rPr>
                      <w:rFonts w:hint="eastAsia" w:ascii="Times New Roman" w:hAnsi="Times New Roman"/>
                      <w:color w:val="auto"/>
                      <w:szCs w:val="21"/>
                      <w:lang w:val="en-US" w:eastAsia="zh-CN"/>
                    </w:rPr>
                    <w:t>场地临时</w:t>
                  </w:r>
                  <w:r>
                    <w:rPr>
                      <w:rFonts w:ascii="Times New Roman" w:hAnsi="Times New Roman"/>
                      <w:color w:val="auto"/>
                      <w:szCs w:val="21"/>
                    </w:rPr>
                    <w:t>化粪池处理后清掏农用，不外排。</w:t>
                  </w:r>
                </w:p>
              </w:tc>
              <w:tc>
                <w:tcPr>
                  <w:tcW w:w="753" w:type="dxa"/>
                  <w:noWrap w:val="0"/>
                  <w:vAlign w:val="center"/>
                </w:tcPr>
                <w:p w14:paraId="160FE3B7">
                  <w:pPr>
                    <w:jc w:val="center"/>
                    <w:rPr>
                      <w:rFonts w:hint="eastAsia" w:ascii="Times New Roman" w:hAnsi="Times New Roman" w:eastAsia="宋体"/>
                      <w:color w:val="auto"/>
                      <w:szCs w:val="21"/>
                      <w:lang w:eastAsia="zh-CN"/>
                    </w:rPr>
                  </w:pPr>
                  <w:r>
                    <w:rPr>
                      <w:rFonts w:hint="eastAsia" w:ascii="Times New Roman" w:hAnsi="Times New Roman"/>
                      <w:color w:val="auto"/>
                      <w:szCs w:val="21"/>
                      <w:lang w:val="en-US" w:eastAsia="zh-CN"/>
                    </w:rPr>
                    <w:t>4</w:t>
                  </w:r>
                </w:p>
              </w:tc>
            </w:tr>
            <w:tr w14:paraId="1DA23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391" w:type="dxa"/>
                  <w:vMerge w:val="continue"/>
                  <w:noWrap w:val="0"/>
                  <w:vAlign w:val="center"/>
                </w:tcPr>
                <w:p w14:paraId="271CFEAD">
                  <w:pPr>
                    <w:ind w:left="-105" w:leftChars="-50" w:right="-105" w:rightChars="-50"/>
                    <w:jc w:val="center"/>
                    <w:rPr>
                      <w:rFonts w:ascii="Times New Roman" w:hAnsi="Times New Roman"/>
                      <w:color w:val="auto"/>
                      <w:szCs w:val="21"/>
                    </w:rPr>
                  </w:pPr>
                </w:p>
              </w:tc>
              <w:tc>
                <w:tcPr>
                  <w:tcW w:w="538" w:type="dxa"/>
                  <w:vMerge w:val="continue"/>
                  <w:noWrap w:val="0"/>
                  <w:vAlign w:val="center"/>
                </w:tcPr>
                <w:p w14:paraId="2F530B51">
                  <w:pPr>
                    <w:ind w:left="-105" w:leftChars="-50" w:right="-105" w:rightChars="-50"/>
                    <w:jc w:val="center"/>
                    <w:rPr>
                      <w:rFonts w:ascii="Times New Roman" w:hAnsi="Times New Roman"/>
                      <w:color w:val="auto"/>
                      <w:szCs w:val="21"/>
                    </w:rPr>
                  </w:pPr>
                </w:p>
              </w:tc>
              <w:tc>
                <w:tcPr>
                  <w:tcW w:w="1646" w:type="dxa"/>
                  <w:vMerge w:val="continue"/>
                  <w:noWrap w:val="0"/>
                  <w:vAlign w:val="center"/>
                </w:tcPr>
                <w:p w14:paraId="0EFDA8C3">
                  <w:pPr>
                    <w:jc w:val="center"/>
                    <w:rPr>
                      <w:rFonts w:ascii="Times New Roman" w:hAnsi="Times New Roman"/>
                      <w:color w:val="auto"/>
                      <w:szCs w:val="21"/>
                    </w:rPr>
                  </w:pPr>
                </w:p>
              </w:tc>
              <w:tc>
                <w:tcPr>
                  <w:tcW w:w="4356" w:type="dxa"/>
                  <w:noWrap w:val="0"/>
                  <w:vAlign w:val="center"/>
                </w:tcPr>
                <w:p w14:paraId="1DDE7BFD">
                  <w:pPr>
                    <w:jc w:val="center"/>
                    <w:rPr>
                      <w:rFonts w:ascii="Times New Roman" w:hAnsi="Times New Roman"/>
                      <w:color w:val="auto"/>
                      <w:szCs w:val="21"/>
                    </w:rPr>
                  </w:pPr>
                  <w:r>
                    <w:rPr>
                      <w:rFonts w:ascii="Times New Roman" w:hAnsi="Times New Roman"/>
                      <w:color w:val="auto"/>
                      <w:szCs w:val="21"/>
                    </w:rPr>
                    <w:t>每个井场进出口</w:t>
                  </w:r>
                  <w:r>
                    <w:rPr>
                      <w:rFonts w:hint="eastAsia" w:ascii="Times New Roman" w:hAnsi="Times New Roman"/>
                      <w:color w:val="auto"/>
                      <w:szCs w:val="21"/>
                      <w:lang w:val="en-US" w:eastAsia="zh-CN"/>
                    </w:rPr>
                    <w:t>要对车辆进行冲洗</w:t>
                  </w:r>
                  <w:r>
                    <w:rPr>
                      <w:rFonts w:ascii="Times New Roman" w:hAnsi="Times New Roman"/>
                      <w:color w:val="auto"/>
                      <w:szCs w:val="21"/>
                    </w:rPr>
                    <w:t>，配套建设容积10m</w:t>
                  </w:r>
                  <w:r>
                    <w:rPr>
                      <w:rFonts w:ascii="Times New Roman" w:hAnsi="Times New Roman"/>
                      <w:color w:val="auto"/>
                      <w:szCs w:val="21"/>
                      <w:vertAlign w:val="superscript"/>
                    </w:rPr>
                    <w:t>3</w:t>
                  </w:r>
                  <w:r>
                    <w:rPr>
                      <w:rFonts w:ascii="Times New Roman" w:hAnsi="Times New Roman"/>
                      <w:color w:val="auto"/>
                      <w:szCs w:val="21"/>
                    </w:rPr>
                    <w:t>循环沉淀池，车辆清洗废水经沉淀池沉淀后循环使用，不外排；每个井场钻探废水设置设1个废浆池，容积40m</w:t>
                  </w:r>
                  <w:r>
                    <w:rPr>
                      <w:rFonts w:ascii="Times New Roman" w:hAnsi="Times New Roman"/>
                      <w:color w:val="auto"/>
                      <w:szCs w:val="21"/>
                      <w:vertAlign w:val="superscript"/>
                    </w:rPr>
                    <w:t>3</w:t>
                  </w:r>
                  <w:r>
                    <w:rPr>
                      <w:rFonts w:ascii="Times New Roman" w:hAnsi="Times New Roman"/>
                      <w:color w:val="auto"/>
                      <w:szCs w:val="21"/>
                    </w:rPr>
                    <w:t>，设置设1个干化池，容积40m</w:t>
                  </w:r>
                  <w:r>
                    <w:rPr>
                      <w:rFonts w:ascii="Times New Roman" w:hAnsi="Times New Roman"/>
                      <w:color w:val="auto"/>
                      <w:szCs w:val="21"/>
                      <w:vertAlign w:val="superscript"/>
                    </w:rPr>
                    <w:t>3</w:t>
                  </w:r>
                  <w:r>
                    <w:rPr>
                      <w:rFonts w:ascii="Times New Roman" w:hAnsi="Times New Roman"/>
                      <w:color w:val="auto"/>
                      <w:szCs w:val="21"/>
                    </w:rPr>
                    <w:t>，钻探废水经沉淀后回用于钻探用水</w:t>
                  </w:r>
                </w:p>
              </w:tc>
              <w:tc>
                <w:tcPr>
                  <w:tcW w:w="753" w:type="dxa"/>
                  <w:noWrap w:val="0"/>
                  <w:vAlign w:val="center"/>
                </w:tcPr>
                <w:p w14:paraId="00E6D3F2">
                  <w:pPr>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140</w:t>
                  </w:r>
                </w:p>
              </w:tc>
            </w:tr>
            <w:tr w14:paraId="04D3D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91" w:type="dxa"/>
                  <w:vMerge w:val="continue"/>
                  <w:noWrap w:val="0"/>
                  <w:vAlign w:val="center"/>
                </w:tcPr>
                <w:p w14:paraId="24EF6FA3">
                  <w:pPr>
                    <w:ind w:left="-105" w:leftChars="-50" w:right="-105" w:rightChars="-50"/>
                    <w:jc w:val="center"/>
                    <w:rPr>
                      <w:rFonts w:ascii="Times New Roman" w:hAnsi="Times New Roman"/>
                      <w:color w:val="auto"/>
                      <w:szCs w:val="21"/>
                    </w:rPr>
                  </w:pPr>
                </w:p>
              </w:tc>
              <w:tc>
                <w:tcPr>
                  <w:tcW w:w="538" w:type="dxa"/>
                  <w:noWrap w:val="0"/>
                  <w:vAlign w:val="center"/>
                </w:tcPr>
                <w:p w14:paraId="0FF5A5A1">
                  <w:pPr>
                    <w:ind w:left="-105" w:leftChars="-50" w:right="-105" w:rightChars="-50"/>
                    <w:jc w:val="center"/>
                    <w:rPr>
                      <w:rFonts w:ascii="Times New Roman" w:hAnsi="Times New Roman"/>
                      <w:color w:val="auto"/>
                      <w:szCs w:val="21"/>
                    </w:rPr>
                  </w:pPr>
                  <w:r>
                    <w:rPr>
                      <w:rFonts w:ascii="Times New Roman" w:hAnsi="Times New Roman"/>
                      <w:color w:val="auto"/>
                      <w:szCs w:val="21"/>
                    </w:rPr>
                    <w:t>噪声</w:t>
                  </w:r>
                </w:p>
              </w:tc>
              <w:tc>
                <w:tcPr>
                  <w:tcW w:w="1646" w:type="dxa"/>
                  <w:noWrap w:val="0"/>
                  <w:vAlign w:val="center"/>
                </w:tcPr>
                <w:p w14:paraId="1646A54C">
                  <w:pPr>
                    <w:jc w:val="center"/>
                    <w:rPr>
                      <w:rFonts w:ascii="Times New Roman" w:hAnsi="Times New Roman"/>
                      <w:color w:val="auto"/>
                      <w:szCs w:val="21"/>
                    </w:rPr>
                  </w:pPr>
                  <w:r>
                    <w:rPr>
                      <w:rFonts w:ascii="Times New Roman" w:hAnsi="Times New Roman"/>
                      <w:color w:val="auto"/>
                      <w:szCs w:val="21"/>
                    </w:rPr>
                    <w:t>施工机械噪声</w:t>
                  </w:r>
                </w:p>
              </w:tc>
              <w:tc>
                <w:tcPr>
                  <w:tcW w:w="4356" w:type="dxa"/>
                  <w:noWrap w:val="0"/>
                  <w:vAlign w:val="center"/>
                </w:tcPr>
                <w:p w14:paraId="1AC42FD6">
                  <w:pPr>
                    <w:jc w:val="center"/>
                    <w:rPr>
                      <w:rFonts w:ascii="Times New Roman" w:hAnsi="Times New Roman"/>
                      <w:color w:val="auto"/>
                      <w:szCs w:val="21"/>
                    </w:rPr>
                  </w:pPr>
                  <w:r>
                    <w:rPr>
                      <w:rFonts w:ascii="Times New Roman" w:hAnsi="Times New Roman"/>
                      <w:color w:val="auto"/>
                      <w:szCs w:val="21"/>
                    </w:rPr>
                    <w:t>选用低噪声设备，合理布置施工机械，合理安排施工时间，加强施工管理，设置施工围墙、降噪安全围帘等，根据现场调查，项目部分井场厂界外存在居民点声环境保护目标，项目可在井场面向敏感点一侧布置隔声屏等</w:t>
                  </w:r>
                  <w:r>
                    <w:rPr>
                      <w:rFonts w:ascii="Times New Roman" w:hAnsi="Times New Roman"/>
                      <w:bCs/>
                      <w:color w:val="auto"/>
                      <w:szCs w:val="21"/>
                    </w:rPr>
                    <w:t>，可有效降低对周边敏感点的影响</w:t>
                  </w:r>
                </w:p>
              </w:tc>
              <w:tc>
                <w:tcPr>
                  <w:tcW w:w="753" w:type="dxa"/>
                  <w:noWrap w:val="0"/>
                  <w:vAlign w:val="center"/>
                </w:tcPr>
                <w:p w14:paraId="2039549F">
                  <w:pPr>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70</w:t>
                  </w:r>
                </w:p>
              </w:tc>
            </w:tr>
            <w:tr w14:paraId="2E5D1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391" w:type="dxa"/>
                  <w:vMerge w:val="continue"/>
                  <w:noWrap w:val="0"/>
                  <w:vAlign w:val="center"/>
                </w:tcPr>
                <w:p w14:paraId="6BF232E3">
                  <w:pPr>
                    <w:ind w:left="-105" w:leftChars="-50" w:right="-105" w:rightChars="-50"/>
                    <w:jc w:val="center"/>
                    <w:rPr>
                      <w:rFonts w:ascii="Times New Roman" w:hAnsi="Times New Roman"/>
                      <w:color w:val="auto"/>
                      <w:szCs w:val="21"/>
                    </w:rPr>
                  </w:pPr>
                </w:p>
              </w:tc>
              <w:tc>
                <w:tcPr>
                  <w:tcW w:w="538" w:type="dxa"/>
                  <w:vMerge w:val="restart"/>
                  <w:noWrap w:val="0"/>
                  <w:vAlign w:val="center"/>
                </w:tcPr>
                <w:p w14:paraId="60DB7BD0">
                  <w:pPr>
                    <w:ind w:left="-105" w:leftChars="-50" w:right="-105" w:rightChars="-50"/>
                    <w:jc w:val="center"/>
                    <w:rPr>
                      <w:rFonts w:ascii="Times New Roman" w:hAnsi="Times New Roman"/>
                      <w:color w:val="auto"/>
                      <w:szCs w:val="21"/>
                    </w:rPr>
                  </w:pPr>
                  <w:r>
                    <w:rPr>
                      <w:rFonts w:ascii="Times New Roman" w:hAnsi="Times New Roman"/>
                      <w:color w:val="auto"/>
                      <w:szCs w:val="21"/>
                    </w:rPr>
                    <w:t>固体</w:t>
                  </w:r>
                </w:p>
                <w:p w14:paraId="68884870">
                  <w:pPr>
                    <w:ind w:left="-105" w:leftChars="-50" w:right="-105" w:rightChars="-50"/>
                    <w:jc w:val="center"/>
                    <w:rPr>
                      <w:rFonts w:ascii="Times New Roman" w:hAnsi="Times New Roman"/>
                      <w:color w:val="auto"/>
                      <w:szCs w:val="21"/>
                    </w:rPr>
                  </w:pPr>
                  <w:r>
                    <w:rPr>
                      <w:rFonts w:ascii="Times New Roman" w:hAnsi="Times New Roman"/>
                      <w:color w:val="auto"/>
                      <w:szCs w:val="21"/>
                    </w:rPr>
                    <w:t>废物</w:t>
                  </w:r>
                </w:p>
              </w:tc>
              <w:tc>
                <w:tcPr>
                  <w:tcW w:w="1646" w:type="dxa"/>
                  <w:noWrap w:val="0"/>
                  <w:vAlign w:val="center"/>
                </w:tcPr>
                <w:p w14:paraId="1979C41B">
                  <w:pPr>
                    <w:jc w:val="center"/>
                    <w:rPr>
                      <w:rFonts w:ascii="Times New Roman" w:hAnsi="Times New Roman"/>
                      <w:color w:val="auto"/>
                      <w:szCs w:val="21"/>
                    </w:rPr>
                  </w:pPr>
                  <w:r>
                    <w:rPr>
                      <w:rFonts w:ascii="Times New Roman" w:hAnsi="Times New Roman"/>
                      <w:color w:val="auto"/>
                      <w:szCs w:val="21"/>
                    </w:rPr>
                    <w:t>施工期固废</w:t>
                  </w:r>
                </w:p>
              </w:tc>
              <w:tc>
                <w:tcPr>
                  <w:tcW w:w="4356" w:type="dxa"/>
                  <w:noWrap w:val="0"/>
                  <w:vAlign w:val="center"/>
                </w:tcPr>
                <w:p w14:paraId="17982D81">
                  <w:pPr>
                    <w:rPr>
                      <w:rFonts w:ascii="Times New Roman" w:hAnsi="Times New Roman"/>
                      <w:color w:val="auto"/>
                      <w:szCs w:val="21"/>
                    </w:rPr>
                  </w:pPr>
                  <w:r>
                    <w:rPr>
                      <w:rFonts w:ascii="Times New Roman" w:hAnsi="Times New Roman"/>
                      <w:color w:val="auto"/>
                      <w:szCs w:val="21"/>
                    </w:rPr>
                    <w:t>施工结束后，开挖的土方后期回覆；钻井废液暂存于废浆干化池中，待钻井结束后投加泥浆固化剂固化后作为周边路基维护的建材使用；本项目不以矿物油为连续相配制钻井泥浆，项目采用纤维素等进行钻井工作，钻井岩屑泥浆干化后属于一般固废，作为周边路基维护的建材使用；废包装材料集中收集后外售处理。废润滑油、废润滑油桶</w:t>
                  </w:r>
                  <w:r>
                    <w:rPr>
                      <w:rFonts w:hint="eastAsia" w:ascii="Times New Roman" w:hAnsi="Times New Roman"/>
                      <w:color w:val="auto"/>
                      <w:szCs w:val="21"/>
                      <w:lang w:eastAsia="zh-CN"/>
                    </w:rPr>
                    <w:t>、</w:t>
                  </w:r>
                  <w:r>
                    <w:rPr>
                      <w:rFonts w:ascii="Times New Roman" w:hAnsi="Times New Roman"/>
                      <w:color w:val="auto"/>
                      <w:szCs w:val="21"/>
                    </w:rPr>
                    <w:t>分类后的废含油抹布和废含油手套属于危险废物，</w:t>
                  </w:r>
                  <w:r>
                    <w:rPr>
                      <w:rFonts w:hint="eastAsia" w:ascii="Times New Roman" w:hAnsi="Times New Roman"/>
                      <w:color w:val="auto"/>
                      <w:szCs w:val="21"/>
                    </w:rPr>
                    <w:t>依托于朱集西煤矿危废暂存间暂存，朱集西煤矿危废库建筑面积300平方米，贮存能力30吨，地面已采取防渗等措施，危废统一收集后定期送有资质单位处理。</w:t>
                  </w:r>
                </w:p>
              </w:tc>
              <w:tc>
                <w:tcPr>
                  <w:tcW w:w="753" w:type="dxa"/>
                  <w:noWrap w:val="0"/>
                  <w:vAlign w:val="center"/>
                </w:tcPr>
                <w:p w14:paraId="2B5BF127">
                  <w:pPr>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28</w:t>
                  </w:r>
                </w:p>
              </w:tc>
            </w:tr>
            <w:tr w14:paraId="0C80F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91" w:type="dxa"/>
                  <w:vMerge w:val="continue"/>
                  <w:noWrap w:val="0"/>
                  <w:vAlign w:val="center"/>
                </w:tcPr>
                <w:p w14:paraId="6448163C">
                  <w:pPr>
                    <w:ind w:left="-105" w:leftChars="-50" w:right="-105" w:rightChars="-50"/>
                    <w:jc w:val="center"/>
                    <w:rPr>
                      <w:rFonts w:ascii="Times New Roman" w:hAnsi="Times New Roman"/>
                      <w:color w:val="auto"/>
                      <w:szCs w:val="21"/>
                    </w:rPr>
                  </w:pPr>
                </w:p>
              </w:tc>
              <w:tc>
                <w:tcPr>
                  <w:tcW w:w="538" w:type="dxa"/>
                  <w:vMerge w:val="continue"/>
                  <w:noWrap w:val="0"/>
                  <w:vAlign w:val="center"/>
                </w:tcPr>
                <w:p w14:paraId="66153439">
                  <w:pPr>
                    <w:ind w:left="-105" w:leftChars="-50" w:right="-105" w:rightChars="-50"/>
                    <w:jc w:val="center"/>
                    <w:rPr>
                      <w:rFonts w:ascii="Times New Roman" w:hAnsi="Times New Roman"/>
                      <w:color w:val="auto"/>
                      <w:szCs w:val="21"/>
                    </w:rPr>
                  </w:pPr>
                </w:p>
              </w:tc>
              <w:tc>
                <w:tcPr>
                  <w:tcW w:w="1646" w:type="dxa"/>
                  <w:noWrap w:val="0"/>
                  <w:vAlign w:val="center"/>
                </w:tcPr>
                <w:p w14:paraId="74E4E759">
                  <w:pPr>
                    <w:jc w:val="center"/>
                    <w:rPr>
                      <w:rFonts w:ascii="Times New Roman" w:hAnsi="Times New Roman"/>
                      <w:color w:val="auto"/>
                      <w:szCs w:val="21"/>
                    </w:rPr>
                  </w:pPr>
                  <w:r>
                    <w:rPr>
                      <w:rFonts w:ascii="Times New Roman" w:hAnsi="Times New Roman"/>
                      <w:color w:val="auto"/>
                      <w:szCs w:val="21"/>
                    </w:rPr>
                    <w:t>生活垃圾</w:t>
                  </w:r>
                </w:p>
              </w:tc>
              <w:tc>
                <w:tcPr>
                  <w:tcW w:w="4356" w:type="dxa"/>
                  <w:noWrap w:val="0"/>
                  <w:vAlign w:val="center"/>
                </w:tcPr>
                <w:p w14:paraId="0B5C5244">
                  <w:pPr>
                    <w:jc w:val="center"/>
                    <w:rPr>
                      <w:rFonts w:ascii="Times New Roman" w:hAnsi="Times New Roman"/>
                      <w:color w:val="auto"/>
                      <w:szCs w:val="21"/>
                    </w:rPr>
                  </w:pPr>
                  <w:r>
                    <w:rPr>
                      <w:rFonts w:ascii="Times New Roman" w:hAnsi="Times New Roman"/>
                      <w:color w:val="auto"/>
                      <w:szCs w:val="21"/>
                    </w:rPr>
                    <w:t>生活垃圾收集后由环卫部门统一清运</w:t>
                  </w:r>
                </w:p>
              </w:tc>
              <w:tc>
                <w:tcPr>
                  <w:tcW w:w="753" w:type="dxa"/>
                  <w:noWrap w:val="0"/>
                  <w:vAlign w:val="center"/>
                </w:tcPr>
                <w:p w14:paraId="27FD269B">
                  <w:pPr>
                    <w:jc w:val="center"/>
                    <w:rPr>
                      <w:rFonts w:hint="eastAsia" w:ascii="Times New Roman" w:hAnsi="Times New Roman" w:eastAsia="宋体"/>
                      <w:color w:val="auto"/>
                      <w:szCs w:val="21"/>
                      <w:lang w:eastAsia="zh-CN"/>
                    </w:rPr>
                  </w:pPr>
                  <w:r>
                    <w:rPr>
                      <w:rFonts w:hint="eastAsia" w:ascii="Times New Roman" w:hAnsi="Times New Roman"/>
                      <w:color w:val="auto"/>
                      <w:szCs w:val="21"/>
                      <w:lang w:val="en-US" w:eastAsia="zh-CN"/>
                    </w:rPr>
                    <w:t>2</w:t>
                  </w:r>
                </w:p>
              </w:tc>
            </w:tr>
            <w:tr w14:paraId="6A166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91" w:type="dxa"/>
                  <w:vMerge w:val="continue"/>
                  <w:noWrap w:val="0"/>
                  <w:vAlign w:val="center"/>
                </w:tcPr>
                <w:p w14:paraId="194A2866">
                  <w:pPr>
                    <w:ind w:left="-105" w:leftChars="-50" w:right="-105" w:rightChars="-50"/>
                    <w:jc w:val="center"/>
                    <w:rPr>
                      <w:rFonts w:ascii="Times New Roman" w:hAnsi="Times New Roman"/>
                      <w:color w:val="auto"/>
                      <w:szCs w:val="21"/>
                    </w:rPr>
                  </w:pPr>
                </w:p>
              </w:tc>
              <w:tc>
                <w:tcPr>
                  <w:tcW w:w="538" w:type="dxa"/>
                  <w:noWrap w:val="0"/>
                  <w:vAlign w:val="center"/>
                </w:tcPr>
                <w:p w14:paraId="26AE80D0">
                  <w:pPr>
                    <w:ind w:left="-105" w:leftChars="-50" w:right="-105" w:rightChars="-50"/>
                    <w:jc w:val="center"/>
                    <w:rPr>
                      <w:rFonts w:ascii="Times New Roman" w:hAnsi="Times New Roman"/>
                      <w:color w:val="auto"/>
                      <w:szCs w:val="21"/>
                    </w:rPr>
                  </w:pPr>
                  <w:r>
                    <w:rPr>
                      <w:rFonts w:ascii="Times New Roman" w:hAnsi="Times New Roman"/>
                      <w:color w:val="auto"/>
                      <w:szCs w:val="21"/>
                    </w:rPr>
                    <w:t>土壤、地下水环境</w:t>
                  </w:r>
                </w:p>
              </w:tc>
              <w:tc>
                <w:tcPr>
                  <w:tcW w:w="1646" w:type="dxa"/>
                  <w:noWrap w:val="0"/>
                  <w:vAlign w:val="center"/>
                </w:tcPr>
                <w:p w14:paraId="7A5D92FA">
                  <w:pPr>
                    <w:jc w:val="center"/>
                    <w:rPr>
                      <w:rFonts w:ascii="Times New Roman" w:hAnsi="Times New Roman"/>
                      <w:color w:val="auto"/>
                      <w:szCs w:val="21"/>
                    </w:rPr>
                  </w:pPr>
                  <w:r>
                    <w:rPr>
                      <w:rFonts w:ascii="Times New Roman" w:hAnsi="Times New Roman"/>
                      <w:color w:val="auto"/>
                      <w:szCs w:val="21"/>
                    </w:rPr>
                    <w:t>分区防渗及处理措施</w:t>
                  </w:r>
                </w:p>
              </w:tc>
              <w:tc>
                <w:tcPr>
                  <w:tcW w:w="4356" w:type="dxa"/>
                  <w:noWrap w:val="0"/>
                  <w:vAlign w:val="center"/>
                </w:tcPr>
                <w:p w14:paraId="19F567C1">
                  <w:pPr>
                    <w:jc w:val="center"/>
                    <w:rPr>
                      <w:rFonts w:ascii="Times New Roman" w:hAnsi="Times New Roman"/>
                      <w:color w:val="auto"/>
                      <w:szCs w:val="21"/>
                    </w:rPr>
                  </w:pPr>
                  <w:r>
                    <w:rPr>
                      <w:rFonts w:hint="eastAsia" w:ascii="Times New Roman" w:hAnsi="Times New Roman"/>
                      <w:color w:val="auto"/>
                      <w:szCs w:val="21"/>
                    </w:rPr>
                    <w:t>项目采取分区防渗措施。</w:t>
                  </w:r>
                  <w:r>
                    <w:rPr>
                      <w:rFonts w:ascii="Times New Roman" w:hAnsi="Times New Roman"/>
                      <w:color w:val="auto"/>
                      <w:szCs w:val="21"/>
                    </w:rPr>
                    <w:t>重点防渗区：钻</w:t>
                  </w:r>
                  <w:r>
                    <w:rPr>
                      <w:rFonts w:hint="eastAsia" w:ascii="Times New Roman" w:hAnsi="Times New Roman"/>
                      <w:color w:val="auto"/>
                      <w:szCs w:val="21"/>
                    </w:rPr>
                    <w:t>机</w:t>
                  </w:r>
                  <w:r>
                    <w:rPr>
                      <w:rFonts w:ascii="Times New Roman" w:hAnsi="Times New Roman"/>
                      <w:color w:val="auto"/>
                      <w:szCs w:val="21"/>
                    </w:rPr>
                    <w:t>房井口区域、废浆池、沉淀池、干化池。防渗要求</w:t>
                  </w:r>
                  <w:r>
                    <w:rPr>
                      <w:rFonts w:hint="eastAsia" w:ascii="Times New Roman" w:hAnsi="Times New Roman"/>
                      <w:color w:val="auto"/>
                      <w:szCs w:val="21"/>
                    </w:rPr>
                    <w:t>：</w:t>
                  </w:r>
                  <w:r>
                    <w:rPr>
                      <w:rFonts w:ascii="Times New Roman" w:hAnsi="Times New Roman"/>
                      <w:color w:val="auto"/>
                      <w:szCs w:val="21"/>
                    </w:rPr>
                    <w:t>采用“防渗混凝土+防渗布+砂浆层”进行防渗，等效厚度≥6.0m，确保渗透系数不大于10</w:t>
                  </w:r>
                  <w:r>
                    <w:rPr>
                      <w:rFonts w:ascii="Times New Roman" w:hAnsi="Times New Roman"/>
                      <w:color w:val="auto"/>
                      <w:szCs w:val="21"/>
                      <w:vertAlign w:val="superscript"/>
                    </w:rPr>
                    <w:t>-</w:t>
                  </w:r>
                  <w:r>
                    <w:rPr>
                      <w:rFonts w:hint="eastAsia" w:ascii="Times New Roman" w:hAnsi="Times New Roman"/>
                      <w:color w:val="auto"/>
                      <w:szCs w:val="21"/>
                      <w:vertAlign w:val="superscript"/>
                    </w:rPr>
                    <w:t>7</w:t>
                  </w:r>
                  <w:r>
                    <w:rPr>
                      <w:rFonts w:ascii="Times New Roman" w:hAnsi="Times New Roman"/>
                      <w:color w:val="auto"/>
                      <w:szCs w:val="21"/>
                    </w:rPr>
                    <w:t>cm/s</w:t>
                  </w:r>
                  <w:r>
                    <w:rPr>
                      <w:rFonts w:hint="eastAsia" w:ascii="Times New Roman" w:hAnsi="Times New Roman"/>
                      <w:color w:val="auto"/>
                      <w:szCs w:val="21"/>
                    </w:rPr>
                    <w:t>；</w:t>
                  </w:r>
                  <w:r>
                    <w:rPr>
                      <w:rFonts w:ascii="Times New Roman" w:hAnsi="Times New Roman"/>
                      <w:color w:val="auto"/>
                      <w:szCs w:val="21"/>
                    </w:rPr>
                    <w:t>一般防渗区：除井口区域以外的钻机房其他区域、</w:t>
                  </w:r>
                  <w:r>
                    <w:rPr>
                      <w:rFonts w:hint="eastAsia" w:ascii="Times New Roman" w:hAnsi="Times New Roman"/>
                      <w:color w:val="auto"/>
                      <w:szCs w:val="21"/>
                    </w:rPr>
                    <w:t>原料库房</w:t>
                  </w:r>
                  <w:r>
                    <w:rPr>
                      <w:rFonts w:ascii="Times New Roman" w:hAnsi="Times New Roman"/>
                      <w:color w:val="auto"/>
                      <w:szCs w:val="21"/>
                    </w:rPr>
                    <w:t>。防渗要求</w:t>
                  </w:r>
                  <w:r>
                    <w:rPr>
                      <w:rFonts w:hint="eastAsia" w:ascii="Times New Roman" w:hAnsi="Times New Roman"/>
                      <w:color w:val="auto"/>
                      <w:szCs w:val="21"/>
                    </w:rPr>
                    <w:t>：</w:t>
                  </w:r>
                  <w:r>
                    <w:rPr>
                      <w:rFonts w:ascii="Times New Roman" w:hAnsi="Times New Roman"/>
                      <w:color w:val="auto"/>
                      <w:szCs w:val="21"/>
                    </w:rPr>
                    <w:t>采取防渗混凝土进行防渗，等效厚度≥1.5m</w:t>
                  </w:r>
                  <w:r>
                    <w:rPr>
                      <w:rFonts w:hint="eastAsia" w:ascii="Times New Roman" w:hAnsi="Times New Roman"/>
                      <w:color w:val="auto"/>
                      <w:szCs w:val="21"/>
                    </w:rPr>
                    <w:t>；</w:t>
                  </w:r>
                  <w:r>
                    <w:rPr>
                      <w:rFonts w:ascii="Times New Roman" w:hAnsi="Times New Roman"/>
                      <w:color w:val="auto"/>
                      <w:szCs w:val="21"/>
                    </w:rPr>
                    <w:t>简单防渗区：除重点防渗区和一般防渗区以外的其他区域。防渗要求</w:t>
                  </w:r>
                  <w:r>
                    <w:rPr>
                      <w:rFonts w:hint="eastAsia" w:ascii="Times New Roman" w:hAnsi="Times New Roman"/>
                      <w:color w:val="auto"/>
                      <w:szCs w:val="21"/>
                    </w:rPr>
                    <w:t>：</w:t>
                  </w:r>
                  <w:r>
                    <w:rPr>
                      <w:rFonts w:ascii="Times New Roman" w:hAnsi="Times New Roman"/>
                      <w:color w:val="auto"/>
                      <w:szCs w:val="21"/>
                    </w:rPr>
                    <w:t>采用一般地面硬化。</w:t>
                  </w:r>
                </w:p>
              </w:tc>
              <w:tc>
                <w:tcPr>
                  <w:tcW w:w="753" w:type="dxa"/>
                  <w:noWrap w:val="0"/>
                  <w:vAlign w:val="center"/>
                </w:tcPr>
                <w:p w14:paraId="5D6C53CB">
                  <w:pPr>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60</w:t>
                  </w:r>
                </w:p>
              </w:tc>
            </w:tr>
            <w:tr w14:paraId="5AAA2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91" w:type="dxa"/>
                  <w:vMerge w:val="continue"/>
                  <w:noWrap w:val="0"/>
                  <w:vAlign w:val="center"/>
                </w:tcPr>
                <w:p w14:paraId="0C8176E6">
                  <w:pPr>
                    <w:ind w:left="-105" w:leftChars="-50" w:right="-105" w:rightChars="-50"/>
                    <w:jc w:val="center"/>
                    <w:rPr>
                      <w:rFonts w:ascii="Times New Roman" w:hAnsi="Times New Roman"/>
                      <w:color w:val="auto"/>
                      <w:szCs w:val="21"/>
                    </w:rPr>
                  </w:pPr>
                </w:p>
              </w:tc>
              <w:tc>
                <w:tcPr>
                  <w:tcW w:w="538" w:type="dxa"/>
                  <w:noWrap w:val="0"/>
                  <w:vAlign w:val="center"/>
                </w:tcPr>
                <w:p w14:paraId="0B12E7CF">
                  <w:pPr>
                    <w:ind w:left="-105" w:leftChars="-50" w:right="-105" w:rightChars="-50"/>
                    <w:jc w:val="center"/>
                    <w:rPr>
                      <w:rFonts w:ascii="Times New Roman" w:hAnsi="Times New Roman"/>
                      <w:color w:val="auto"/>
                      <w:szCs w:val="21"/>
                    </w:rPr>
                  </w:pPr>
                  <w:r>
                    <w:rPr>
                      <w:rFonts w:ascii="Times New Roman" w:hAnsi="Times New Roman"/>
                      <w:color w:val="auto"/>
                      <w:szCs w:val="21"/>
                    </w:rPr>
                    <w:t>生态环境</w:t>
                  </w:r>
                </w:p>
              </w:tc>
              <w:tc>
                <w:tcPr>
                  <w:tcW w:w="1646" w:type="dxa"/>
                  <w:noWrap w:val="0"/>
                  <w:vAlign w:val="center"/>
                </w:tcPr>
                <w:p w14:paraId="4C3A078E">
                  <w:pPr>
                    <w:jc w:val="center"/>
                    <w:rPr>
                      <w:rFonts w:ascii="Times New Roman" w:hAnsi="Times New Roman"/>
                      <w:color w:val="auto"/>
                      <w:szCs w:val="21"/>
                    </w:rPr>
                  </w:pPr>
                  <w:r>
                    <w:rPr>
                      <w:rFonts w:ascii="Times New Roman" w:hAnsi="Times New Roman"/>
                      <w:color w:val="auto"/>
                      <w:szCs w:val="21"/>
                    </w:rPr>
                    <w:t>生态环境保护措施</w:t>
                  </w:r>
                </w:p>
              </w:tc>
              <w:tc>
                <w:tcPr>
                  <w:tcW w:w="4356" w:type="dxa"/>
                  <w:noWrap w:val="0"/>
                  <w:vAlign w:val="center"/>
                </w:tcPr>
                <w:p w14:paraId="44CD8789">
                  <w:pPr>
                    <w:jc w:val="center"/>
                    <w:rPr>
                      <w:rFonts w:ascii="Times New Roman" w:hAnsi="Times New Roman"/>
                      <w:color w:val="auto"/>
                      <w:szCs w:val="21"/>
                    </w:rPr>
                  </w:pPr>
                  <w:r>
                    <w:rPr>
                      <w:rFonts w:ascii="Times New Roman" w:hAnsi="Times New Roman"/>
                      <w:color w:val="auto"/>
                      <w:szCs w:val="21"/>
                    </w:rPr>
                    <w:t>严格控制施工占地，对项目区土壤的分层剥离、分层开挖、分层堆放和循序分层回填，及时进行生态恢复；合理安排施工进度及施工时间，避免雨天和大风天开挖施工作业；落实各项水土保持措施，施工结束后应根据复垦方案落实复垦措施</w:t>
                  </w:r>
                  <w:r>
                    <w:rPr>
                      <w:rFonts w:hint="eastAsia" w:ascii="Times New Roman" w:hAnsi="Times New Roman"/>
                      <w:color w:val="auto"/>
                      <w:szCs w:val="21"/>
                    </w:rPr>
                    <w:t>。</w:t>
                  </w:r>
                </w:p>
              </w:tc>
              <w:tc>
                <w:tcPr>
                  <w:tcW w:w="753" w:type="dxa"/>
                  <w:noWrap w:val="0"/>
                  <w:vAlign w:val="center"/>
                </w:tcPr>
                <w:p w14:paraId="35FC7142">
                  <w:pPr>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300</w:t>
                  </w:r>
                </w:p>
              </w:tc>
            </w:tr>
            <w:tr w14:paraId="6593F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91" w:type="dxa"/>
                  <w:vMerge w:val="continue"/>
                  <w:noWrap w:val="0"/>
                  <w:vAlign w:val="center"/>
                </w:tcPr>
                <w:p w14:paraId="7C792F79">
                  <w:pPr>
                    <w:ind w:left="-105" w:leftChars="-50" w:right="-105" w:rightChars="-50"/>
                    <w:jc w:val="center"/>
                    <w:rPr>
                      <w:rFonts w:ascii="Times New Roman" w:hAnsi="Times New Roman"/>
                      <w:color w:val="auto"/>
                      <w:szCs w:val="21"/>
                    </w:rPr>
                  </w:pPr>
                </w:p>
              </w:tc>
              <w:tc>
                <w:tcPr>
                  <w:tcW w:w="538" w:type="dxa"/>
                  <w:noWrap w:val="0"/>
                  <w:vAlign w:val="center"/>
                </w:tcPr>
                <w:p w14:paraId="171B94C6">
                  <w:pPr>
                    <w:ind w:left="-105" w:leftChars="-50" w:right="-105" w:rightChars="-50"/>
                    <w:jc w:val="center"/>
                    <w:rPr>
                      <w:rFonts w:ascii="Times New Roman" w:hAnsi="Times New Roman"/>
                      <w:color w:val="auto"/>
                      <w:szCs w:val="21"/>
                    </w:rPr>
                  </w:pPr>
                  <w:r>
                    <w:rPr>
                      <w:rFonts w:ascii="Times New Roman" w:hAnsi="Times New Roman"/>
                      <w:color w:val="auto"/>
                      <w:szCs w:val="21"/>
                    </w:rPr>
                    <w:t>风险防范</w:t>
                  </w:r>
                </w:p>
              </w:tc>
              <w:tc>
                <w:tcPr>
                  <w:tcW w:w="1646" w:type="dxa"/>
                  <w:noWrap w:val="0"/>
                  <w:vAlign w:val="center"/>
                </w:tcPr>
                <w:p w14:paraId="27A8CC45">
                  <w:pPr>
                    <w:jc w:val="center"/>
                    <w:rPr>
                      <w:rFonts w:ascii="Times New Roman" w:hAnsi="Times New Roman"/>
                      <w:color w:val="auto"/>
                      <w:szCs w:val="21"/>
                    </w:rPr>
                  </w:pPr>
                  <w:r>
                    <w:rPr>
                      <w:rFonts w:ascii="Times New Roman" w:hAnsi="Times New Roman"/>
                      <w:color w:val="auto"/>
                      <w:szCs w:val="21"/>
                    </w:rPr>
                    <w:t>风险风范措施</w:t>
                  </w:r>
                </w:p>
              </w:tc>
              <w:tc>
                <w:tcPr>
                  <w:tcW w:w="4356" w:type="dxa"/>
                  <w:noWrap w:val="0"/>
                  <w:vAlign w:val="center"/>
                </w:tcPr>
                <w:p w14:paraId="015135E0">
                  <w:pPr>
                    <w:jc w:val="center"/>
                    <w:rPr>
                      <w:rFonts w:hint="eastAsia" w:ascii="Times New Roman" w:hAnsi="Times New Roman" w:eastAsia="宋体"/>
                      <w:color w:val="auto"/>
                      <w:szCs w:val="21"/>
                      <w:lang w:eastAsia="zh-CN"/>
                    </w:rPr>
                  </w:pPr>
                  <w:r>
                    <w:rPr>
                      <w:rFonts w:ascii="Times New Roman" w:hAnsi="Times New Roman"/>
                      <w:color w:val="auto"/>
                      <w:szCs w:val="21"/>
                    </w:rPr>
                    <w:t>防止泥浆水外溢，设置必要的护坡等，加强巡视、检查和日常宣传</w:t>
                  </w:r>
                  <w:r>
                    <w:rPr>
                      <w:rFonts w:hint="eastAsia" w:ascii="Times New Roman" w:hAnsi="Times New Roman"/>
                      <w:color w:val="auto"/>
                      <w:szCs w:val="21"/>
                      <w:lang w:eastAsia="zh-CN"/>
                    </w:rPr>
                    <w:t>。</w:t>
                  </w:r>
                </w:p>
              </w:tc>
              <w:tc>
                <w:tcPr>
                  <w:tcW w:w="753" w:type="dxa"/>
                  <w:noWrap w:val="0"/>
                  <w:vAlign w:val="center"/>
                </w:tcPr>
                <w:p w14:paraId="0B44739E">
                  <w:pPr>
                    <w:ind w:left="-105" w:leftChars="-50" w:right="-105" w:rightChars="-50"/>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30</w:t>
                  </w:r>
                </w:p>
              </w:tc>
            </w:tr>
            <w:tr w14:paraId="50107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931" w:type="dxa"/>
                  <w:gridSpan w:val="4"/>
                  <w:noWrap w:val="0"/>
                  <w:vAlign w:val="center"/>
                </w:tcPr>
                <w:p w14:paraId="4FD5EB1E">
                  <w:pPr>
                    <w:jc w:val="center"/>
                    <w:rPr>
                      <w:rFonts w:ascii="Times New Roman" w:hAnsi="Times New Roman"/>
                      <w:color w:val="auto"/>
                      <w:szCs w:val="21"/>
                    </w:rPr>
                  </w:pPr>
                  <w:r>
                    <w:rPr>
                      <w:rFonts w:ascii="Times New Roman" w:hAnsi="Times New Roman"/>
                      <w:color w:val="auto"/>
                      <w:szCs w:val="21"/>
                    </w:rPr>
                    <w:t>合计</w:t>
                  </w:r>
                </w:p>
              </w:tc>
              <w:tc>
                <w:tcPr>
                  <w:tcW w:w="753" w:type="dxa"/>
                  <w:noWrap w:val="0"/>
                  <w:vAlign w:val="center"/>
                </w:tcPr>
                <w:p w14:paraId="4C8F626C">
                  <w:pPr>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694</w:t>
                  </w:r>
                </w:p>
              </w:tc>
            </w:tr>
          </w:tbl>
          <w:p w14:paraId="32026065">
            <w:pPr>
              <w:pStyle w:val="23"/>
              <w:rPr>
                <w:rFonts w:ascii="Times New Roman" w:hAnsi="Times New Roman"/>
                <w:bCs/>
                <w:color w:val="auto"/>
                <w:spacing w:val="10"/>
                <w:szCs w:val="21"/>
              </w:rPr>
            </w:pPr>
          </w:p>
        </w:tc>
      </w:tr>
    </w:tbl>
    <w:p w14:paraId="74FAD19D">
      <w:pPr>
        <w:rPr>
          <w:rFonts w:ascii="Times New Roman" w:hAnsi="Times New Roman"/>
          <w:color w:val="auto"/>
        </w:rPr>
        <w:sectPr>
          <w:pgSz w:w="11907" w:h="16840"/>
          <w:pgMar w:top="1440" w:right="1797" w:bottom="1440" w:left="1797" w:header="851" w:footer="1077" w:gutter="0"/>
          <w:cols w:space="720" w:num="1"/>
          <w:docGrid w:linePitch="312" w:charSpace="0"/>
        </w:sectPr>
      </w:pPr>
    </w:p>
    <w:p w14:paraId="4302A90D">
      <w:pPr>
        <w:pStyle w:val="16"/>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六、生态环境保护措施监督检查清单</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43"/>
        <w:gridCol w:w="978"/>
        <w:gridCol w:w="3518"/>
        <w:gridCol w:w="1174"/>
        <w:gridCol w:w="852"/>
        <w:gridCol w:w="757"/>
      </w:tblGrid>
      <w:tr w14:paraId="4076A8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3" w:type="dxa"/>
            <w:vMerge w:val="restart"/>
            <w:tcBorders>
              <w:tl2br w:val="single" w:color="auto" w:sz="4" w:space="0"/>
            </w:tcBorders>
            <w:noWrap w:val="0"/>
            <w:vAlign w:val="top"/>
          </w:tcPr>
          <w:p w14:paraId="7719CE34">
            <w:pPr>
              <w:jc w:val="center"/>
              <w:rPr>
                <w:rFonts w:ascii="Times New Roman" w:hAnsi="Times New Roman"/>
                <w:color w:val="auto"/>
                <w:szCs w:val="21"/>
              </w:rPr>
            </w:pPr>
            <w:r>
              <w:rPr>
                <w:rFonts w:ascii="Times New Roman" w:hAnsi="Times New Roman"/>
                <w:color w:val="auto"/>
                <w:szCs w:val="21"/>
              </w:rPr>
              <w:t>内容</w:t>
            </w:r>
          </w:p>
          <w:p w14:paraId="44E74A6F">
            <w:pPr>
              <w:rPr>
                <w:rFonts w:ascii="Times New Roman" w:hAnsi="Times New Roman"/>
                <w:color w:val="auto"/>
                <w:szCs w:val="21"/>
              </w:rPr>
            </w:pPr>
          </w:p>
          <w:p w14:paraId="5873F9D3">
            <w:pPr>
              <w:rPr>
                <w:rFonts w:ascii="Times New Roman" w:hAnsi="Times New Roman"/>
                <w:color w:val="auto"/>
                <w:szCs w:val="21"/>
              </w:rPr>
            </w:pPr>
            <w:r>
              <w:rPr>
                <w:rFonts w:ascii="Times New Roman" w:hAnsi="Times New Roman"/>
                <w:color w:val="auto"/>
                <w:szCs w:val="21"/>
              </w:rPr>
              <w:t>要素</w:t>
            </w:r>
          </w:p>
        </w:tc>
        <w:tc>
          <w:tcPr>
            <w:tcW w:w="5670" w:type="dxa"/>
            <w:gridSpan w:val="3"/>
            <w:noWrap w:val="0"/>
            <w:vAlign w:val="center"/>
          </w:tcPr>
          <w:p w14:paraId="59B829C2">
            <w:pPr>
              <w:jc w:val="center"/>
              <w:rPr>
                <w:rFonts w:ascii="Times New Roman" w:hAnsi="Times New Roman"/>
                <w:color w:val="auto"/>
                <w:szCs w:val="21"/>
              </w:rPr>
            </w:pPr>
            <w:r>
              <w:rPr>
                <w:rFonts w:ascii="Times New Roman" w:hAnsi="Times New Roman"/>
                <w:color w:val="auto"/>
                <w:szCs w:val="21"/>
              </w:rPr>
              <w:t>施工期</w:t>
            </w:r>
          </w:p>
        </w:tc>
        <w:tc>
          <w:tcPr>
            <w:tcW w:w="1609" w:type="dxa"/>
            <w:gridSpan w:val="2"/>
            <w:noWrap w:val="0"/>
            <w:vAlign w:val="center"/>
          </w:tcPr>
          <w:p w14:paraId="07514955">
            <w:pPr>
              <w:jc w:val="center"/>
              <w:rPr>
                <w:rFonts w:ascii="Times New Roman" w:hAnsi="Times New Roman"/>
                <w:color w:val="auto"/>
                <w:szCs w:val="21"/>
              </w:rPr>
            </w:pPr>
            <w:r>
              <w:rPr>
                <w:rFonts w:ascii="Times New Roman" w:hAnsi="Times New Roman"/>
                <w:color w:val="auto"/>
                <w:szCs w:val="21"/>
              </w:rPr>
              <w:t>运营期</w:t>
            </w:r>
          </w:p>
        </w:tc>
      </w:tr>
      <w:tr w14:paraId="3B6CF4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3" w:type="dxa"/>
            <w:vMerge w:val="continue"/>
            <w:noWrap w:val="0"/>
            <w:vAlign w:val="top"/>
          </w:tcPr>
          <w:p w14:paraId="5F8B6CAD">
            <w:pPr>
              <w:jc w:val="center"/>
              <w:rPr>
                <w:rFonts w:ascii="Times New Roman" w:hAnsi="Times New Roman"/>
                <w:color w:val="auto"/>
                <w:szCs w:val="21"/>
              </w:rPr>
            </w:pPr>
          </w:p>
        </w:tc>
        <w:tc>
          <w:tcPr>
            <w:tcW w:w="4496" w:type="dxa"/>
            <w:gridSpan w:val="2"/>
            <w:noWrap w:val="0"/>
            <w:vAlign w:val="center"/>
          </w:tcPr>
          <w:p w14:paraId="1FD41DFE">
            <w:pPr>
              <w:jc w:val="center"/>
              <w:rPr>
                <w:rFonts w:ascii="Times New Roman" w:hAnsi="Times New Roman"/>
                <w:color w:val="auto"/>
                <w:szCs w:val="21"/>
              </w:rPr>
            </w:pPr>
            <w:r>
              <w:rPr>
                <w:rFonts w:ascii="Times New Roman" w:hAnsi="Times New Roman"/>
                <w:color w:val="auto"/>
                <w:szCs w:val="21"/>
              </w:rPr>
              <w:t>环境保护措施</w:t>
            </w:r>
          </w:p>
        </w:tc>
        <w:tc>
          <w:tcPr>
            <w:tcW w:w="1174" w:type="dxa"/>
            <w:noWrap w:val="0"/>
            <w:vAlign w:val="center"/>
          </w:tcPr>
          <w:p w14:paraId="2E10A589">
            <w:pPr>
              <w:jc w:val="center"/>
              <w:rPr>
                <w:rFonts w:ascii="Times New Roman" w:hAnsi="Times New Roman"/>
                <w:color w:val="auto"/>
                <w:szCs w:val="21"/>
              </w:rPr>
            </w:pPr>
            <w:r>
              <w:rPr>
                <w:rFonts w:ascii="Times New Roman" w:hAnsi="Times New Roman"/>
                <w:color w:val="auto"/>
                <w:szCs w:val="21"/>
              </w:rPr>
              <w:t>验收要求</w:t>
            </w:r>
          </w:p>
        </w:tc>
        <w:tc>
          <w:tcPr>
            <w:tcW w:w="852" w:type="dxa"/>
            <w:noWrap w:val="0"/>
            <w:vAlign w:val="center"/>
          </w:tcPr>
          <w:p w14:paraId="78A49B63">
            <w:pPr>
              <w:jc w:val="center"/>
              <w:rPr>
                <w:rFonts w:ascii="Times New Roman" w:hAnsi="Times New Roman"/>
                <w:color w:val="auto"/>
                <w:szCs w:val="21"/>
              </w:rPr>
            </w:pPr>
            <w:r>
              <w:rPr>
                <w:rFonts w:ascii="Times New Roman" w:hAnsi="Times New Roman"/>
                <w:color w:val="auto"/>
                <w:szCs w:val="21"/>
              </w:rPr>
              <w:t>环境保护措施</w:t>
            </w:r>
          </w:p>
        </w:tc>
        <w:tc>
          <w:tcPr>
            <w:tcW w:w="757" w:type="dxa"/>
            <w:noWrap w:val="0"/>
            <w:vAlign w:val="center"/>
          </w:tcPr>
          <w:p w14:paraId="50E1222C">
            <w:pPr>
              <w:jc w:val="center"/>
              <w:rPr>
                <w:rFonts w:ascii="Times New Roman" w:hAnsi="Times New Roman"/>
                <w:color w:val="auto"/>
                <w:szCs w:val="21"/>
              </w:rPr>
            </w:pPr>
            <w:r>
              <w:rPr>
                <w:rFonts w:ascii="Times New Roman" w:hAnsi="Times New Roman"/>
                <w:color w:val="auto"/>
                <w:szCs w:val="21"/>
              </w:rPr>
              <w:t>验收要求</w:t>
            </w:r>
          </w:p>
        </w:tc>
      </w:tr>
      <w:tr w14:paraId="3C6934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3" w:type="dxa"/>
            <w:vMerge w:val="restart"/>
            <w:noWrap w:val="0"/>
            <w:vAlign w:val="center"/>
          </w:tcPr>
          <w:p w14:paraId="7685E0E6">
            <w:pPr>
              <w:jc w:val="center"/>
              <w:rPr>
                <w:rFonts w:ascii="Times New Roman" w:hAnsi="Times New Roman"/>
                <w:color w:val="auto"/>
                <w:szCs w:val="21"/>
              </w:rPr>
            </w:pPr>
            <w:r>
              <w:rPr>
                <w:rFonts w:ascii="Times New Roman" w:hAnsi="Times New Roman"/>
                <w:color w:val="auto"/>
                <w:szCs w:val="21"/>
              </w:rPr>
              <w:t>陆生生态</w:t>
            </w:r>
          </w:p>
        </w:tc>
        <w:tc>
          <w:tcPr>
            <w:tcW w:w="978" w:type="dxa"/>
            <w:vMerge w:val="restart"/>
            <w:noWrap w:val="0"/>
            <w:vAlign w:val="center"/>
          </w:tcPr>
          <w:p w14:paraId="319C2A43">
            <w:pPr>
              <w:rPr>
                <w:rFonts w:ascii="Times New Roman" w:hAnsi="Times New Roman"/>
                <w:color w:val="auto"/>
                <w:szCs w:val="21"/>
              </w:rPr>
            </w:pPr>
            <w:r>
              <w:rPr>
                <w:rFonts w:ascii="Times New Roman" w:hAnsi="Times New Roman"/>
                <w:color w:val="auto"/>
                <w:szCs w:val="21"/>
              </w:rPr>
              <w:t>补偿、减少影响范围、生态恢复</w:t>
            </w:r>
          </w:p>
        </w:tc>
        <w:tc>
          <w:tcPr>
            <w:tcW w:w="3518" w:type="dxa"/>
            <w:noWrap w:val="0"/>
            <w:vAlign w:val="center"/>
          </w:tcPr>
          <w:p w14:paraId="55ECE685">
            <w:pPr>
              <w:rPr>
                <w:rFonts w:ascii="Times New Roman" w:hAnsi="Times New Roman"/>
                <w:color w:val="auto"/>
                <w:szCs w:val="21"/>
              </w:rPr>
            </w:pPr>
            <w:r>
              <w:rPr>
                <w:rFonts w:ascii="Times New Roman" w:hAnsi="Times New Roman"/>
                <w:color w:val="auto"/>
                <w:szCs w:val="21"/>
              </w:rPr>
              <w:t>井场铺设钢板减少雨水冲刷；场地周围修临时排水沟；表层土壤采用分层开挖、分区堆放、分层填埋，减少因施工造成生土上翻、耕层养分损失、农作物减产等后果；堆场采取篷布遮盖或表面洒水抑尘等措施，并设置拦挡、排水措施</w:t>
            </w:r>
          </w:p>
        </w:tc>
        <w:tc>
          <w:tcPr>
            <w:tcW w:w="1174" w:type="dxa"/>
            <w:vMerge w:val="restart"/>
            <w:noWrap w:val="0"/>
            <w:vAlign w:val="center"/>
          </w:tcPr>
          <w:p w14:paraId="4A75DF25">
            <w:pPr>
              <w:jc w:val="center"/>
              <w:rPr>
                <w:rFonts w:ascii="Times New Roman" w:hAnsi="Times New Roman"/>
                <w:color w:val="auto"/>
                <w:szCs w:val="21"/>
              </w:rPr>
            </w:pPr>
            <w:r>
              <w:rPr>
                <w:rFonts w:ascii="Times New Roman" w:hAnsi="Times New Roman"/>
                <w:color w:val="auto"/>
                <w:szCs w:val="21"/>
              </w:rPr>
              <w:t>强化并落实水土保持措施，减轻对生态环境的影响</w:t>
            </w:r>
          </w:p>
        </w:tc>
        <w:tc>
          <w:tcPr>
            <w:tcW w:w="852" w:type="dxa"/>
            <w:noWrap w:val="0"/>
            <w:vAlign w:val="center"/>
          </w:tcPr>
          <w:p w14:paraId="7CDD0D46">
            <w:pPr>
              <w:jc w:val="center"/>
              <w:rPr>
                <w:rFonts w:ascii="Times New Roman" w:hAnsi="Times New Roman"/>
                <w:color w:val="auto"/>
                <w:szCs w:val="21"/>
              </w:rPr>
            </w:pPr>
            <w:r>
              <w:rPr>
                <w:rFonts w:ascii="Times New Roman" w:hAnsi="Times New Roman"/>
                <w:color w:val="auto"/>
                <w:szCs w:val="21"/>
              </w:rPr>
              <w:t>/</w:t>
            </w:r>
          </w:p>
        </w:tc>
        <w:tc>
          <w:tcPr>
            <w:tcW w:w="757" w:type="dxa"/>
            <w:noWrap w:val="0"/>
            <w:vAlign w:val="center"/>
          </w:tcPr>
          <w:p w14:paraId="7BFFDBFA">
            <w:pPr>
              <w:jc w:val="center"/>
              <w:rPr>
                <w:rFonts w:ascii="Times New Roman" w:hAnsi="Times New Roman"/>
                <w:color w:val="auto"/>
                <w:szCs w:val="21"/>
              </w:rPr>
            </w:pPr>
            <w:r>
              <w:rPr>
                <w:rFonts w:ascii="Times New Roman" w:hAnsi="Times New Roman"/>
                <w:color w:val="auto"/>
                <w:szCs w:val="21"/>
              </w:rPr>
              <w:t>/</w:t>
            </w:r>
          </w:p>
        </w:tc>
      </w:tr>
      <w:tr w14:paraId="6D33FA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243" w:type="dxa"/>
            <w:vMerge w:val="continue"/>
            <w:noWrap w:val="0"/>
            <w:vAlign w:val="center"/>
          </w:tcPr>
          <w:p w14:paraId="4DAFE755">
            <w:pPr>
              <w:jc w:val="center"/>
              <w:rPr>
                <w:rFonts w:ascii="Times New Roman" w:hAnsi="Times New Roman"/>
                <w:color w:val="auto"/>
                <w:szCs w:val="21"/>
              </w:rPr>
            </w:pPr>
          </w:p>
        </w:tc>
        <w:tc>
          <w:tcPr>
            <w:tcW w:w="978" w:type="dxa"/>
            <w:vMerge w:val="continue"/>
            <w:noWrap w:val="0"/>
            <w:vAlign w:val="center"/>
          </w:tcPr>
          <w:p w14:paraId="727A60DE">
            <w:pPr>
              <w:rPr>
                <w:rFonts w:ascii="Times New Roman" w:hAnsi="Times New Roman"/>
                <w:color w:val="auto"/>
                <w:szCs w:val="21"/>
              </w:rPr>
            </w:pPr>
          </w:p>
        </w:tc>
        <w:tc>
          <w:tcPr>
            <w:tcW w:w="3518" w:type="dxa"/>
            <w:noWrap w:val="0"/>
            <w:vAlign w:val="center"/>
          </w:tcPr>
          <w:p w14:paraId="1898923F">
            <w:pPr>
              <w:rPr>
                <w:rFonts w:ascii="Times New Roman" w:hAnsi="Times New Roman"/>
                <w:color w:val="auto"/>
                <w:szCs w:val="21"/>
              </w:rPr>
            </w:pPr>
            <w:r>
              <w:rPr>
                <w:rFonts w:ascii="Times New Roman" w:hAnsi="Times New Roman"/>
                <w:color w:val="auto"/>
                <w:szCs w:val="21"/>
              </w:rPr>
              <w:t>对井场占用的耕地给予经济补偿</w:t>
            </w:r>
          </w:p>
        </w:tc>
        <w:tc>
          <w:tcPr>
            <w:tcW w:w="1174" w:type="dxa"/>
            <w:vMerge w:val="continue"/>
            <w:noWrap w:val="0"/>
            <w:vAlign w:val="center"/>
          </w:tcPr>
          <w:p w14:paraId="647882A4">
            <w:pPr>
              <w:jc w:val="center"/>
              <w:rPr>
                <w:rFonts w:ascii="Times New Roman" w:hAnsi="Times New Roman"/>
                <w:color w:val="auto"/>
                <w:szCs w:val="21"/>
              </w:rPr>
            </w:pPr>
          </w:p>
        </w:tc>
        <w:tc>
          <w:tcPr>
            <w:tcW w:w="852" w:type="dxa"/>
            <w:noWrap w:val="0"/>
            <w:vAlign w:val="center"/>
          </w:tcPr>
          <w:p w14:paraId="5BE02BC7">
            <w:pPr>
              <w:jc w:val="center"/>
              <w:rPr>
                <w:rFonts w:ascii="Times New Roman" w:hAnsi="Times New Roman"/>
                <w:color w:val="auto"/>
                <w:szCs w:val="21"/>
              </w:rPr>
            </w:pPr>
            <w:r>
              <w:rPr>
                <w:rFonts w:ascii="Times New Roman" w:hAnsi="Times New Roman"/>
                <w:color w:val="auto"/>
                <w:szCs w:val="21"/>
              </w:rPr>
              <w:t>/</w:t>
            </w:r>
          </w:p>
        </w:tc>
        <w:tc>
          <w:tcPr>
            <w:tcW w:w="757" w:type="dxa"/>
            <w:noWrap w:val="0"/>
            <w:vAlign w:val="center"/>
          </w:tcPr>
          <w:p w14:paraId="6221ABD2">
            <w:pPr>
              <w:jc w:val="center"/>
              <w:rPr>
                <w:rFonts w:ascii="Times New Roman" w:hAnsi="Times New Roman"/>
                <w:color w:val="auto"/>
                <w:szCs w:val="21"/>
              </w:rPr>
            </w:pPr>
            <w:r>
              <w:rPr>
                <w:rFonts w:ascii="Times New Roman" w:hAnsi="Times New Roman"/>
                <w:color w:val="auto"/>
                <w:szCs w:val="21"/>
              </w:rPr>
              <w:t>/</w:t>
            </w:r>
          </w:p>
        </w:tc>
      </w:tr>
      <w:tr w14:paraId="36B9D4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3" w:type="dxa"/>
            <w:vMerge w:val="continue"/>
            <w:noWrap w:val="0"/>
            <w:vAlign w:val="center"/>
          </w:tcPr>
          <w:p w14:paraId="3BCE2622">
            <w:pPr>
              <w:jc w:val="center"/>
              <w:rPr>
                <w:rFonts w:ascii="Times New Roman" w:hAnsi="Times New Roman"/>
                <w:color w:val="auto"/>
                <w:szCs w:val="21"/>
              </w:rPr>
            </w:pPr>
          </w:p>
        </w:tc>
        <w:tc>
          <w:tcPr>
            <w:tcW w:w="978" w:type="dxa"/>
            <w:vMerge w:val="continue"/>
            <w:noWrap w:val="0"/>
            <w:vAlign w:val="center"/>
          </w:tcPr>
          <w:p w14:paraId="323820DF">
            <w:pPr>
              <w:rPr>
                <w:rFonts w:ascii="Times New Roman" w:hAnsi="Times New Roman"/>
                <w:color w:val="auto"/>
                <w:szCs w:val="21"/>
              </w:rPr>
            </w:pPr>
          </w:p>
        </w:tc>
        <w:tc>
          <w:tcPr>
            <w:tcW w:w="3518" w:type="dxa"/>
            <w:noWrap w:val="0"/>
            <w:vAlign w:val="center"/>
          </w:tcPr>
          <w:p w14:paraId="7B591674">
            <w:pPr>
              <w:rPr>
                <w:rFonts w:ascii="Times New Roman" w:hAnsi="Times New Roman"/>
                <w:color w:val="auto"/>
                <w:szCs w:val="21"/>
              </w:rPr>
            </w:pPr>
            <w:r>
              <w:rPr>
                <w:rFonts w:ascii="Times New Roman" w:hAnsi="Times New Roman"/>
                <w:color w:val="auto"/>
                <w:szCs w:val="21"/>
              </w:rPr>
              <w:t>禁砍伐野外植被；严格划定施工作业范围、不得超越范围</w:t>
            </w:r>
          </w:p>
        </w:tc>
        <w:tc>
          <w:tcPr>
            <w:tcW w:w="1174" w:type="dxa"/>
            <w:vMerge w:val="continue"/>
            <w:noWrap w:val="0"/>
            <w:vAlign w:val="center"/>
          </w:tcPr>
          <w:p w14:paraId="78412A8C">
            <w:pPr>
              <w:jc w:val="center"/>
              <w:rPr>
                <w:rFonts w:ascii="Times New Roman" w:hAnsi="Times New Roman"/>
                <w:color w:val="auto"/>
                <w:szCs w:val="21"/>
              </w:rPr>
            </w:pPr>
          </w:p>
        </w:tc>
        <w:tc>
          <w:tcPr>
            <w:tcW w:w="852" w:type="dxa"/>
            <w:noWrap w:val="0"/>
            <w:vAlign w:val="center"/>
          </w:tcPr>
          <w:p w14:paraId="792AA000">
            <w:pPr>
              <w:jc w:val="center"/>
              <w:rPr>
                <w:rFonts w:ascii="Times New Roman" w:hAnsi="Times New Roman"/>
                <w:color w:val="auto"/>
                <w:szCs w:val="21"/>
              </w:rPr>
            </w:pPr>
            <w:r>
              <w:rPr>
                <w:rFonts w:ascii="Times New Roman" w:hAnsi="Times New Roman"/>
                <w:color w:val="auto"/>
                <w:szCs w:val="21"/>
              </w:rPr>
              <w:t>/</w:t>
            </w:r>
          </w:p>
        </w:tc>
        <w:tc>
          <w:tcPr>
            <w:tcW w:w="757" w:type="dxa"/>
            <w:noWrap w:val="0"/>
            <w:vAlign w:val="center"/>
          </w:tcPr>
          <w:p w14:paraId="1968858E">
            <w:pPr>
              <w:jc w:val="center"/>
              <w:rPr>
                <w:rFonts w:ascii="Times New Roman" w:hAnsi="Times New Roman"/>
                <w:color w:val="auto"/>
                <w:szCs w:val="21"/>
              </w:rPr>
            </w:pPr>
            <w:r>
              <w:rPr>
                <w:rFonts w:ascii="Times New Roman" w:hAnsi="Times New Roman"/>
                <w:color w:val="auto"/>
                <w:szCs w:val="21"/>
              </w:rPr>
              <w:t>/</w:t>
            </w:r>
          </w:p>
        </w:tc>
      </w:tr>
      <w:tr w14:paraId="511CF9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3" w:type="dxa"/>
            <w:vMerge w:val="continue"/>
            <w:noWrap w:val="0"/>
            <w:vAlign w:val="center"/>
          </w:tcPr>
          <w:p w14:paraId="71995EAC">
            <w:pPr>
              <w:jc w:val="center"/>
              <w:rPr>
                <w:rFonts w:ascii="Times New Roman" w:hAnsi="Times New Roman"/>
                <w:color w:val="auto"/>
                <w:szCs w:val="21"/>
              </w:rPr>
            </w:pPr>
          </w:p>
        </w:tc>
        <w:tc>
          <w:tcPr>
            <w:tcW w:w="978" w:type="dxa"/>
            <w:noWrap w:val="0"/>
            <w:vAlign w:val="center"/>
          </w:tcPr>
          <w:p w14:paraId="08F29351">
            <w:pPr>
              <w:rPr>
                <w:rFonts w:ascii="Times New Roman" w:hAnsi="Times New Roman"/>
                <w:color w:val="auto"/>
                <w:szCs w:val="21"/>
              </w:rPr>
            </w:pPr>
            <w:r>
              <w:rPr>
                <w:rFonts w:ascii="Times New Roman" w:hAnsi="Times New Roman"/>
                <w:color w:val="auto"/>
                <w:szCs w:val="21"/>
              </w:rPr>
              <w:t>临时占地恢复</w:t>
            </w:r>
          </w:p>
        </w:tc>
        <w:tc>
          <w:tcPr>
            <w:tcW w:w="3518" w:type="dxa"/>
            <w:noWrap w:val="0"/>
            <w:vAlign w:val="center"/>
          </w:tcPr>
          <w:p w14:paraId="6328DD19">
            <w:pPr>
              <w:rPr>
                <w:rFonts w:ascii="Times New Roman" w:hAnsi="Times New Roman"/>
                <w:color w:val="auto"/>
                <w:szCs w:val="21"/>
              </w:rPr>
            </w:pPr>
            <w:r>
              <w:rPr>
                <w:rFonts w:hint="eastAsia" w:ascii="Times New Roman" w:hAnsi="Times New Roman"/>
                <w:color w:val="auto"/>
                <w:szCs w:val="21"/>
                <w:lang w:val="en-US" w:eastAsia="zh-CN"/>
              </w:rPr>
              <w:t>根据</w:t>
            </w:r>
            <w:r>
              <w:rPr>
                <w:rFonts w:ascii="Times New Roman" w:hAnsi="Times New Roman"/>
                <w:color w:val="auto"/>
                <w:szCs w:val="21"/>
              </w:rPr>
              <w:t>复垦方案和相关地方规定，对工程临时占地进行补偿；对临时占地上的设施进行拆除并搬迁，对废浆池等池体进行拆除并回填，现场无废弃构造设施遗留，平整井场，在表层覆盖耕作土层，进行复垦到原状态</w:t>
            </w:r>
            <w:r>
              <w:rPr>
                <w:rFonts w:hint="eastAsia" w:ascii="Times New Roman" w:hAnsi="Times New Roman"/>
                <w:color w:val="auto"/>
                <w:szCs w:val="21"/>
              </w:rPr>
              <w:t>。</w:t>
            </w:r>
          </w:p>
        </w:tc>
        <w:tc>
          <w:tcPr>
            <w:tcW w:w="1174" w:type="dxa"/>
            <w:noWrap w:val="0"/>
            <w:vAlign w:val="center"/>
          </w:tcPr>
          <w:p w14:paraId="2027D38B">
            <w:pPr>
              <w:jc w:val="center"/>
              <w:rPr>
                <w:rFonts w:ascii="Times New Roman" w:hAnsi="Times New Roman"/>
                <w:color w:val="auto"/>
                <w:szCs w:val="21"/>
              </w:rPr>
            </w:pPr>
            <w:r>
              <w:rPr>
                <w:rFonts w:ascii="Times New Roman" w:hAnsi="Times New Roman"/>
                <w:color w:val="auto"/>
                <w:szCs w:val="21"/>
              </w:rPr>
              <w:t>恢复占地原有土地利用性质</w:t>
            </w:r>
          </w:p>
        </w:tc>
        <w:tc>
          <w:tcPr>
            <w:tcW w:w="852" w:type="dxa"/>
            <w:noWrap w:val="0"/>
            <w:vAlign w:val="center"/>
          </w:tcPr>
          <w:p w14:paraId="0D4C7425">
            <w:pPr>
              <w:jc w:val="center"/>
              <w:rPr>
                <w:rFonts w:ascii="Times New Roman" w:hAnsi="Times New Roman"/>
                <w:color w:val="auto"/>
                <w:szCs w:val="21"/>
              </w:rPr>
            </w:pPr>
            <w:r>
              <w:rPr>
                <w:rFonts w:ascii="Times New Roman" w:hAnsi="Times New Roman"/>
                <w:color w:val="auto"/>
                <w:szCs w:val="21"/>
              </w:rPr>
              <w:t>/</w:t>
            </w:r>
          </w:p>
        </w:tc>
        <w:tc>
          <w:tcPr>
            <w:tcW w:w="757" w:type="dxa"/>
            <w:noWrap w:val="0"/>
            <w:vAlign w:val="center"/>
          </w:tcPr>
          <w:p w14:paraId="0D84CF2D">
            <w:pPr>
              <w:jc w:val="center"/>
              <w:rPr>
                <w:rFonts w:ascii="Times New Roman" w:hAnsi="Times New Roman"/>
                <w:color w:val="auto"/>
                <w:szCs w:val="21"/>
              </w:rPr>
            </w:pPr>
            <w:r>
              <w:rPr>
                <w:rFonts w:ascii="Times New Roman" w:hAnsi="Times New Roman"/>
                <w:color w:val="auto"/>
                <w:szCs w:val="21"/>
              </w:rPr>
              <w:t>/</w:t>
            </w:r>
          </w:p>
        </w:tc>
      </w:tr>
      <w:tr w14:paraId="171495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3" w:type="dxa"/>
            <w:vMerge w:val="continue"/>
            <w:noWrap w:val="0"/>
            <w:vAlign w:val="center"/>
          </w:tcPr>
          <w:p w14:paraId="60335ECA">
            <w:pPr>
              <w:jc w:val="center"/>
              <w:rPr>
                <w:rFonts w:ascii="Times New Roman" w:hAnsi="Times New Roman"/>
                <w:color w:val="auto"/>
                <w:szCs w:val="21"/>
              </w:rPr>
            </w:pPr>
          </w:p>
        </w:tc>
        <w:tc>
          <w:tcPr>
            <w:tcW w:w="978" w:type="dxa"/>
            <w:noWrap w:val="0"/>
            <w:vAlign w:val="center"/>
          </w:tcPr>
          <w:p w14:paraId="17718C95">
            <w:pPr>
              <w:rPr>
                <w:rFonts w:ascii="Times New Roman" w:hAnsi="Times New Roman"/>
                <w:color w:val="auto"/>
                <w:szCs w:val="21"/>
              </w:rPr>
            </w:pPr>
            <w:r>
              <w:rPr>
                <w:rFonts w:ascii="Times New Roman" w:hAnsi="Times New Roman"/>
                <w:color w:val="auto"/>
                <w:szCs w:val="21"/>
              </w:rPr>
              <w:t>植被恢复</w:t>
            </w:r>
          </w:p>
        </w:tc>
        <w:tc>
          <w:tcPr>
            <w:tcW w:w="3518" w:type="dxa"/>
            <w:noWrap w:val="0"/>
            <w:vAlign w:val="center"/>
          </w:tcPr>
          <w:p w14:paraId="0A6BA9ED">
            <w:pPr>
              <w:rPr>
                <w:rFonts w:ascii="Times New Roman" w:hAnsi="Times New Roman"/>
                <w:color w:val="auto"/>
                <w:szCs w:val="21"/>
              </w:rPr>
            </w:pPr>
            <w:r>
              <w:rPr>
                <w:rFonts w:ascii="Times New Roman" w:hAnsi="Times New Roman"/>
                <w:color w:val="auto"/>
                <w:szCs w:val="21"/>
              </w:rPr>
              <w:t>对</w:t>
            </w:r>
            <w:r>
              <w:rPr>
                <w:rFonts w:hint="eastAsia" w:ascii="Times New Roman" w:hAnsi="Times New Roman"/>
                <w:color w:val="auto"/>
                <w:szCs w:val="21"/>
                <w:lang w:val="en-US" w:eastAsia="zh-CN"/>
              </w:rPr>
              <w:t>配电室</w:t>
            </w:r>
            <w:r>
              <w:rPr>
                <w:rFonts w:ascii="Times New Roman" w:hAnsi="Times New Roman"/>
                <w:color w:val="auto"/>
                <w:szCs w:val="21"/>
              </w:rPr>
              <w:t>等建构物临时占地、回填后的废浆池等池体表面覆盖耕作土层，恢复生态，以恢复耕地为主，同时进行土壤培育，复垦后应满足《土地复垦质量控制标准》（TD</w:t>
            </w:r>
            <w:r>
              <w:rPr>
                <w:rFonts w:hint="eastAsia" w:ascii="Times New Roman" w:hAnsi="Times New Roman"/>
                <w:color w:val="auto"/>
                <w:szCs w:val="21"/>
                <w:lang w:val="en-US" w:eastAsia="zh-CN"/>
              </w:rPr>
              <w:t>/</w:t>
            </w:r>
            <w:r>
              <w:rPr>
                <w:rFonts w:ascii="Times New Roman" w:hAnsi="Times New Roman"/>
                <w:color w:val="auto"/>
                <w:szCs w:val="21"/>
              </w:rPr>
              <w:t>T1036-2013）中的要求，满足居民正常耕种要求</w:t>
            </w:r>
          </w:p>
        </w:tc>
        <w:tc>
          <w:tcPr>
            <w:tcW w:w="1174" w:type="dxa"/>
            <w:noWrap w:val="0"/>
            <w:vAlign w:val="center"/>
          </w:tcPr>
          <w:p w14:paraId="0A29C558">
            <w:pPr>
              <w:jc w:val="center"/>
              <w:rPr>
                <w:rFonts w:ascii="Times New Roman" w:hAnsi="Times New Roman"/>
                <w:color w:val="auto"/>
                <w:szCs w:val="21"/>
              </w:rPr>
            </w:pPr>
            <w:r>
              <w:rPr>
                <w:rFonts w:ascii="Times New Roman" w:hAnsi="Times New Roman"/>
                <w:color w:val="auto"/>
                <w:szCs w:val="21"/>
              </w:rPr>
              <w:t>恢复土地生产力，满足《土地复垦质量控制标准》（TDT1036-2013）中要求</w:t>
            </w:r>
          </w:p>
        </w:tc>
        <w:tc>
          <w:tcPr>
            <w:tcW w:w="852" w:type="dxa"/>
            <w:noWrap w:val="0"/>
            <w:vAlign w:val="center"/>
          </w:tcPr>
          <w:p w14:paraId="2814217C">
            <w:pPr>
              <w:jc w:val="center"/>
              <w:rPr>
                <w:rFonts w:ascii="Times New Roman" w:hAnsi="Times New Roman"/>
                <w:color w:val="auto"/>
                <w:szCs w:val="21"/>
              </w:rPr>
            </w:pPr>
            <w:r>
              <w:rPr>
                <w:rFonts w:ascii="Times New Roman" w:hAnsi="Times New Roman"/>
                <w:color w:val="auto"/>
                <w:szCs w:val="21"/>
              </w:rPr>
              <w:t>/</w:t>
            </w:r>
          </w:p>
        </w:tc>
        <w:tc>
          <w:tcPr>
            <w:tcW w:w="757" w:type="dxa"/>
            <w:noWrap w:val="0"/>
            <w:vAlign w:val="center"/>
          </w:tcPr>
          <w:p w14:paraId="1C13825A">
            <w:pPr>
              <w:jc w:val="center"/>
              <w:rPr>
                <w:rFonts w:ascii="Times New Roman" w:hAnsi="Times New Roman"/>
                <w:color w:val="auto"/>
                <w:szCs w:val="21"/>
              </w:rPr>
            </w:pPr>
            <w:r>
              <w:rPr>
                <w:rFonts w:ascii="Times New Roman" w:hAnsi="Times New Roman"/>
                <w:color w:val="auto"/>
                <w:szCs w:val="21"/>
              </w:rPr>
              <w:t>/</w:t>
            </w:r>
          </w:p>
        </w:tc>
      </w:tr>
      <w:tr w14:paraId="2A16A8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243" w:type="dxa"/>
            <w:noWrap w:val="0"/>
            <w:vAlign w:val="center"/>
          </w:tcPr>
          <w:p w14:paraId="719E6358">
            <w:pPr>
              <w:jc w:val="center"/>
              <w:rPr>
                <w:rFonts w:ascii="Times New Roman" w:hAnsi="Times New Roman"/>
                <w:color w:val="auto"/>
                <w:szCs w:val="21"/>
              </w:rPr>
            </w:pPr>
            <w:r>
              <w:rPr>
                <w:rFonts w:ascii="Times New Roman" w:hAnsi="Times New Roman"/>
                <w:color w:val="auto"/>
                <w:szCs w:val="21"/>
              </w:rPr>
              <w:t>水生生态</w:t>
            </w:r>
          </w:p>
        </w:tc>
        <w:tc>
          <w:tcPr>
            <w:tcW w:w="4496" w:type="dxa"/>
            <w:gridSpan w:val="2"/>
            <w:noWrap w:val="0"/>
            <w:vAlign w:val="center"/>
          </w:tcPr>
          <w:p w14:paraId="4032263C">
            <w:pPr>
              <w:jc w:val="center"/>
              <w:rPr>
                <w:rFonts w:ascii="Times New Roman" w:hAnsi="Times New Roman"/>
                <w:color w:val="auto"/>
                <w:szCs w:val="21"/>
              </w:rPr>
            </w:pPr>
            <w:r>
              <w:rPr>
                <w:rFonts w:ascii="Times New Roman" w:hAnsi="Times New Roman"/>
                <w:color w:val="auto"/>
                <w:szCs w:val="21"/>
              </w:rPr>
              <w:t>/</w:t>
            </w:r>
          </w:p>
        </w:tc>
        <w:tc>
          <w:tcPr>
            <w:tcW w:w="1174" w:type="dxa"/>
            <w:noWrap w:val="0"/>
            <w:vAlign w:val="center"/>
          </w:tcPr>
          <w:p w14:paraId="206D2700">
            <w:pPr>
              <w:jc w:val="center"/>
              <w:rPr>
                <w:rFonts w:ascii="Times New Roman" w:hAnsi="Times New Roman"/>
                <w:color w:val="auto"/>
                <w:szCs w:val="21"/>
              </w:rPr>
            </w:pPr>
            <w:r>
              <w:rPr>
                <w:rFonts w:ascii="Times New Roman" w:hAnsi="Times New Roman"/>
                <w:color w:val="auto"/>
                <w:szCs w:val="21"/>
              </w:rPr>
              <w:t>/</w:t>
            </w:r>
          </w:p>
        </w:tc>
        <w:tc>
          <w:tcPr>
            <w:tcW w:w="852" w:type="dxa"/>
            <w:noWrap w:val="0"/>
            <w:vAlign w:val="center"/>
          </w:tcPr>
          <w:p w14:paraId="0E3CF118">
            <w:pPr>
              <w:jc w:val="center"/>
              <w:rPr>
                <w:rFonts w:ascii="Times New Roman" w:hAnsi="Times New Roman"/>
                <w:color w:val="auto"/>
                <w:szCs w:val="21"/>
              </w:rPr>
            </w:pPr>
            <w:r>
              <w:rPr>
                <w:rFonts w:ascii="Times New Roman" w:hAnsi="Times New Roman"/>
                <w:color w:val="auto"/>
                <w:szCs w:val="21"/>
              </w:rPr>
              <w:t>/</w:t>
            </w:r>
          </w:p>
        </w:tc>
        <w:tc>
          <w:tcPr>
            <w:tcW w:w="757" w:type="dxa"/>
            <w:noWrap w:val="0"/>
            <w:vAlign w:val="center"/>
          </w:tcPr>
          <w:p w14:paraId="712E5BFD">
            <w:pPr>
              <w:jc w:val="center"/>
              <w:rPr>
                <w:rFonts w:ascii="Times New Roman" w:hAnsi="Times New Roman"/>
                <w:color w:val="auto"/>
                <w:szCs w:val="21"/>
              </w:rPr>
            </w:pPr>
            <w:r>
              <w:rPr>
                <w:rFonts w:ascii="Times New Roman" w:hAnsi="Times New Roman"/>
                <w:color w:val="auto"/>
                <w:szCs w:val="21"/>
              </w:rPr>
              <w:t>/</w:t>
            </w:r>
          </w:p>
        </w:tc>
      </w:tr>
      <w:tr w14:paraId="669011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3" w:type="dxa"/>
            <w:noWrap w:val="0"/>
            <w:vAlign w:val="center"/>
          </w:tcPr>
          <w:p w14:paraId="1EBEC447">
            <w:pPr>
              <w:jc w:val="center"/>
              <w:rPr>
                <w:rFonts w:ascii="Times New Roman" w:hAnsi="Times New Roman"/>
                <w:color w:val="auto"/>
                <w:szCs w:val="21"/>
              </w:rPr>
            </w:pPr>
            <w:r>
              <w:rPr>
                <w:rFonts w:ascii="Times New Roman" w:hAnsi="Times New Roman"/>
                <w:color w:val="auto"/>
                <w:szCs w:val="21"/>
              </w:rPr>
              <w:t>地表水环境</w:t>
            </w:r>
          </w:p>
        </w:tc>
        <w:tc>
          <w:tcPr>
            <w:tcW w:w="4496" w:type="dxa"/>
            <w:gridSpan w:val="2"/>
            <w:noWrap w:val="0"/>
            <w:vAlign w:val="center"/>
          </w:tcPr>
          <w:p w14:paraId="52C83752">
            <w:pPr>
              <w:rPr>
                <w:rFonts w:ascii="Times New Roman" w:hAnsi="Times New Roman"/>
                <w:color w:val="auto"/>
                <w:szCs w:val="21"/>
              </w:rPr>
            </w:pPr>
            <w:r>
              <w:rPr>
                <w:rFonts w:ascii="Times New Roman" w:hAnsi="Times New Roman"/>
                <w:color w:val="auto"/>
                <w:szCs w:val="21"/>
              </w:rPr>
              <w:t>项目区不设置员工食宿，员工食宿依托附近村庄，生活污水经化粪池处理后定期清掏用于当地农作物施肥。</w:t>
            </w:r>
          </w:p>
          <w:p w14:paraId="5CB5AF24">
            <w:pPr>
              <w:rPr>
                <w:rFonts w:hint="eastAsia" w:ascii="Times New Roman" w:hAnsi="Times New Roman" w:eastAsia="宋体"/>
                <w:color w:val="auto"/>
                <w:szCs w:val="21"/>
                <w:lang w:eastAsia="zh-CN"/>
              </w:rPr>
            </w:pPr>
            <w:r>
              <w:rPr>
                <w:rFonts w:ascii="Times New Roman" w:hAnsi="Times New Roman"/>
                <w:color w:val="auto"/>
                <w:szCs w:val="21"/>
              </w:rPr>
              <w:t>每个井场进出口</w:t>
            </w:r>
            <w:r>
              <w:rPr>
                <w:rFonts w:hint="eastAsia" w:ascii="Times New Roman" w:hAnsi="Times New Roman"/>
                <w:color w:val="auto"/>
                <w:szCs w:val="21"/>
                <w:lang w:val="en-US" w:eastAsia="zh-CN"/>
              </w:rPr>
              <w:t>对车辆进行冲洗</w:t>
            </w:r>
            <w:r>
              <w:rPr>
                <w:rFonts w:ascii="Times New Roman" w:hAnsi="Times New Roman"/>
                <w:color w:val="auto"/>
                <w:szCs w:val="21"/>
              </w:rPr>
              <w:t>，配套建设容积10m</w:t>
            </w:r>
            <w:r>
              <w:rPr>
                <w:rFonts w:ascii="Times New Roman" w:hAnsi="Times New Roman"/>
                <w:color w:val="auto"/>
                <w:szCs w:val="21"/>
                <w:vertAlign w:val="superscript"/>
              </w:rPr>
              <w:t>3</w:t>
            </w:r>
            <w:r>
              <w:rPr>
                <w:rFonts w:ascii="Times New Roman" w:hAnsi="Times New Roman"/>
                <w:color w:val="auto"/>
                <w:szCs w:val="21"/>
              </w:rPr>
              <w:t>循环沉淀池，车辆清洗废水经沉淀池沉淀后循环使用，不外排；每个井场钻探废水设置设1个废浆池，容积40m</w:t>
            </w:r>
            <w:r>
              <w:rPr>
                <w:rFonts w:ascii="Times New Roman" w:hAnsi="Times New Roman"/>
                <w:color w:val="auto"/>
                <w:szCs w:val="21"/>
                <w:vertAlign w:val="superscript"/>
              </w:rPr>
              <w:t>3</w:t>
            </w:r>
            <w:r>
              <w:rPr>
                <w:rFonts w:ascii="Times New Roman" w:hAnsi="Times New Roman"/>
                <w:color w:val="auto"/>
                <w:szCs w:val="21"/>
              </w:rPr>
              <w:t>，设置设1个干化池，容积40m</w:t>
            </w:r>
            <w:r>
              <w:rPr>
                <w:rFonts w:ascii="Times New Roman" w:hAnsi="Times New Roman"/>
                <w:color w:val="auto"/>
                <w:szCs w:val="21"/>
                <w:vertAlign w:val="superscript"/>
              </w:rPr>
              <w:t>3</w:t>
            </w:r>
            <w:r>
              <w:rPr>
                <w:rFonts w:ascii="Times New Roman" w:hAnsi="Times New Roman"/>
                <w:color w:val="auto"/>
                <w:szCs w:val="21"/>
              </w:rPr>
              <w:t>，钻探废水经沉淀后回用于钻探用水。施工尽量避开雨季施工，雨天做好遮盖工作，减少冲刷雨水的产生量</w:t>
            </w:r>
            <w:r>
              <w:rPr>
                <w:rFonts w:hint="eastAsia" w:ascii="Times New Roman" w:hAnsi="Times New Roman"/>
                <w:color w:val="auto"/>
                <w:szCs w:val="21"/>
                <w:lang w:eastAsia="zh-CN"/>
              </w:rPr>
              <w:t>。</w:t>
            </w:r>
          </w:p>
        </w:tc>
        <w:tc>
          <w:tcPr>
            <w:tcW w:w="1174" w:type="dxa"/>
            <w:noWrap w:val="0"/>
            <w:vAlign w:val="center"/>
          </w:tcPr>
          <w:p w14:paraId="1FCCF320">
            <w:pPr>
              <w:jc w:val="center"/>
              <w:rPr>
                <w:rFonts w:ascii="Times New Roman" w:hAnsi="Times New Roman"/>
                <w:color w:val="auto"/>
                <w:szCs w:val="21"/>
              </w:rPr>
            </w:pPr>
            <w:r>
              <w:rPr>
                <w:rFonts w:ascii="Times New Roman" w:hAnsi="Times New Roman"/>
                <w:color w:val="auto"/>
                <w:szCs w:val="21"/>
              </w:rPr>
              <w:t>施工废水、施工生活污水禁止外排至地表水环境</w:t>
            </w:r>
          </w:p>
        </w:tc>
        <w:tc>
          <w:tcPr>
            <w:tcW w:w="852" w:type="dxa"/>
            <w:noWrap w:val="0"/>
            <w:vAlign w:val="center"/>
          </w:tcPr>
          <w:p w14:paraId="74EBE612">
            <w:pPr>
              <w:jc w:val="center"/>
              <w:rPr>
                <w:rFonts w:ascii="Times New Roman" w:hAnsi="Times New Roman"/>
                <w:color w:val="auto"/>
                <w:szCs w:val="21"/>
              </w:rPr>
            </w:pPr>
            <w:r>
              <w:rPr>
                <w:rFonts w:ascii="Times New Roman" w:hAnsi="Times New Roman"/>
                <w:color w:val="auto"/>
                <w:szCs w:val="21"/>
              </w:rPr>
              <w:t>/</w:t>
            </w:r>
          </w:p>
        </w:tc>
        <w:tc>
          <w:tcPr>
            <w:tcW w:w="757" w:type="dxa"/>
            <w:noWrap w:val="0"/>
            <w:vAlign w:val="center"/>
          </w:tcPr>
          <w:p w14:paraId="4AC4194E">
            <w:pPr>
              <w:jc w:val="center"/>
              <w:rPr>
                <w:rFonts w:ascii="Times New Roman" w:hAnsi="Times New Roman"/>
                <w:color w:val="auto"/>
                <w:szCs w:val="21"/>
              </w:rPr>
            </w:pPr>
            <w:r>
              <w:rPr>
                <w:rFonts w:ascii="Times New Roman" w:hAnsi="Times New Roman"/>
                <w:color w:val="auto"/>
                <w:szCs w:val="21"/>
              </w:rPr>
              <w:t>/</w:t>
            </w:r>
          </w:p>
        </w:tc>
      </w:tr>
      <w:tr w14:paraId="52B0EA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3" w:type="dxa"/>
            <w:noWrap w:val="0"/>
            <w:vAlign w:val="center"/>
          </w:tcPr>
          <w:p w14:paraId="0273F378">
            <w:pPr>
              <w:jc w:val="center"/>
              <w:rPr>
                <w:rFonts w:ascii="Times New Roman" w:hAnsi="Times New Roman"/>
                <w:color w:val="auto"/>
                <w:szCs w:val="21"/>
              </w:rPr>
            </w:pPr>
            <w:r>
              <w:rPr>
                <w:rFonts w:ascii="Times New Roman" w:hAnsi="Times New Roman"/>
                <w:color w:val="auto"/>
                <w:szCs w:val="21"/>
              </w:rPr>
              <w:t>地下水及土壤环境</w:t>
            </w:r>
          </w:p>
        </w:tc>
        <w:tc>
          <w:tcPr>
            <w:tcW w:w="4496" w:type="dxa"/>
            <w:gridSpan w:val="2"/>
            <w:noWrap w:val="0"/>
            <w:vAlign w:val="center"/>
          </w:tcPr>
          <w:p w14:paraId="57BC4825">
            <w:pPr>
              <w:jc w:val="center"/>
              <w:rPr>
                <w:rFonts w:ascii="Times New Roman" w:hAnsi="Times New Roman"/>
                <w:color w:val="auto"/>
                <w:szCs w:val="21"/>
              </w:rPr>
            </w:pPr>
            <w:r>
              <w:rPr>
                <w:rFonts w:hint="eastAsia" w:ascii="Times New Roman" w:hAnsi="Times New Roman"/>
                <w:color w:val="auto"/>
                <w:szCs w:val="21"/>
              </w:rPr>
              <w:t>项目采取分区防渗措施。</w:t>
            </w:r>
            <w:r>
              <w:rPr>
                <w:rFonts w:ascii="Times New Roman" w:hAnsi="Times New Roman"/>
                <w:color w:val="auto"/>
                <w:szCs w:val="21"/>
              </w:rPr>
              <w:t>重点防渗区：钻</w:t>
            </w:r>
            <w:r>
              <w:rPr>
                <w:rFonts w:hint="eastAsia" w:ascii="Times New Roman" w:hAnsi="Times New Roman"/>
                <w:color w:val="auto"/>
                <w:szCs w:val="21"/>
              </w:rPr>
              <w:t>机</w:t>
            </w:r>
            <w:r>
              <w:rPr>
                <w:rFonts w:ascii="Times New Roman" w:hAnsi="Times New Roman"/>
                <w:color w:val="auto"/>
                <w:szCs w:val="21"/>
              </w:rPr>
              <w:t>房井口区域</w:t>
            </w:r>
            <w:r>
              <w:rPr>
                <w:rFonts w:hint="eastAsia" w:ascii="Times New Roman" w:hAnsi="Times New Roman"/>
                <w:color w:val="auto"/>
                <w:szCs w:val="21"/>
                <w:lang w:eastAsia="zh-CN"/>
              </w:rPr>
              <w:t>、</w:t>
            </w:r>
            <w:r>
              <w:rPr>
                <w:rFonts w:ascii="Times New Roman" w:hAnsi="Times New Roman"/>
                <w:color w:val="auto"/>
                <w:szCs w:val="21"/>
              </w:rPr>
              <w:t>废浆池、沉淀池、干化池。防渗要求</w:t>
            </w:r>
            <w:r>
              <w:rPr>
                <w:rFonts w:hint="eastAsia" w:ascii="Times New Roman" w:hAnsi="Times New Roman"/>
                <w:color w:val="auto"/>
                <w:szCs w:val="21"/>
              </w:rPr>
              <w:t>：</w:t>
            </w:r>
            <w:r>
              <w:rPr>
                <w:rFonts w:ascii="Times New Roman" w:hAnsi="Times New Roman"/>
                <w:color w:val="auto"/>
                <w:szCs w:val="21"/>
              </w:rPr>
              <w:t>采用“防渗混凝土+防渗布+砂浆层”进行防渗，等效厚度≥6.0m，确保渗透系数不大于10</w:t>
            </w:r>
            <w:r>
              <w:rPr>
                <w:rFonts w:ascii="Times New Roman" w:hAnsi="Times New Roman"/>
                <w:color w:val="auto"/>
                <w:szCs w:val="21"/>
                <w:vertAlign w:val="superscript"/>
              </w:rPr>
              <w:t>-</w:t>
            </w:r>
            <w:r>
              <w:rPr>
                <w:rFonts w:hint="eastAsia" w:ascii="Times New Roman" w:hAnsi="Times New Roman"/>
                <w:color w:val="auto"/>
                <w:szCs w:val="21"/>
                <w:vertAlign w:val="superscript"/>
              </w:rPr>
              <w:t>7</w:t>
            </w:r>
            <w:r>
              <w:rPr>
                <w:rFonts w:ascii="Times New Roman" w:hAnsi="Times New Roman"/>
                <w:color w:val="auto"/>
                <w:szCs w:val="21"/>
              </w:rPr>
              <w:t>cm/s</w:t>
            </w:r>
            <w:r>
              <w:rPr>
                <w:rFonts w:hint="eastAsia" w:ascii="Times New Roman" w:hAnsi="Times New Roman"/>
                <w:color w:val="auto"/>
                <w:szCs w:val="21"/>
              </w:rPr>
              <w:t>；</w:t>
            </w:r>
            <w:r>
              <w:rPr>
                <w:rFonts w:ascii="Times New Roman" w:hAnsi="Times New Roman"/>
                <w:color w:val="auto"/>
                <w:szCs w:val="21"/>
              </w:rPr>
              <w:t>一般防渗区：除井口区域以外的钻机房其他区域、</w:t>
            </w:r>
            <w:r>
              <w:rPr>
                <w:rFonts w:hint="eastAsia" w:ascii="Times New Roman" w:hAnsi="Times New Roman"/>
                <w:color w:val="auto"/>
                <w:szCs w:val="21"/>
              </w:rPr>
              <w:t>原料库房</w:t>
            </w:r>
            <w:r>
              <w:rPr>
                <w:rFonts w:ascii="Times New Roman" w:hAnsi="Times New Roman"/>
                <w:color w:val="auto"/>
                <w:szCs w:val="21"/>
              </w:rPr>
              <w:t>。防渗要求</w:t>
            </w:r>
            <w:r>
              <w:rPr>
                <w:rFonts w:hint="eastAsia" w:ascii="Times New Roman" w:hAnsi="Times New Roman"/>
                <w:color w:val="auto"/>
                <w:szCs w:val="21"/>
              </w:rPr>
              <w:t>：</w:t>
            </w:r>
            <w:r>
              <w:rPr>
                <w:rFonts w:ascii="Times New Roman" w:hAnsi="Times New Roman"/>
                <w:color w:val="auto"/>
                <w:szCs w:val="21"/>
              </w:rPr>
              <w:t>采取防渗混凝土进行防渗，等效厚度≥1.5m</w:t>
            </w:r>
            <w:r>
              <w:rPr>
                <w:rFonts w:hint="eastAsia" w:ascii="Times New Roman" w:hAnsi="Times New Roman"/>
                <w:color w:val="auto"/>
                <w:szCs w:val="21"/>
              </w:rPr>
              <w:t>；</w:t>
            </w:r>
            <w:r>
              <w:rPr>
                <w:rFonts w:ascii="Times New Roman" w:hAnsi="Times New Roman"/>
                <w:color w:val="auto"/>
                <w:szCs w:val="21"/>
              </w:rPr>
              <w:t>简单防渗区：除重点防渗区和一般防渗区以外的其他区域。防渗要求</w:t>
            </w:r>
            <w:r>
              <w:rPr>
                <w:rFonts w:hint="eastAsia" w:ascii="Times New Roman" w:hAnsi="Times New Roman"/>
                <w:color w:val="auto"/>
                <w:szCs w:val="21"/>
              </w:rPr>
              <w:t>：</w:t>
            </w:r>
            <w:r>
              <w:rPr>
                <w:rFonts w:ascii="Times New Roman" w:hAnsi="Times New Roman"/>
                <w:color w:val="auto"/>
                <w:szCs w:val="21"/>
              </w:rPr>
              <w:t>采用一般地面硬化。</w:t>
            </w:r>
          </w:p>
        </w:tc>
        <w:tc>
          <w:tcPr>
            <w:tcW w:w="1174" w:type="dxa"/>
            <w:noWrap w:val="0"/>
            <w:vAlign w:val="center"/>
          </w:tcPr>
          <w:p w14:paraId="69505C39">
            <w:pPr>
              <w:jc w:val="center"/>
              <w:rPr>
                <w:rFonts w:ascii="Times New Roman" w:hAnsi="Times New Roman"/>
                <w:color w:val="auto"/>
                <w:szCs w:val="21"/>
              </w:rPr>
            </w:pPr>
            <w:r>
              <w:rPr>
                <w:rFonts w:ascii="Times New Roman" w:hAnsi="Times New Roman"/>
                <w:color w:val="auto"/>
                <w:szCs w:val="21"/>
              </w:rPr>
              <w:t>不对周边浅层地下水以及周边土壤造成影响</w:t>
            </w:r>
          </w:p>
        </w:tc>
        <w:tc>
          <w:tcPr>
            <w:tcW w:w="852" w:type="dxa"/>
            <w:noWrap w:val="0"/>
            <w:vAlign w:val="center"/>
          </w:tcPr>
          <w:p w14:paraId="6F28CF00">
            <w:pPr>
              <w:jc w:val="center"/>
              <w:rPr>
                <w:rFonts w:ascii="Times New Roman" w:hAnsi="Times New Roman"/>
                <w:color w:val="auto"/>
                <w:szCs w:val="21"/>
              </w:rPr>
            </w:pPr>
            <w:r>
              <w:rPr>
                <w:rFonts w:ascii="Times New Roman" w:hAnsi="Times New Roman"/>
                <w:color w:val="auto"/>
                <w:szCs w:val="21"/>
              </w:rPr>
              <w:t>/</w:t>
            </w:r>
          </w:p>
        </w:tc>
        <w:tc>
          <w:tcPr>
            <w:tcW w:w="757" w:type="dxa"/>
            <w:noWrap w:val="0"/>
            <w:vAlign w:val="center"/>
          </w:tcPr>
          <w:p w14:paraId="5EADF90D">
            <w:pPr>
              <w:jc w:val="center"/>
              <w:rPr>
                <w:rFonts w:ascii="Times New Roman" w:hAnsi="Times New Roman"/>
                <w:color w:val="auto"/>
                <w:szCs w:val="21"/>
              </w:rPr>
            </w:pPr>
            <w:r>
              <w:rPr>
                <w:rFonts w:ascii="Times New Roman" w:hAnsi="Times New Roman"/>
                <w:color w:val="auto"/>
                <w:szCs w:val="21"/>
              </w:rPr>
              <w:t>/</w:t>
            </w:r>
          </w:p>
        </w:tc>
      </w:tr>
      <w:tr w14:paraId="29AFFF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3" w:type="dxa"/>
            <w:noWrap w:val="0"/>
            <w:vAlign w:val="center"/>
          </w:tcPr>
          <w:p w14:paraId="3D81C520">
            <w:pPr>
              <w:jc w:val="center"/>
              <w:rPr>
                <w:rFonts w:ascii="Times New Roman" w:hAnsi="Times New Roman"/>
                <w:color w:val="auto"/>
                <w:szCs w:val="21"/>
              </w:rPr>
            </w:pPr>
            <w:r>
              <w:rPr>
                <w:rFonts w:ascii="Times New Roman" w:hAnsi="Times New Roman"/>
                <w:color w:val="auto"/>
                <w:szCs w:val="21"/>
              </w:rPr>
              <w:t>声环境</w:t>
            </w:r>
          </w:p>
        </w:tc>
        <w:tc>
          <w:tcPr>
            <w:tcW w:w="4496" w:type="dxa"/>
            <w:gridSpan w:val="2"/>
            <w:noWrap w:val="0"/>
            <w:vAlign w:val="center"/>
          </w:tcPr>
          <w:p w14:paraId="1364CF65">
            <w:pPr>
              <w:jc w:val="center"/>
              <w:rPr>
                <w:rFonts w:ascii="Times New Roman" w:hAnsi="Times New Roman"/>
                <w:color w:val="auto"/>
                <w:szCs w:val="21"/>
              </w:rPr>
            </w:pPr>
            <w:r>
              <w:rPr>
                <w:rFonts w:ascii="Times New Roman" w:hAnsi="Times New Roman"/>
                <w:color w:val="auto"/>
                <w:szCs w:val="21"/>
              </w:rPr>
              <w:t>选用低噪声设备，合理布置施工机械，合理安排施工时间，加强施工管理，设置施工围墙、降噪安全围帘等，根据现场调查，项目部分井场厂界外存在居民点声环境保护目标，项目可在井场面向敏感点一侧布置隔声屏等</w:t>
            </w:r>
            <w:r>
              <w:rPr>
                <w:rFonts w:ascii="Times New Roman" w:hAnsi="Times New Roman"/>
                <w:bCs/>
                <w:color w:val="auto"/>
                <w:szCs w:val="21"/>
              </w:rPr>
              <w:t>，可有效降低对周边敏感点的影响</w:t>
            </w:r>
          </w:p>
        </w:tc>
        <w:tc>
          <w:tcPr>
            <w:tcW w:w="1174" w:type="dxa"/>
            <w:noWrap w:val="0"/>
            <w:vAlign w:val="center"/>
          </w:tcPr>
          <w:p w14:paraId="6754C969">
            <w:pPr>
              <w:jc w:val="center"/>
              <w:rPr>
                <w:rFonts w:ascii="Times New Roman" w:hAnsi="Times New Roman"/>
                <w:color w:val="auto"/>
                <w:szCs w:val="21"/>
              </w:rPr>
            </w:pPr>
            <w:r>
              <w:rPr>
                <w:rFonts w:ascii="Times New Roman" w:hAnsi="Times New Roman"/>
                <w:color w:val="auto"/>
                <w:szCs w:val="21"/>
              </w:rPr>
              <w:t>满足《建筑施工场界环境噪声排放标准》（GB12523-2011），不发生扰民现象。</w:t>
            </w:r>
          </w:p>
        </w:tc>
        <w:tc>
          <w:tcPr>
            <w:tcW w:w="852" w:type="dxa"/>
            <w:noWrap w:val="0"/>
            <w:vAlign w:val="center"/>
          </w:tcPr>
          <w:p w14:paraId="23DAFB53">
            <w:pPr>
              <w:jc w:val="center"/>
              <w:rPr>
                <w:rFonts w:ascii="Times New Roman" w:hAnsi="Times New Roman"/>
                <w:color w:val="auto"/>
                <w:szCs w:val="21"/>
              </w:rPr>
            </w:pPr>
            <w:r>
              <w:rPr>
                <w:rFonts w:ascii="Times New Roman" w:hAnsi="Times New Roman"/>
                <w:color w:val="auto"/>
                <w:szCs w:val="21"/>
              </w:rPr>
              <w:t>/</w:t>
            </w:r>
          </w:p>
        </w:tc>
        <w:tc>
          <w:tcPr>
            <w:tcW w:w="757" w:type="dxa"/>
            <w:noWrap w:val="0"/>
            <w:vAlign w:val="center"/>
          </w:tcPr>
          <w:p w14:paraId="504E0D17">
            <w:pPr>
              <w:jc w:val="center"/>
              <w:rPr>
                <w:rFonts w:ascii="Times New Roman" w:hAnsi="Times New Roman"/>
                <w:color w:val="auto"/>
                <w:szCs w:val="21"/>
              </w:rPr>
            </w:pPr>
            <w:r>
              <w:rPr>
                <w:rFonts w:ascii="Times New Roman" w:hAnsi="Times New Roman"/>
                <w:color w:val="auto"/>
                <w:szCs w:val="21"/>
              </w:rPr>
              <w:t>/</w:t>
            </w:r>
          </w:p>
        </w:tc>
      </w:tr>
      <w:tr w14:paraId="3AD7B8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3" w:type="dxa"/>
            <w:noWrap w:val="0"/>
            <w:vAlign w:val="center"/>
          </w:tcPr>
          <w:p w14:paraId="47B68AF2">
            <w:pPr>
              <w:jc w:val="center"/>
              <w:rPr>
                <w:rFonts w:ascii="Times New Roman" w:hAnsi="Times New Roman"/>
                <w:color w:val="auto"/>
                <w:szCs w:val="21"/>
              </w:rPr>
            </w:pPr>
            <w:r>
              <w:rPr>
                <w:rFonts w:ascii="Times New Roman" w:hAnsi="Times New Roman"/>
                <w:color w:val="auto"/>
                <w:szCs w:val="21"/>
              </w:rPr>
              <w:t>振动</w:t>
            </w:r>
          </w:p>
        </w:tc>
        <w:tc>
          <w:tcPr>
            <w:tcW w:w="4496" w:type="dxa"/>
            <w:gridSpan w:val="2"/>
            <w:noWrap w:val="0"/>
            <w:vAlign w:val="center"/>
          </w:tcPr>
          <w:p w14:paraId="744DD06C">
            <w:pPr>
              <w:jc w:val="center"/>
              <w:rPr>
                <w:rFonts w:ascii="Times New Roman" w:hAnsi="Times New Roman"/>
                <w:color w:val="auto"/>
                <w:szCs w:val="21"/>
              </w:rPr>
            </w:pPr>
            <w:r>
              <w:rPr>
                <w:rFonts w:ascii="Times New Roman" w:hAnsi="Times New Roman"/>
                <w:color w:val="auto"/>
                <w:szCs w:val="21"/>
              </w:rPr>
              <w:t>/</w:t>
            </w:r>
          </w:p>
        </w:tc>
        <w:tc>
          <w:tcPr>
            <w:tcW w:w="1174" w:type="dxa"/>
            <w:noWrap w:val="0"/>
            <w:vAlign w:val="center"/>
          </w:tcPr>
          <w:p w14:paraId="48C3316D">
            <w:pPr>
              <w:jc w:val="center"/>
              <w:rPr>
                <w:rFonts w:ascii="Times New Roman" w:hAnsi="Times New Roman"/>
                <w:color w:val="auto"/>
                <w:szCs w:val="21"/>
              </w:rPr>
            </w:pPr>
            <w:r>
              <w:rPr>
                <w:rFonts w:ascii="Times New Roman" w:hAnsi="Times New Roman"/>
                <w:color w:val="auto"/>
                <w:szCs w:val="21"/>
              </w:rPr>
              <w:t>/</w:t>
            </w:r>
          </w:p>
        </w:tc>
        <w:tc>
          <w:tcPr>
            <w:tcW w:w="852" w:type="dxa"/>
            <w:noWrap w:val="0"/>
            <w:vAlign w:val="center"/>
          </w:tcPr>
          <w:p w14:paraId="132721FD">
            <w:pPr>
              <w:jc w:val="center"/>
              <w:rPr>
                <w:rFonts w:ascii="Times New Roman" w:hAnsi="Times New Roman"/>
                <w:color w:val="auto"/>
                <w:szCs w:val="21"/>
              </w:rPr>
            </w:pPr>
            <w:r>
              <w:rPr>
                <w:rFonts w:ascii="Times New Roman" w:hAnsi="Times New Roman"/>
                <w:color w:val="auto"/>
                <w:szCs w:val="21"/>
              </w:rPr>
              <w:t>/</w:t>
            </w:r>
          </w:p>
        </w:tc>
        <w:tc>
          <w:tcPr>
            <w:tcW w:w="757" w:type="dxa"/>
            <w:noWrap w:val="0"/>
            <w:vAlign w:val="center"/>
          </w:tcPr>
          <w:p w14:paraId="16528D87">
            <w:pPr>
              <w:jc w:val="center"/>
              <w:rPr>
                <w:rFonts w:ascii="Times New Roman" w:hAnsi="Times New Roman"/>
                <w:color w:val="auto"/>
                <w:szCs w:val="21"/>
              </w:rPr>
            </w:pPr>
            <w:r>
              <w:rPr>
                <w:rFonts w:ascii="Times New Roman" w:hAnsi="Times New Roman"/>
                <w:color w:val="auto"/>
                <w:szCs w:val="21"/>
              </w:rPr>
              <w:t>/</w:t>
            </w:r>
          </w:p>
        </w:tc>
      </w:tr>
      <w:tr w14:paraId="087366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3" w:type="dxa"/>
            <w:noWrap w:val="0"/>
            <w:vAlign w:val="center"/>
          </w:tcPr>
          <w:p w14:paraId="4F238855">
            <w:pPr>
              <w:jc w:val="center"/>
              <w:rPr>
                <w:rFonts w:ascii="Times New Roman" w:hAnsi="Times New Roman"/>
                <w:color w:val="auto"/>
                <w:szCs w:val="21"/>
              </w:rPr>
            </w:pPr>
            <w:r>
              <w:rPr>
                <w:rFonts w:ascii="Times New Roman" w:hAnsi="Times New Roman"/>
                <w:color w:val="auto"/>
                <w:szCs w:val="21"/>
              </w:rPr>
              <w:t>大气环境</w:t>
            </w:r>
          </w:p>
        </w:tc>
        <w:tc>
          <w:tcPr>
            <w:tcW w:w="4496" w:type="dxa"/>
            <w:gridSpan w:val="2"/>
            <w:noWrap w:val="0"/>
            <w:vAlign w:val="center"/>
          </w:tcPr>
          <w:p w14:paraId="627B9CF5">
            <w:pPr>
              <w:jc w:val="center"/>
              <w:rPr>
                <w:rFonts w:ascii="Times New Roman" w:hAnsi="Times New Roman"/>
                <w:color w:val="auto"/>
                <w:szCs w:val="21"/>
              </w:rPr>
            </w:pPr>
            <w:r>
              <w:rPr>
                <w:rFonts w:ascii="Times New Roman" w:hAnsi="Times New Roman"/>
                <w:color w:val="auto"/>
                <w:szCs w:val="21"/>
              </w:rPr>
              <w:t>施工期影响主要为施工扬尘、机械尾气等。通过加强施工机械、车辆管理，进行物料覆盖，对施工道路进行固化、洒水处理等措施，施工现场扬尘污染防治应做到“六个百分之百”，减少对周边空气环境的影响。</w:t>
            </w:r>
          </w:p>
        </w:tc>
        <w:tc>
          <w:tcPr>
            <w:tcW w:w="1174" w:type="dxa"/>
            <w:noWrap w:val="0"/>
            <w:vAlign w:val="center"/>
          </w:tcPr>
          <w:p w14:paraId="35EFF314">
            <w:pPr>
              <w:jc w:val="center"/>
              <w:rPr>
                <w:rFonts w:ascii="Times New Roman" w:hAnsi="Times New Roman"/>
                <w:color w:val="auto"/>
                <w:szCs w:val="21"/>
              </w:rPr>
            </w:pPr>
            <w:r>
              <w:rPr>
                <w:rFonts w:hint="eastAsia" w:ascii="Times New Roman" w:hAnsi="Times New Roman"/>
                <w:color w:val="auto"/>
                <w:szCs w:val="21"/>
              </w:rPr>
              <w:t>施工期扬尘执行《施工场地颗粒物排放标准》（DB34/4811-2024）中厂界大气污染物无组织监控浓度限值要求</w:t>
            </w:r>
          </w:p>
        </w:tc>
        <w:tc>
          <w:tcPr>
            <w:tcW w:w="852" w:type="dxa"/>
            <w:noWrap w:val="0"/>
            <w:vAlign w:val="center"/>
          </w:tcPr>
          <w:p w14:paraId="0799EFF8">
            <w:pPr>
              <w:jc w:val="center"/>
              <w:rPr>
                <w:rFonts w:ascii="Times New Roman" w:hAnsi="Times New Roman"/>
                <w:color w:val="auto"/>
                <w:szCs w:val="21"/>
              </w:rPr>
            </w:pPr>
            <w:r>
              <w:rPr>
                <w:rFonts w:ascii="Times New Roman" w:hAnsi="Times New Roman"/>
                <w:color w:val="auto"/>
                <w:szCs w:val="21"/>
              </w:rPr>
              <w:t>/</w:t>
            </w:r>
          </w:p>
        </w:tc>
        <w:tc>
          <w:tcPr>
            <w:tcW w:w="757" w:type="dxa"/>
            <w:noWrap w:val="0"/>
            <w:vAlign w:val="center"/>
          </w:tcPr>
          <w:p w14:paraId="3EE33A79">
            <w:pPr>
              <w:jc w:val="center"/>
              <w:rPr>
                <w:rFonts w:ascii="Times New Roman" w:hAnsi="Times New Roman"/>
                <w:color w:val="auto"/>
                <w:szCs w:val="21"/>
              </w:rPr>
            </w:pPr>
            <w:r>
              <w:rPr>
                <w:rFonts w:ascii="Times New Roman" w:hAnsi="Times New Roman"/>
                <w:color w:val="auto"/>
                <w:szCs w:val="21"/>
              </w:rPr>
              <w:t>/</w:t>
            </w:r>
          </w:p>
        </w:tc>
      </w:tr>
      <w:tr w14:paraId="58D6FD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23" w:hRule="atLeast"/>
          <w:jc w:val="center"/>
        </w:trPr>
        <w:tc>
          <w:tcPr>
            <w:tcW w:w="1243" w:type="dxa"/>
            <w:noWrap w:val="0"/>
            <w:vAlign w:val="center"/>
          </w:tcPr>
          <w:p w14:paraId="696F93DD">
            <w:pPr>
              <w:jc w:val="center"/>
              <w:rPr>
                <w:rFonts w:ascii="Times New Roman" w:hAnsi="Times New Roman"/>
                <w:color w:val="auto"/>
                <w:szCs w:val="21"/>
              </w:rPr>
            </w:pPr>
            <w:r>
              <w:rPr>
                <w:rFonts w:ascii="Times New Roman" w:hAnsi="Times New Roman"/>
                <w:color w:val="auto"/>
                <w:szCs w:val="21"/>
              </w:rPr>
              <w:t>固体废物</w:t>
            </w:r>
          </w:p>
        </w:tc>
        <w:tc>
          <w:tcPr>
            <w:tcW w:w="4496" w:type="dxa"/>
            <w:gridSpan w:val="2"/>
            <w:noWrap w:val="0"/>
            <w:vAlign w:val="center"/>
          </w:tcPr>
          <w:p w14:paraId="7514F559">
            <w:pPr>
              <w:jc w:val="center"/>
              <w:rPr>
                <w:rFonts w:hint="default" w:ascii="Times New Roman" w:hAnsi="Times New Roman" w:eastAsia="宋体"/>
                <w:color w:val="auto"/>
                <w:szCs w:val="21"/>
                <w:lang w:val="en-US" w:eastAsia="zh-CN"/>
              </w:rPr>
            </w:pPr>
            <w:r>
              <w:rPr>
                <w:rFonts w:ascii="Times New Roman" w:hAnsi="Times New Roman"/>
                <w:color w:val="auto"/>
                <w:szCs w:val="21"/>
              </w:rPr>
              <w:t>施工结束后，开挖的土方后期回覆；钻井废液暂存于废浆干化池中，待钻井结束后投加泥浆固化剂固化后作为周边路基维护的建材使用；本项目不以矿物油为连续相配制钻井泥浆，项目采用纤维素等进行钻井工作，钻井岩屑泥浆干化后属于一般固废，作为周边路基维护的建材使用；废包装材料集中收集后外售处理。废润滑油、废润滑油桶</w:t>
            </w:r>
            <w:r>
              <w:rPr>
                <w:rFonts w:hint="eastAsia" w:ascii="Times New Roman" w:hAnsi="Times New Roman"/>
                <w:color w:val="auto"/>
                <w:szCs w:val="21"/>
                <w:lang w:eastAsia="zh-CN"/>
              </w:rPr>
              <w:t>、</w:t>
            </w:r>
            <w:r>
              <w:rPr>
                <w:rFonts w:ascii="Times New Roman" w:hAnsi="Times New Roman"/>
                <w:color w:val="auto"/>
                <w:szCs w:val="21"/>
              </w:rPr>
              <w:t>分类后的废含油抹布和废含油手套属于危险废物，</w:t>
            </w:r>
            <w:r>
              <w:rPr>
                <w:rFonts w:hint="eastAsia" w:ascii="Times New Roman" w:hAnsi="Times New Roman"/>
                <w:color w:val="auto"/>
                <w:szCs w:val="21"/>
              </w:rPr>
              <w:t>依托于朱集西煤矿危废暂存间暂存，</w:t>
            </w:r>
            <w:r>
              <w:rPr>
                <w:rFonts w:hint="eastAsia" w:ascii="Times New Roman" w:hAnsi="Times New Roman"/>
                <w:color w:val="auto"/>
                <w:szCs w:val="21"/>
                <w:lang w:val="en-US" w:eastAsia="zh-CN"/>
              </w:rPr>
              <w:t>定期</w:t>
            </w:r>
            <w:r>
              <w:rPr>
                <w:rFonts w:ascii="Times New Roman" w:hAnsi="Times New Roman"/>
                <w:color w:val="auto"/>
                <w:szCs w:val="21"/>
              </w:rPr>
              <w:t>交由有资质单位处置。生活垃圾委托环卫部门</w:t>
            </w:r>
            <w:r>
              <w:rPr>
                <w:rFonts w:hint="eastAsia" w:ascii="Times New Roman" w:hAnsi="Times New Roman"/>
                <w:color w:val="auto"/>
                <w:szCs w:val="21"/>
                <w:lang w:val="en-US" w:eastAsia="zh-CN"/>
              </w:rPr>
              <w:t>统一清运。</w:t>
            </w:r>
          </w:p>
        </w:tc>
        <w:tc>
          <w:tcPr>
            <w:tcW w:w="1174" w:type="dxa"/>
            <w:noWrap w:val="0"/>
            <w:vAlign w:val="center"/>
          </w:tcPr>
          <w:p w14:paraId="3981BA57">
            <w:pPr>
              <w:jc w:val="center"/>
              <w:rPr>
                <w:rFonts w:ascii="Times New Roman" w:hAnsi="Times New Roman"/>
                <w:color w:val="auto"/>
                <w:szCs w:val="21"/>
              </w:rPr>
            </w:pPr>
            <w:r>
              <w:rPr>
                <w:rFonts w:ascii="Times New Roman" w:hAnsi="Times New Roman"/>
                <w:color w:val="auto"/>
                <w:szCs w:val="21"/>
              </w:rPr>
              <w:t>处置率100%，符合环境卫生及环境保护管理要求</w:t>
            </w:r>
          </w:p>
        </w:tc>
        <w:tc>
          <w:tcPr>
            <w:tcW w:w="852" w:type="dxa"/>
            <w:noWrap w:val="0"/>
            <w:vAlign w:val="center"/>
          </w:tcPr>
          <w:p w14:paraId="1FB6D664">
            <w:pPr>
              <w:jc w:val="center"/>
              <w:rPr>
                <w:rFonts w:ascii="Times New Roman" w:hAnsi="Times New Roman"/>
                <w:color w:val="auto"/>
                <w:szCs w:val="21"/>
              </w:rPr>
            </w:pPr>
            <w:r>
              <w:rPr>
                <w:rFonts w:ascii="Times New Roman" w:hAnsi="Times New Roman"/>
                <w:color w:val="auto"/>
                <w:szCs w:val="21"/>
              </w:rPr>
              <w:t>/</w:t>
            </w:r>
          </w:p>
        </w:tc>
        <w:tc>
          <w:tcPr>
            <w:tcW w:w="757" w:type="dxa"/>
            <w:noWrap w:val="0"/>
            <w:vAlign w:val="center"/>
          </w:tcPr>
          <w:p w14:paraId="429BBB5D">
            <w:pPr>
              <w:jc w:val="center"/>
              <w:rPr>
                <w:rFonts w:ascii="Times New Roman" w:hAnsi="Times New Roman"/>
                <w:color w:val="auto"/>
                <w:szCs w:val="21"/>
              </w:rPr>
            </w:pPr>
            <w:r>
              <w:rPr>
                <w:rFonts w:ascii="Times New Roman" w:hAnsi="Times New Roman"/>
                <w:color w:val="auto"/>
                <w:szCs w:val="21"/>
              </w:rPr>
              <w:t>/</w:t>
            </w:r>
          </w:p>
        </w:tc>
      </w:tr>
      <w:tr w14:paraId="0E68E9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243" w:type="dxa"/>
            <w:noWrap w:val="0"/>
            <w:vAlign w:val="center"/>
          </w:tcPr>
          <w:p w14:paraId="7CFA9315">
            <w:pPr>
              <w:jc w:val="center"/>
              <w:rPr>
                <w:rFonts w:ascii="Times New Roman" w:hAnsi="Times New Roman"/>
                <w:color w:val="auto"/>
                <w:szCs w:val="21"/>
              </w:rPr>
            </w:pPr>
            <w:r>
              <w:rPr>
                <w:rFonts w:ascii="Times New Roman" w:hAnsi="Times New Roman"/>
                <w:color w:val="auto"/>
                <w:szCs w:val="21"/>
              </w:rPr>
              <w:t>电磁环境</w:t>
            </w:r>
          </w:p>
        </w:tc>
        <w:tc>
          <w:tcPr>
            <w:tcW w:w="4496" w:type="dxa"/>
            <w:gridSpan w:val="2"/>
            <w:noWrap w:val="0"/>
            <w:vAlign w:val="center"/>
          </w:tcPr>
          <w:p w14:paraId="0A302700">
            <w:pPr>
              <w:jc w:val="center"/>
              <w:rPr>
                <w:rFonts w:ascii="Times New Roman" w:hAnsi="Times New Roman"/>
                <w:color w:val="auto"/>
                <w:szCs w:val="21"/>
              </w:rPr>
            </w:pPr>
            <w:r>
              <w:rPr>
                <w:rFonts w:ascii="Times New Roman" w:hAnsi="Times New Roman"/>
                <w:color w:val="auto"/>
                <w:szCs w:val="21"/>
              </w:rPr>
              <w:t>/</w:t>
            </w:r>
          </w:p>
        </w:tc>
        <w:tc>
          <w:tcPr>
            <w:tcW w:w="1174" w:type="dxa"/>
            <w:noWrap w:val="0"/>
            <w:vAlign w:val="center"/>
          </w:tcPr>
          <w:p w14:paraId="6E13517F">
            <w:pPr>
              <w:jc w:val="center"/>
              <w:rPr>
                <w:rFonts w:ascii="Times New Roman" w:hAnsi="Times New Roman"/>
                <w:color w:val="auto"/>
                <w:szCs w:val="21"/>
              </w:rPr>
            </w:pPr>
            <w:r>
              <w:rPr>
                <w:rFonts w:ascii="Times New Roman" w:hAnsi="Times New Roman"/>
                <w:color w:val="auto"/>
                <w:szCs w:val="21"/>
              </w:rPr>
              <w:t>/</w:t>
            </w:r>
          </w:p>
        </w:tc>
        <w:tc>
          <w:tcPr>
            <w:tcW w:w="852" w:type="dxa"/>
            <w:noWrap w:val="0"/>
            <w:vAlign w:val="center"/>
          </w:tcPr>
          <w:p w14:paraId="7371201A">
            <w:pPr>
              <w:jc w:val="center"/>
              <w:rPr>
                <w:rFonts w:ascii="Times New Roman" w:hAnsi="Times New Roman"/>
                <w:color w:val="auto"/>
                <w:szCs w:val="21"/>
              </w:rPr>
            </w:pPr>
            <w:r>
              <w:rPr>
                <w:rFonts w:ascii="Times New Roman" w:hAnsi="Times New Roman"/>
                <w:color w:val="auto"/>
                <w:szCs w:val="21"/>
              </w:rPr>
              <w:t>/</w:t>
            </w:r>
          </w:p>
        </w:tc>
        <w:tc>
          <w:tcPr>
            <w:tcW w:w="757" w:type="dxa"/>
            <w:noWrap w:val="0"/>
            <w:vAlign w:val="center"/>
          </w:tcPr>
          <w:p w14:paraId="1A5B48CF">
            <w:pPr>
              <w:jc w:val="center"/>
              <w:rPr>
                <w:rFonts w:ascii="Times New Roman" w:hAnsi="Times New Roman"/>
                <w:color w:val="auto"/>
                <w:szCs w:val="21"/>
              </w:rPr>
            </w:pPr>
            <w:r>
              <w:rPr>
                <w:rFonts w:ascii="Times New Roman" w:hAnsi="Times New Roman"/>
                <w:color w:val="auto"/>
                <w:szCs w:val="21"/>
              </w:rPr>
              <w:t>/</w:t>
            </w:r>
          </w:p>
        </w:tc>
      </w:tr>
      <w:tr w14:paraId="723037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3" w:type="dxa"/>
            <w:noWrap w:val="0"/>
            <w:vAlign w:val="center"/>
          </w:tcPr>
          <w:p w14:paraId="06C4ADF7">
            <w:pPr>
              <w:jc w:val="center"/>
              <w:rPr>
                <w:rFonts w:ascii="Times New Roman" w:hAnsi="Times New Roman"/>
                <w:color w:val="auto"/>
                <w:szCs w:val="21"/>
              </w:rPr>
            </w:pPr>
            <w:r>
              <w:rPr>
                <w:rFonts w:ascii="Times New Roman" w:hAnsi="Times New Roman"/>
                <w:color w:val="auto"/>
                <w:szCs w:val="21"/>
              </w:rPr>
              <w:t>环境风险</w:t>
            </w:r>
          </w:p>
        </w:tc>
        <w:tc>
          <w:tcPr>
            <w:tcW w:w="4496" w:type="dxa"/>
            <w:gridSpan w:val="2"/>
            <w:noWrap w:val="0"/>
            <w:vAlign w:val="center"/>
          </w:tcPr>
          <w:p w14:paraId="792F35BB">
            <w:pPr>
              <w:jc w:val="center"/>
              <w:rPr>
                <w:rFonts w:hint="eastAsia" w:ascii="Times New Roman" w:hAnsi="Times New Roman" w:eastAsia="宋体"/>
                <w:color w:val="auto"/>
                <w:szCs w:val="21"/>
                <w:lang w:eastAsia="zh-CN"/>
              </w:rPr>
            </w:pPr>
            <w:r>
              <w:rPr>
                <w:rFonts w:ascii="Times New Roman" w:hAnsi="Times New Roman"/>
                <w:color w:val="auto"/>
                <w:szCs w:val="21"/>
              </w:rPr>
              <w:t>防止泥浆水外溢，设置必要的护坡等，加强巡视、检查和日常宣传</w:t>
            </w:r>
          </w:p>
        </w:tc>
        <w:tc>
          <w:tcPr>
            <w:tcW w:w="1174" w:type="dxa"/>
            <w:noWrap w:val="0"/>
            <w:vAlign w:val="center"/>
          </w:tcPr>
          <w:p w14:paraId="5A5AB4FF">
            <w:pPr>
              <w:jc w:val="center"/>
              <w:rPr>
                <w:rFonts w:ascii="Times New Roman" w:hAnsi="Times New Roman"/>
                <w:color w:val="auto"/>
                <w:szCs w:val="21"/>
              </w:rPr>
            </w:pPr>
            <w:r>
              <w:rPr>
                <w:rFonts w:ascii="Times New Roman" w:hAnsi="Times New Roman"/>
                <w:color w:val="auto"/>
                <w:szCs w:val="21"/>
              </w:rPr>
              <w:t>不发生环境风险事故</w:t>
            </w:r>
          </w:p>
        </w:tc>
        <w:tc>
          <w:tcPr>
            <w:tcW w:w="852" w:type="dxa"/>
            <w:noWrap w:val="0"/>
            <w:vAlign w:val="center"/>
          </w:tcPr>
          <w:p w14:paraId="0A66B676">
            <w:pPr>
              <w:jc w:val="center"/>
              <w:rPr>
                <w:rFonts w:ascii="Times New Roman" w:hAnsi="Times New Roman"/>
                <w:color w:val="auto"/>
                <w:szCs w:val="21"/>
              </w:rPr>
            </w:pPr>
            <w:r>
              <w:rPr>
                <w:rFonts w:ascii="Times New Roman" w:hAnsi="Times New Roman"/>
                <w:color w:val="auto"/>
                <w:szCs w:val="21"/>
              </w:rPr>
              <w:t>/</w:t>
            </w:r>
          </w:p>
        </w:tc>
        <w:tc>
          <w:tcPr>
            <w:tcW w:w="757" w:type="dxa"/>
            <w:noWrap w:val="0"/>
            <w:vAlign w:val="center"/>
          </w:tcPr>
          <w:p w14:paraId="2E48B2E8">
            <w:pPr>
              <w:jc w:val="center"/>
              <w:rPr>
                <w:rFonts w:ascii="Times New Roman" w:hAnsi="Times New Roman"/>
                <w:color w:val="auto"/>
                <w:szCs w:val="21"/>
              </w:rPr>
            </w:pPr>
            <w:r>
              <w:rPr>
                <w:rFonts w:ascii="Times New Roman" w:hAnsi="Times New Roman"/>
                <w:color w:val="auto"/>
                <w:szCs w:val="21"/>
              </w:rPr>
              <w:t>/</w:t>
            </w:r>
          </w:p>
        </w:tc>
      </w:tr>
      <w:tr w14:paraId="2E4720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43" w:type="dxa"/>
            <w:noWrap w:val="0"/>
            <w:vAlign w:val="center"/>
          </w:tcPr>
          <w:p w14:paraId="3DD9C429">
            <w:pPr>
              <w:jc w:val="center"/>
              <w:rPr>
                <w:rFonts w:ascii="Times New Roman" w:hAnsi="Times New Roman"/>
                <w:color w:val="auto"/>
                <w:szCs w:val="21"/>
              </w:rPr>
            </w:pPr>
            <w:r>
              <w:rPr>
                <w:rFonts w:ascii="Times New Roman" w:hAnsi="Times New Roman"/>
                <w:color w:val="auto"/>
                <w:szCs w:val="21"/>
              </w:rPr>
              <w:t>环境监测</w:t>
            </w:r>
          </w:p>
        </w:tc>
        <w:tc>
          <w:tcPr>
            <w:tcW w:w="4496" w:type="dxa"/>
            <w:gridSpan w:val="2"/>
            <w:noWrap w:val="0"/>
            <w:vAlign w:val="center"/>
          </w:tcPr>
          <w:p w14:paraId="7AE0AAAE">
            <w:pPr>
              <w:pStyle w:val="23"/>
              <w:adjustRightInd/>
              <w:spacing w:line="360" w:lineRule="auto"/>
              <w:jc w:val="center"/>
              <w:rPr>
                <w:rFonts w:ascii="Times New Roman" w:hAnsi="Times New Roman"/>
                <w:b/>
                <w:color w:val="auto"/>
                <w:sz w:val="21"/>
                <w:szCs w:val="21"/>
              </w:rPr>
            </w:pPr>
            <w:r>
              <w:rPr>
                <w:rFonts w:ascii="Times New Roman" w:hAnsi="Times New Roman"/>
                <w:b/>
                <w:color w:val="auto"/>
                <w:sz w:val="21"/>
                <w:szCs w:val="21"/>
              </w:rPr>
              <w:t>施工期环境监测、监控计划</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2"/>
              <w:gridCol w:w="730"/>
              <w:gridCol w:w="1543"/>
              <w:gridCol w:w="893"/>
              <w:gridCol w:w="673"/>
            </w:tblGrid>
            <w:tr w14:paraId="54329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dxa"/>
                  <w:noWrap w:val="0"/>
                  <w:vAlign w:val="center"/>
                </w:tcPr>
                <w:p w14:paraId="6C767C27">
                  <w:pPr>
                    <w:pStyle w:val="23"/>
                    <w:adjustRightInd/>
                    <w:jc w:val="center"/>
                    <w:rPr>
                      <w:rFonts w:ascii="Times New Roman" w:hAnsi="Times New Roman"/>
                      <w:color w:val="auto"/>
                      <w:sz w:val="21"/>
                      <w:szCs w:val="21"/>
                    </w:rPr>
                  </w:pPr>
                  <w:r>
                    <w:rPr>
                      <w:rFonts w:ascii="Times New Roman" w:hAnsi="Times New Roman"/>
                      <w:color w:val="auto"/>
                      <w:sz w:val="21"/>
                      <w:szCs w:val="21"/>
                    </w:rPr>
                    <w:t>序号</w:t>
                  </w:r>
                </w:p>
              </w:tc>
              <w:tc>
                <w:tcPr>
                  <w:tcW w:w="730" w:type="dxa"/>
                  <w:noWrap w:val="0"/>
                  <w:vAlign w:val="center"/>
                </w:tcPr>
                <w:p w14:paraId="71178777">
                  <w:pPr>
                    <w:pStyle w:val="23"/>
                    <w:adjustRightInd/>
                    <w:jc w:val="center"/>
                    <w:rPr>
                      <w:rFonts w:ascii="Times New Roman" w:hAnsi="Times New Roman"/>
                      <w:color w:val="auto"/>
                      <w:sz w:val="21"/>
                      <w:szCs w:val="21"/>
                    </w:rPr>
                  </w:pPr>
                  <w:r>
                    <w:rPr>
                      <w:rFonts w:ascii="Times New Roman" w:hAnsi="Times New Roman"/>
                      <w:color w:val="auto"/>
                      <w:sz w:val="21"/>
                      <w:szCs w:val="21"/>
                    </w:rPr>
                    <w:t>监测项目</w:t>
                  </w:r>
                </w:p>
              </w:tc>
              <w:tc>
                <w:tcPr>
                  <w:tcW w:w="1543" w:type="dxa"/>
                  <w:noWrap w:val="0"/>
                  <w:vAlign w:val="center"/>
                </w:tcPr>
                <w:p w14:paraId="4C599EC7">
                  <w:pPr>
                    <w:pStyle w:val="23"/>
                    <w:adjustRightInd/>
                    <w:jc w:val="center"/>
                    <w:rPr>
                      <w:rFonts w:ascii="Times New Roman" w:hAnsi="Times New Roman"/>
                      <w:color w:val="auto"/>
                      <w:sz w:val="21"/>
                      <w:szCs w:val="21"/>
                    </w:rPr>
                  </w:pPr>
                  <w:r>
                    <w:rPr>
                      <w:rFonts w:ascii="Times New Roman" w:hAnsi="Times New Roman"/>
                      <w:color w:val="auto"/>
                      <w:sz w:val="21"/>
                      <w:szCs w:val="21"/>
                    </w:rPr>
                    <w:t>主要技术要求</w:t>
                  </w:r>
                </w:p>
              </w:tc>
              <w:tc>
                <w:tcPr>
                  <w:tcW w:w="893" w:type="dxa"/>
                  <w:noWrap w:val="0"/>
                  <w:vAlign w:val="center"/>
                </w:tcPr>
                <w:p w14:paraId="4CD3B0D9">
                  <w:pPr>
                    <w:pStyle w:val="23"/>
                    <w:adjustRightInd/>
                    <w:jc w:val="center"/>
                    <w:rPr>
                      <w:rFonts w:ascii="Times New Roman" w:hAnsi="Times New Roman"/>
                      <w:color w:val="auto"/>
                      <w:sz w:val="21"/>
                      <w:szCs w:val="21"/>
                    </w:rPr>
                  </w:pPr>
                  <w:r>
                    <w:rPr>
                      <w:rFonts w:ascii="Times New Roman" w:hAnsi="Times New Roman"/>
                      <w:color w:val="auto"/>
                      <w:sz w:val="21"/>
                      <w:szCs w:val="21"/>
                    </w:rPr>
                    <w:t>实施单位</w:t>
                  </w:r>
                </w:p>
              </w:tc>
              <w:tc>
                <w:tcPr>
                  <w:tcW w:w="673" w:type="dxa"/>
                  <w:noWrap w:val="0"/>
                  <w:vAlign w:val="center"/>
                </w:tcPr>
                <w:p w14:paraId="679AE778">
                  <w:pPr>
                    <w:pStyle w:val="23"/>
                    <w:adjustRightInd/>
                    <w:jc w:val="center"/>
                    <w:rPr>
                      <w:rFonts w:ascii="Times New Roman" w:hAnsi="Times New Roman"/>
                      <w:color w:val="auto"/>
                      <w:sz w:val="21"/>
                      <w:szCs w:val="21"/>
                    </w:rPr>
                  </w:pPr>
                  <w:r>
                    <w:rPr>
                      <w:rFonts w:ascii="Times New Roman" w:hAnsi="Times New Roman"/>
                      <w:color w:val="auto"/>
                      <w:sz w:val="21"/>
                      <w:szCs w:val="21"/>
                    </w:rPr>
                    <w:t>监督机构</w:t>
                  </w:r>
                </w:p>
              </w:tc>
            </w:tr>
            <w:tr w14:paraId="0C818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dxa"/>
                  <w:noWrap w:val="0"/>
                  <w:vAlign w:val="center"/>
                </w:tcPr>
                <w:p w14:paraId="5B0147F8">
                  <w:pPr>
                    <w:pStyle w:val="23"/>
                    <w:adjustRightInd/>
                    <w:jc w:val="center"/>
                    <w:rPr>
                      <w:rFonts w:ascii="Times New Roman" w:hAnsi="Times New Roman"/>
                      <w:color w:val="auto"/>
                      <w:sz w:val="21"/>
                      <w:szCs w:val="21"/>
                    </w:rPr>
                  </w:pPr>
                  <w:r>
                    <w:rPr>
                      <w:rFonts w:ascii="Times New Roman" w:hAnsi="Times New Roman"/>
                      <w:color w:val="auto"/>
                      <w:sz w:val="21"/>
                      <w:szCs w:val="21"/>
                    </w:rPr>
                    <w:t>1</w:t>
                  </w:r>
                </w:p>
              </w:tc>
              <w:tc>
                <w:tcPr>
                  <w:tcW w:w="730" w:type="dxa"/>
                  <w:noWrap w:val="0"/>
                  <w:vAlign w:val="center"/>
                </w:tcPr>
                <w:p w14:paraId="1F30201A">
                  <w:pPr>
                    <w:pStyle w:val="23"/>
                    <w:adjustRightInd/>
                    <w:jc w:val="center"/>
                    <w:rPr>
                      <w:rFonts w:ascii="Times New Roman" w:hAnsi="Times New Roman"/>
                      <w:color w:val="auto"/>
                      <w:sz w:val="21"/>
                      <w:szCs w:val="21"/>
                    </w:rPr>
                  </w:pPr>
                  <w:r>
                    <w:rPr>
                      <w:rFonts w:ascii="Times New Roman" w:hAnsi="Times New Roman"/>
                      <w:color w:val="auto"/>
                      <w:sz w:val="21"/>
                      <w:szCs w:val="21"/>
                    </w:rPr>
                    <w:t>施工废气</w:t>
                  </w:r>
                </w:p>
              </w:tc>
              <w:tc>
                <w:tcPr>
                  <w:tcW w:w="1543" w:type="dxa"/>
                  <w:noWrap w:val="0"/>
                  <w:vAlign w:val="center"/>
                </w:tcPr>
                <w:p w14:paraId="2A032B7A">
                  <w:pPr>
                    <w:pStyle w:val="23"/>
                    <w:jc w:val="center"/>
                    <w:rPr>
                      <w:rFonts w:ascii="Times New Roman" w:hAnsi="Times New Roman"/>
                      <w:color w:val="auto"/>
                      <w:sz w:val="21"/>
                      <w:szCs w:val="21"/>
                    </w:rPr>
                  </w:pPr>
                  <w:r>
                    <w:rPr>
                      <w:rFonts w:ascii="Times New Roman" w:hAnsi="Times New Roman"/>
                      <w:color w:val="auto"/>
                      <w:sz w:val="21"/>
                      <w:szCs w:val="21"/>
                    </w:rPr>
                    <w:t>1、监测时间及频率：施工期一次</w:t>
                  </w:r>
                </w:p>
                <w:p w14:paraId="337D32E8">
                  <w:pPr>
                    <w:pStyle w:val="23"/>
                    <w:jc w:val="center"/>
                    <w:rPr>
                      <w:rFonts w:ascii="Times New Roman" w:hAnsi="Times New Roman"/>
                      <w:color w:val="auto"/>
                      <w:sz w:val="21"/>
                      <w:szCs w:val="21"/>
                    </w:rPr>
                  </w:pPr>
                  <w:r>
                    <w:rPr>
                      <w:rFonts w:ascii="Times New Roman" w:hAnsi="Times New Roman"/>
                      <w:color w:val="auto"/>
                      <w:sz w:val="21"/>
                      <w:szCs w:val="21"/>
                    </w:rPr>
                    <w:t>2、监测地点：</w:t>
                  </w:r>
                  <w:r>
                    <w:rPr>
                      <w:rFonts w:hint="eastAsia" w:ascii="Times New Roman" w:hAnsi="Times New Roman"/>
                      <w:color w:val="auto"/>
                      <w:sz w:val="21"/>
                      <w:szCs w:val="21"/>
                      <w:lang w:val="en-US" w:eastAsia="zh-CN"/>
                    </w:rPr>
                    <w:t>史圩孜村</w:t>
                  </w:r>
                </w:p>
                <w:p w14:paraId="0A42F0C5">
                  <w:pPr>
                    <w:pStyle w:val="23"/>
                    <w:jc w:val="center"/>
                    <w:rPr>
                      <w:rFonts w:ascii="Times New Roman" w:hAnsi="Times New Roman"/>
                      <w:color w:val="auto"/>
                      <w:sz w:val="21"/>
                      <w:szCs w:val="21"/>
                    </w:rPr>
                  </w:pPr>
                  <w:r>
                    <w:rPr>
                      <w:rFonts w:ascii="Times New Roman" w:hAnsi="Times New Roman"/>
                      <w:color w:val="auto"/>
                      <w:sz w:val="21"/>
                      <w:szCs w:val="21"/>
                    </w:rPr>
                    <w:t>3、监测内容：TSP</w:t>
                  </w:r>
                </w:p>
              </w:tc>
              <w:tc>
                <w:tcPr>
                  <w:tcW w:w="893" w:type="dxa"/>
                  <w:noWrap w:val="0"/>
                  <w:vAlign w:val="center"/>
                </w:tcPr>
                <w:p w14:paraId="46F8FC8F">
                  <w:pPr>
                    <w:pStyle w:val="23"/>
                    <w:jc w:val="center"/>
                    <w:rPr>
                      <w:rFonts w:ascii="Times New Roman" w:hAnsi="Times New Roman"/>
                      <w:color w:val="auto"/>
                      <w:sz w:val="21"/>
                      <w:szCs w:val="21"/>
                    </w:rPr>
                  </w:pPr>
                  <w:r>
                    <w:rPr>
                      <w:rFonts w:ascii="Times New Roman" w:hAnsi="Times New Roman"/>
                      <w:color w:val="auto"/>
                      <w:sz w:val="21"/>
                      <w:szCs w:val="21"/>
                    </w:rPr>
                    <w:t>委托有资质监测单位</w:t>
                  </w:r>
                </w:p>
              </w:tc>
              <w:tc>
                <w:tcPr>
                  <w:tcW w:w="673" w:type="dxa"/>
                  <w:noWrap w:val="0"/>
                  <w:vAlign w:val="center"/>
                </w:tcPr>
                <w:p w14:paraId="47AA4E82">
                  <w:pPr>
                    <w:pStyle w:val="23"/>
                    <w:jc w:val="center"/>
                    <w:rPr>
                      <w:rFonts w:ascii="Times New Roman" w:hAnsi="Times New Roman"/>
                      <w:color w:val="auto"/>
                      <w:sz w:val="21"/>
                      <w:szCs w:val="21"/>
                    </w:rPr>
                  </w:pPr>
                  <w:r>
                    <w:rPr>
                      <w:rFonts w:ascii="Times New Roman" w:hAnsi="Times New Roman"/>
                      <w:color w:val="auto"/>
                      <w:sz w:val="21"/>
                      <w:szCs w:val="21"/>
                    </w:rPr>
                    <w:t>当地生态环境部门</w:t>
                  </w:r>
                </w:p>
              </w:tc>
            </w:tr>
            <w:tr w14:paraId="64B68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dxa"/>
                  <w:noWrap w:val="0"/>
                  <w:vAlign w:val="center"/>
                </w:tcPr>
                <w:p w14:paraId="74ED9E26">
                  <w:pPr>
                    <w:pStyle w:val="23"/>
                    <w:adjustRightInd/>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2</w:t>
                  </w:r>
                </w:p>
              </w:tc>
              <w:tc>
                <w:tcPr>
                  <w:tcW w:w="730" w:type="dxa"/>
                  <w:noWrap w:val="0"/>
                  <w:vAlign w:val="center"/>
                </w:tcPr>
                <w:p w14:paraId="0DB677C3">
                  <w:pPr>
                    <w:pStyle w:val="23"/>
                    <w:adjustRightInd/>
                    <w:jc w:val="center"/>
                    <w:rPr>
                      <w:rFonts w:ascii="Times New Roman" w:hAnsi="Times New Roman"/>
                      <w:color w:val="auto"/>
                      <w:sz w:val="21"/>
                      <w:szCs w:val="21"/>
                    </w:rPr>
                  </w:pPr>
                  <w:r>
                    <w:rPr>
                      <w:rFonts w:ascii="Times New Roman" w:hAnsi="Times New Roman"/>
                      <w:color w:val="auto"/>
                      <w:sz w:val="21"/>
                      <w:szCs w:val="21"/>
                    </w:rPr>
                    <w:t>施工噪声</w:t>
                  </w:r>
                </w:p>
              </w:tc>
              <w:tc>
                <w:tcPr>
                  <w:tcW w:w="1543" w:type="dxa"/>
                  <w:noWrap w:val="0"/>
                  <w:vAlign w:val="center"/>
                </w:tcPr>
                <w:p w14:paraId="5D92DDFD">
                  <w:pPr>
                    <w:pStyle w:val="23"/>
                    <w:jc w:val="center"/>
                    <w:rPr>
                      <w:rFonts w:ascii="Times New Roman" w:hAnsi="Times New Roman"/>
                      <w:color w:val="auto"/>
                      <w:sz w:val="21"/>
                      <w:szCs w:val="21"/>
                    </w:rPr>
                  </w:pPr>
                  <w:r>
                    <w:rPr>
                      <w:rFonts w:ascii="Times New Roman" w:hAnsi="Times New Roman"/>
                      <w:color w:val="auto"/>
                      <w:sz w:val="21"/>
                      <w:szCs w:val="21"/>
                    </w:rPr>
                    <w:t>1、监测项目：声环境质量。</w:t>
                  </w:r>
                </w:p>
                <w:p w14:paraId="5539E46F">
                  <w:pPr>
                    <w:pStyle w:val="23"/>
                    <w:jc w:val="center"/>
                    <w:rPr>
                      <w:rFonts w:ascii="Times New Roman" w:hAnsi="Times New Roman"/>
                      <w:color w:val="auto"/>
                      <w:sz w:val="21"/>
                      <w:szCs w:val="21"/>
                    </w:rPr>
                  </w:pPr>
                  <w:r>
                    <w:rPr>
                      <w:rFonts w:ascii="Times New Roman" w:hAnsi="Times New Roman"/>
                      <w:color w:val="auto"/>
                      <w:sz w:val="21"/>
                      <w:szCs w:val="21"/>
                    </w:rPr>
                    <w:t>2、监测频率：施工期监测一次</w:t>
                  </w:r>
                </w:p>
                <w:p w14:paraId="37484654">
                  <w:pPr>
                    <w:pStyle w:val="23"/>
                    <w:jc w:val="center"/>
                    <w:rPr>
                      <w:rFonts w:hint="default" w:ascii="Times New Roman" w:hAnsi="Times New Roman" w:eastAsia="宋体"/>
                      <w:color w:val="auto"/>
                      <w:sz w:val="21"/>
                      <w:szCs w:val="21"/>
                      <w:lang w:val="en-US" w:eastAsia="zh-CN"/>
                    </w:rPr>
                  </w:pPr>
                  <w:r>
                    <w:rPr>
                      <w:rFonts w:ascii="Times New Roman" w:hAnsi="Times New Roman"/>
                      <w:color w:val="auto"/>
                      <w:sz w:val="21"/>
                      <w:szCs w:val="21"/>
                    </w:rPr>
                    <w:t>3、监测点：</w:t>
                  </w:r>
                  <w:r>
                    <w:rPr>
                      <w:rFonts w:hint="eastAsia" w:ascii="Times New Roman" w:hAnsi="Times New Roman"/>
                      <w:color w:val="auto"/>
                      <w:sz w:val="21"/>
                      <w:szCs w:val="21"/>
                      <w:lang w:val="en-US" w:eastAsia="zh-CN"/>
                    </w:rPr>
                    <w:t>史圩孜村</w:t>
                  </w:r>
                </w:p>
                <w:p w14:paraId="18CA6A61">
                  <w:pPr>
                    <w:pStyle w:val="23"/>
                    <w:adjustRightInd/>
                    <w:jc w:val="center"/>
                    <w:rPr>
                      <w:rFonts w:ascii="Times New Roman" w:hAnsi="Times New Roman"/>
                      <w:color w:val="auto"/>
                      <w:sz w:val="21"/>
                      <w:szCs w:val="21"/>
                    </w:rPr>
                  </w:pPr>
                  <w:r>
                    <w:rPr>
                      <w:rFonts w:ascii="Times New Roman" w:hAnsi="Times New Roman"/>
                      <w:color w:val="auto"/>
                      <w:sz w:val="21"/>
                      <w:szCs w:val="21"/>
                    </w:rPr>
                    <w:t>4、监测内容：等效连续A声级</w:t>
                  </w:r>
                </w:p>
              </w:tc>
              <w:tc>
                <w:tcPr>
                  <w:tcW w:w="893" w:type="dxa"/>
                  <w:noWrap w:val="0"/>
                  <w:vAlign w:val="center"/>
                </w:tcPr>
                <w:p w14:paraId="2D052934">
                  <w:pPr>
                    <w:pStyle w:val="23"/>
                    <w:adjustRightInd/>
                    <w:jc w:val="center"/>
                    <w:rPr>
                      <w:rFonts w:ascii="Times New Roman" w:hAnsi="Times New Roman"/>
                      <w:color w:val="auto"/>
                      <w:sz w:val="21"/>
                      <w:szCs w:val="21"/>
                    </w:rPr>
                  </w:pPr>
                  <w:r>
                    <w:rPr>
                      <w:rFonts w:ascii="Times New Roman" w:hAnsi="Times New Roman"/>
                      <w:color w:val="auto"/>
                      <w:sz w:val="21"/>
                      <w:szCs w:val="21"/>
                    </w:rPr>
                    <w:t>委托有资质监测单位</w:t>
                  </w:r>
                </w:p>
              </w:tc>
              <w:tc>
                <w:tcPr>
                  <w:tcW w:w="673" w:type="dxa"/>
                  <w:noWrap w:val="0"/>
                  <w:vAlign w:val="center"/>
                </w:tcPr>
                <w:p w14:paraId="0FF44F8B">
                  <w:pPr>
                    <w:pStyle w:val="23"/>
                    <w:adjustRightInd/>
                    <w:jc w:val="center"/>
                    <w:rPr>
                      <w:rFonts w:ascii="Times New Roman" w:hAnsi="Times New Roman"/>
                      <w:color w:val="auto"/>
                      <w:sz w:val="21"/>
                      <w:szCs w:val="21"/>
                    </w:rPr>
                  </w:pPr>
                  <w:r>
                    <w:rPr>
                      <w:rFonts w:ascii="Times New Roman" w:hAnsi="Times New Roman"/>
                      <w:color w:val="auto"/>
                      <w:sz w:val="21"/>
                      <w:szCs w:val="21"/>
                    </w:rPr>
                    <w:t>当地生态环境部门</w:t>
                  </w:r>
                </w:p>
              </w:tc>
            </w:tr>
            <w:tr w14:paraId="58F50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dxa"/>
                  <w:noWrap w:val="0"/>
                  <w:vAlign w:val="center"/>
                </w:tcPr>
                <w:p w14:paraId="685EB0DA">
                  <w:pPr>
                    <w:pStyle w:val="23"/>
                    <w:adjustRightInd/>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3</w:t>
                  </w:r>
                </w:p>
              </w:tc>
              <w:tc>
                <w:tcPr>
                  <w:tcW w:w="730" w:type="dxa"/>
                  <w:noWrap w:val="0"/>
                  <w:vAlign w:val="center"/>
                </w:tcPr>
                <w:p w14:paraId="0BFF6A90">
                  <w:pPr>
                    <w:pStyle w:val="23"/>
                    <w:adjustRightInd/>
                    <w:jc w:val="center"/>
                    <w:rPr>
                      <w:rFonts w:ascii="Times New Roman" w:hAnsi="Times New Roman"/>
                      <w:color w:val="auto"/>
                      <w:sz w:val="21"/>
                      <w:szCs w:val="21"/>
                    </w:rPr>
                  </w:pPr>
                  <w:r>
                    <w:rPr>
                      <w:rFonts w:ascii="Times New Roman" w:hAnsi="Times New Roman"/>
                      <w:color w:val="auto"/>
                      <w:sz w:val="21"/>
                      <w:szCs w:val="21"/>
                    </w:rPr>
                    <w:t>固体废物</w:t>
                  </w:r>
                </w:p>
              </w:tc>
              <w:tc>
                <w:tcPr>
                  <w:tcW w:w="1543" w:type="dxa"/>
                  <w:noWrap w:val="0"/>
                  <w:vAlign w:val="center"/>
                </w:tcPr>
                <w:p w14:paraId="56097F1E">
                  <w:pPr>
                    <w:pStyle w:val="23"/>
                    <w:jc w:val="center"/>
                    <w:rPr>
                      <w:rFonts w:ascii="Times New Roman" w:hAnsi="Times New Roman"/>
                      <w:color w:val="auto"/>
                      <w:sz w:val="21"/>
                      <w:szCs w:val="21"/>
                    </w:rPr>
                  </w:pPr>
                  <w:r>
                    <w:rPr>
                      <w:rFonts w:ascii="Times New Roman" w:hAnsi="Times New Roman"/>
                      <w:color w:val="auto"/>
                      <w:sz w:val="21"/>
                      <w:szCs w:val="21"/>
                    </w:rPr>
                    <w:t>对施工作业场地内产生的生活垃圾、废弃泥浆处理进行随机检查</w:t>
                  </w:r>
                </w:p>
              </w:tc>
              <w:tc>
                <w:tcPr>
                  <w:tcW w:w="893" w:type="dxa"/>
                  <w:noWrap w:val="0"/>
                  <w:vAlign w:val="center"/>
                </w:tcPr>
                <w:p w14:paraId="7A22407B">
                  <w:pPr>
                    <w:pStyle w:val="23"/>
                    <w:jc w:val="center"/>
                    <w:rPr>
                      <w:rFonts w:ascii="Times New Roman" w:hAnsi="Times New Roman"/>
                      <w:color w:val="auto"/>
                      <w:sz w:val="21"/>
                      <w:szCs w:val="21"/>
                    </w:rPr>
                  </w:pPr>
                  <w:r>
                    <w:rPr>
                      <w:rFonts w:ascii="Times New Roman" w:hAnsi="Times New Roman"/>
                      <w:color w:val="auto"/>
                      <w:sz w:val="21"/>
                      <w:szCs w:val="21"/>
                    </w:rPr>
                    <w:t>建设单位委托的监理单位</w:t>
                  </w:r>
                </w:p>
              </w:tc>
              <w:tc>
                <w:tcPr>
                  <w:tcW w:w="673" w:type="dxa"/>
                  <w:noWrap w:val="0"/>
                  <w:vAlign w:val="center"/>
                </w:tcPr>
                <w:p w14:paraId="110DC4E7">
                  <w:pPr>
                    <w:pStyle w:val="23"/>
                    <w:adjustRightInd/>
                    <w:jc w:val="center"/>
                    <w:rPr>
                      <w:rFonts w:ascii="Times New Roman" w:hAnsi="Times New Roman"/>
                      <w:color w:val="auto"/>
                      <w:sz w:val="21"/>
                      <w:szCs w:val="21"/>
                    </w:rPr>
                  </w:pPr>
                  <w:r>
                    <w:rPr>
                      <w:rFonts w:ascii="Times New Roman" w:hAnsi="Times New Roman"/>
                      <w:color w:val="auto"/>
                      <w:sz w:val="21"/>
                      <w:szCs w:val="21"/>
                    </w:rPr>
                    <w:t>当地生态环境部门</w:t>
                  </w:r>
                </w:p>
              </w:tc>
            </w:tr>
            <w:tr w14:paraId="345E3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dxa"/>
                  <w:noWrap w:val="0"/>
                  <w:vAlign w:val="center"/>
                </w:tcPr>
                <w:p w14:paraId="4F13AA30">
                  <w:pPr>
                    <w:pStyle w:val="23"/>
                    <w:adjustRightInd/>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4</w:t>
                  </w:r>
                </w:p>
              </w:tc>
              <w:tc>
                <w:tcPr>
                  <w:tcW w:w="730" w:type="dxa"/>
                  <w:noWrap w:val="0"/>
                  <w:vAlign w:val="center"/>
                </w:tcPr>
                <w:p w14:paraId="107F0346">
                  <w:pPr>
                    <w:pStyle w:val="23"/>
                    <w:adjustRightInd/>
                    <w:jc w:val="center"/>
                    <w:rPr>
                      <w:rFonts w:ascii="Times New Roman" w:hAnsi="Times New Roman"/>
                      <w:color w:val="auto"/>
                      <w:sz w:val="21"/>
                      <w:szCs w:val="21"/>
                    </w:rPr>
                  </w:pPr>
                  <w:r>
                    <w:rPr>
                      <w:rFonts w:ascii="Times New Roman" w:hAnsi="Times New Roman"/>
                      <w:color w:val="auto"/>
                      <w:sz w:val="21"/>
                      <w:szCs w:val="21"/>
                    </w:rPr>
                    <w:t>生态环境</w:t>
                  </w:r>
                </w:p>
              </w:tc>
              <w:tc>
                <w:tcPr>
                  <w:tcW w:w="1543" w:type="dxa"/>
                  <w:noWrap w:val="0"/>
                  <w:vAlign w:val="center"/>
                </w:tcPr>
                <w:p w14:paraId="02B8F334">
                  <w:pPr>
                    <w:pStyle w:val="23"/>
                    <w:jc w:val="center"/>
                    <w:rPr>
                      <w:rFonts w:ascii="Times New Roman" w:hAnsi="Times New Roman"/>
                      <w:color w:val="auto"/>
                      <w:sz w:val="21"/>
                      <w:szCs w:val="21"/>
                    </w:rPr>
                  </w:pPr>
                  <w:r>
                    <w:rPr>
                      <w:rFonts w:ascii="Times New Roman" w:hAnsi="Times New Roman"/>
                      <w:color w:val="auto"/>
                      <w:sz w:val="21"/>
                      <w:szCs w:val="21"/>
                    </w:rPr>
                    <w:t>1</w:t>
                  </w:r>
                  <w:r>
                    <w:rPr>
                      <w:rFonts w:hint="eastAsia" w:ascii="Times New Roman" w:hAnsi="Times New Roman"/>
                      <w:color w:val="auto"/>
                      <w:sz w:val="21"/>
                      <w:szCs w:val="21"/>
                      <w:lang w:eastAsia="zh-CN"/>
                    </w:rPr>
                    <w:t>、</w:t>
                  </w:r>
                  <w:r>
                    <w:rPr>
                      <w:rFonts w:ascii="Times New Roman" w:hAnsi="Times New Roman"/>
                      <w:color w:val="auto"/>
                      <w:sz w:val="21"/>
                      <w:szCs w:val="21"/>
                    </w:rPr>
                    <w:t>监控项目：施工结束后，施工现场的弃土、石、渣等垃圾和生态环境恢复情况。</w:t>
                  </w:r>
                </w:p>
                <w:p w14:paraId="04A920F2">
                  <w:pPr>
                    <w:pStyle w:val="23"/>
                    <w:jc w:val="center"/>
                    <w:rPr>
                      <w:rFonts w:ascii="Times New Roman" w:hAnsi="Times New Roman"/>
                      <w:color w:val="auto"/>
                      <w:sz w:val="21"/>
                      <w:szCs w:val="21"/>
                    </w:rPr>
                  </w:pPr>
                  <w:r>
                    <w:rPr>
                      <w:rFonts w:ascii="Times New Roman" w:hAnsi="Times New Roman"/>
                      <w:color w:val="auto"/>
                      <w:sz w:val="21"/>
                      <w:szCs w:val="21"/>
                    </w:rPr>
                    <w:t>2</w:t>
                  </w:r>
                  <w:r>
                    <w:rPr>
                      <w:rFonts w:hint="eastAsia" w:ascii="Times New Roman" w:hAnsi="Times New Roman"/>
                      <w:color w:val="auto"/>
                      <w:sz w:val="21"/>
                      <w:szCs w:val="21"/>
                      <w:lang w:eastAsia="zh-CN"/>
                    </w:rPr>
                    <w:t>、</w:t>
                  </w:r>
                  <w:r>
                    <w:rPr>
                      <w:rFonts w:ascii="Times New Roman" w:hAnsi="Times New Roman"/>
                      <w:color w:val="auto"/>
                      <w:sz w:val="21"/>
                      <w:szCs w:val="21"/>
                    </w:rPr>
                    <w:t>监测频率：施工结束后1次。</w:t>
                  </w:r>
                </w:p>
                <w:p w14:paraId="6B22F4F4">
                  <w:pPr>
                    <w:pStyle w:val="23"/>
                    <w:adjustRightInd/>
                    <w:jc w:val="center"/>
                    <w:rPr>
                      <w:rFonts w:ascii="Times New Roman" w:hAnsi="Times New Roman"/>
                      <w:color w:val="auto"/>
                      <w:sz w:val="21"/>
                      <w:szCs w:val="21"/>
                    </w:rPr>
                  </w:pPr>
                  <w:r>
                    <w:rPr>
                      <w:rFonts w:ascii="Times New Roman" w:hAnsi="Times New Roman"/>
                      <w:color w:val="auto"/>
                      <w:sz w:val="21"/>
                      <w:szCs w:val="21"/>
                    </w:rPr>
                    <w:t>3</w:t>
                  </w:r>
                  <w:r>
                    <w:rPr>
                      <w:rFonts w:hint="eastAsia" w:ascii="Times New Roman" w:hAnsi="Times New Roman"/>
                      <w:color w:val="auto"/>
                      <w:sz w:val="21"/>
                      <w:szCs w:val="21"/>
                      <w:lang w:eastAsia="zh-CN"/>
                    </w:rPr>
                    <w:t>、</w:t>
                  </w:r>
                  <w:r>
                    <w:rPr>
                      <w:rFonts w:ascii="Times New Roman" w:hAnsi="Times New Roman"/>
                      <w:color w:val="auto"/>
                      <w:sz w:val="21"/>
                      <w:szCs w:val="21"/>
                    </w:rPr>
                    <w:t>监测点：项目涉及的各井场。</w:t>
                  </w:r>
                </w:p>
              </w:tc>
              <w:tc>
                <w:tcPr>
                  <w:tcW w:w="893" w:type="dxa"/>
                  <w:noWrap w:val="0"/>
                  <w:vAlign w:val="center"/>
                </w:tcPr>
                <w:p w14:paraId="70D3207C">
                  <w:pPr>
                    <w:pStyle w:val="23"/>
                    <w:jc w:val="center"/>
                    <w:rPr>
                      <w:rFonts w:ascii="Times New Roman" w:hAnsi="Times New Roman"/>
                      <w:color w:val="auto"/>
                      <w:sz w:val="21"/>
                      <w:szCs w:val="21"/>
                    </w:rPr>
                  </w:pPr>
                  <w:r>
                    <w:rPr>
                      <w:rFonts w:ascii="Times New Roman" w:hAnsi="Times New Roman"/>
                      <w:color w:val="auto"/>
                      <w:sz w:val="21"/>
                      <w:szCs w:val="21"/>
                    </w:rPr>
                    <w:t>施工单位和建设单位、环境管理机构</w:t>
                  </w:r>
                </w:p>
              </w:tc>
              <w:tc>
                <w:tcPr>
                  <w:tcW w:w="673" w:type="dxa"/>
                  <w:noWrap w:val="0"/>
                  <w:vAlign w:val="center"/>
                </w:tcPr>
                <w:p w14:paraId="5A0EB0D9">
                  <w:pPr>
                    <w:pStyle w:val="23"/>
                    <w:adjustRightInd/>
                    <w:jc w:val="center"/>
                    <w:rPr>
                      <w:rFonts w:ascii="Times New Roman" w:hAnsi="Times New Roman"/>
                      <w:color w:val="auto"/>
                      <w:sz w:val="21"/>
                      <w:szCs w:val="21"/>
                    </w:rPr>
                  </w:pPr>
                  <w:r>
                    <w:rPr>
                      <w:rFonts w:ascii="Times New Roman" w:hAnsi="Times New Roman"/>
                      <w:color w:val="auto"/>
                      <w:sz w:val="21"/>
                      <w:szCs w:val="21"/>
                    </w:rPr>
                    <w:t>当地生态环境部门</w:t>
                  </w:r>
                </w:p>
              </w:tc>
            </w:tr>
            <w:tr w14:paraId="6975B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dxa"/>
                  <w:noWrap w:val="0"/>
                  <w:vAlign w:val="center"/>
                </w:tcPr>
                <w:p w14:paraId="7B7F3DD5">
                  <w:pPr>
                    <w:pStyle w:val="23"/>
                    <w:adjustRightInd/>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5</w:t>
                  </w:r>
                </w:p>
              </w:tc>
              <w:tc>
                <w:tcPr>
                  <w:tcW w:w="730" w:type="dxa"/>
                  <w:noWrap w:val="0"/>
                  <w:vAlign w:val="center"/>
                </w:tcPr>
                <w:p w14:paraId="2AE9BF59">
                  <w:pPr>
                    <w:pStyle w:val="23"/>
                    <w:jc w:val="center"/>
                    <w:rPr>
                      <w:rFonts w:ascii="Times New Roman" w:hAnsi="Times New Roman"/>
                      <w:color w:val="auto"/>
                      <w:sz w:val="21"/>
                      <w:szCs w:val="21"/>
                    </w:rPr>
                  </w:pPr>
                  <w:r>
                    <w:rPr>
                      <w:rFonts w:ascii="Times New Roman" w:hAnsi="Times New Roman"/>
                      <w:color w:val="auto"/>
                      <w:sz w:val="21"/>
                      <w:szCs w:val="21"/>
                    </w:rPr>
                    <w:t>事故性监测</w:t>
                  </w:r>
                </w:p>
              </w:tc>
              <w:tc>
                <w:tcPr>
                  <w:tcW w:w="1543" w:type="dxa"/>
                  <w:noWrap w:val="0"/>
                  <w:vAlign w:val="center"/>
                </w:tcPr>
                <w:p w14:paraId="1D109BA2">
                  <w:pPr>
                    <w:pStyle w:val="23"/>
                    <w:rPr>
                      <w:rFonts w:ascii="Times New Roman" w:hAnsi="Times New Roman"/>
                      <w:color w:val="auto"/>
                      <w:sz w:val="21"/>
                      <w:szCs w:val="21"/>
                    </w:rPr>
                  </w:pPr>
                  <w:r>
                    <w:rPr>
                      <w:rFonts w:ascii="Times New Roman" w:hAnsi="Times New Roman"/>
                      <w:color w:val="auto"/>
                      <w:sz w:val="21"/>
                      <w:szCs w:val="21"/>
                    </w:rPr>
                    <w:t>根据事故性质、事故影响的大小，视具体情况监测气、水等</w:t>
                  </w:r>
                </w:p>
              </w:tc>
              <w:tc>
                <w:tcPr>
                  <w:tcW w:w="893" w:type="dxa"/>
                  <w:noWrap w:val="0"/>
                  <w:vAlign w:val="center"/>
                </w:tcPr>
                <w:p w14:paraId="3660ADF5">
                  <w:pPr>
                    <w:pStyle w:val="23"/>
                    <w:jc w:val="center"/>
                    <w:rPr>
                      <w:rFonts w:ascii="Times New Roman" w:hAnsi="Times New Roman"/>
                      <w:color w:val="auto"/>
                      <w:sz w:val="21"/>
                      <w:szCs w:val="21"/>
                    </w:rPr>
                  </w:pPr>
                  <w:r>
                    <w:rPr>
                      <w:rFonts w:ascii="Times New Roman" w:hAnsi="Times New Roman"/>
                      <w:color w:val="auto"/>
                      <w:sz w:val="21"/>
                      <w:szCs w:val="21"/>
                    </w:rPr>
                    <w:t>委托有资质监测单位</w:t>
                  </w:r>
                </w:p>
              </w:tc>
              <w:tc>
                <w:tcPr>
                  <w:tcW w:w="673" w:type="dxa"/>
                  <w:noWrap w:val="0"/>
                  <w:vAlign w:val="center"/>
                </w:tcPr>
                <w:p w14:paraId="13A119CA">
                  <w:pPr>
                    <w:pStyle w:val="23"/>
                    <w:adjustRightInd/>
                    <w:jc w:val="center"/>
                    <w:rPr>
                      <w:rFonts w:ascii="Times New Roman" w:hAnsi="Times New Roman"/>
                      <w:color w:val="auto"/>
                      <w:sz w:val="21"/>
                      <w:szCs w:val="21"/>
                    </w:rPr>
                  </w:pPr>
                  <w:r>
                    <w:rPr>
                      <w:rFonts w:ascii="Times New Roman" w:hAnsi="Times New Roman"/>
                      <w:color w:val="auto"/>
                      <w:sz w:val="21"/>
                      <w:szCs w:val="21"/>
                    </w:rPr>
                    <w:t>当地生态环境部门</w:t>
                  </w:r>
                </w:p>
              </w:tc>
            </w:tr>
          </w:tbl>
          <w:p w14:paraId="21AE00A4">
            <w:pPr>
              <w:jc w:val="center"/>
              <w:rPr>
                <w:rFonts w:ascii="Times New Roman" w:hAnsi="Times New Roman"/>
                <w:color w:val="auto"/>
                <w:szCs w:val="21"/>
              </w:rPr>
            </w:pPr>
          </w:p>
        </w:tc>
        <w:tc>
          <w:tcPr>
            <w:tcW w:w="1174" w:type="dxa"/>
            <w:noWrap w:val="0"/>
            <w:vAlign w:val="center"/>
          </w:tcPr>
          <w:p w14:paraId="05E39A20">
            <w:pPr>
              <w:jc w:val="center"/>
              <w:rPr>
                <w:rFonts w:ascii="Times New Roman" w:hAnsi="Times New Roman"/>
                <w:color w:val="auto"/>
                <w:szCs w:val="21"/>
              </w:rPr>
            </w:pPr>
            <w:r>
              <w:rPr>
                <w:rFonts w:ascii="Times New Roman" w:hAnsi="Times New Roman"/>
                <w:color w:val="auto"/>
              </w:rPr>
              <w:t>对作业场所的控制监测，主要监测对象有土壤、植被、施工作业废气、噪声等，确保达标排放</w:t>
            </w:r>
          </w:p>
        </w:tc>
        <w:tc>
          <w:tcPr>
            <w:tcW w:w="852" w:type="dxa"/>
            <w:noWrap w:val="0"/>
            <w:vAlign w:val="center"/>
          </w:tcPr>
          <w:p w14:paraId="52503720">
            <w:pPr>
              <w:jc w:val="center"/>
              <w:rPr>
                <w:rFonts w:ascii="Times New Roman" w:hAnsi="Times New Roman"/>
                <w:color w:val="auto"/>
                <w:szCs w:val="21"/>
              </w:rPr>
            </w:pPr>
            <w:r>
              <w:rPr>
                <w:rFonts w:ascii="Times New Roman" w:hAnsi="Times New Roman"/>
                <w:color w:val="auto"/>
                <w:szCs w:val="21"/>
              </w:rPr>
              <w:t>/</w:t>
            </w:r>
          </w:p>
        </w:tc>
        <w:tc>
          <w:tcPr>
            <w:tcW w:w="757" w:type="dxa"/>
            <w:noWrap w:val="0"/>
            <w:vAlign w:val="center"/>
          </w:tcPr>
          <w:p w14:paraId="201D026B">
            <w:pPr>
              <w:jc w:val="center"/>
              <w:rPr>
                <w:rFonts w:ascii="Times New Roman" w:hAnsi="Times New Roman"/>
                <w:color w:val="auto"/>
                <w:szCs w:val="21"/>
              </w:rPr>
            </w:pPr>
            <w:r>
              <w:rPr>
                <w:rFonts w:ascii="Times New Roman" w:hAnsi="Times New Roman"/>
                <w:color w:val="auto"/>
                <w:szCs w:val="21"/>
              </w:rPr>
              <w:t>/</w:t>
            </w:r>
          </w:p>
        </w:tc>
      </w:tr>
      <w:tr w14:paraId="247A2C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75" w:hRule="atLeast"/>
          <w:jc w:val="center"/>
        </w:trPr>
        <w:tc>
          <w:tcPr>
            <w:tcW w:w="1243" w:type="dxa"/>
            <w:noWrap w:val="0"/>
            <w:vAlign w:val="center"/>
          </w:tcPr>
          <w:p w14:paraId="3E628DF2">
            <w:pPr>
              <w:jc w:val="center"/>
              <w:rPr>
                <w:rFonts w:ascii="Times New Roman" w:hAnsi="Times New Roman"/>
                <w:color w:val="auto"/>
                <w:szCs w:val="21"/>
              </w:rPr>
            </w:pPr>
            <w:r>
              <w:rPr>
                <w:rFonts w:ascii="Times New Roman" w:hAnsi="Times New Roman"/>
                <w:color w:val="auto"/>
                <w:szCs w:val="21"/>
              </w:rPr>
              <w:t>其他</w:t>
            </w:r>
          </w:p>
        </w:tc>
        <w:tc>
          <w:tcPr>
            <w:tcW w:w="4496" w:type="dxa"/>
            <w:gridSpan w:val="2"/>
            <w:noWrap w:val="0"/>
            <w:vAlign w:val="center"/>
          </w:tcPr>
          <w:p w14:paraId="0161486D">
            <w:pPr>
              <w:jc w:val="center"/>
              <w:rPr>
                <w:rFonts w:ascii="Times New Roman" w:hAnsi="Times New Roman"/>
                <w:color w:val="auto"/>
                <w:szCs w:val="21"/>
              </w:rPr>
            </w:pPr>
            <w:r>
              <w:rPr>
                <w:rFonts w:ascii="Times New Roman" w:hAnsi="Times New Roman"/>
                <w:color w:val="auto"/>
                <w:szCs w:val="21"/>
              </w:rPr>
              <w:t>设专人负责监督施工单位在施工过程中的环境保护工作，同时监督施工单位落实环境保护措施</w:t>
            </w:r>
          </w:p>
        </w:tc>
        <w:tc>
          <w:tcPr>
            <w:tcW w:w="1174" w:type="dxa"/>
            <w:noWrap w:val="0"/>
            <w:vAlign w:val="center"/>
          </w:tcPr>
          <w:p w14:paraId="67E1F9F2">
            <w:pPr>
              <w:jc w:val="center"/>
              <w:rPr>
                <w:rFonts w:ascii="Times New Roman" w:hAnsi="Times New Roman"/>
                <w:color w:val="auto"/>
                <w:szCs w:val="21"/>
              </w:rPr>
            </w:pPr>
            <w:r>
              <w:rPr>
                <w:rFonts w:ascii="Times New Roman" w:hAnsi="Times New Roman"/>
                <w:color w:val="auto"/>
                <w:szCs w:val="21"/>
              </w:rPr>
              <w:t>监理日志存档可查</w:t>
            </w:r>
          </w:p>
        </w:tc>
        <w:tc>
          <w:tcPr>
            <w:tcW w:w="852" w:type="dxa"/>
            <w:noWrap w:val="0"/>
            <w:vAlign w:val="center"/>
          </w:tcPr>
          <w:p w14:paraId="6D1BA02B">
            <w:pPr>
              <w:jc w:val="center"/>
              <w:rPr>
                <w:rFonts w:ascii="Times New Roman" w:hAnsi="Times New Roman"/>
                <w:color w:val="auto"/>
                <w:szCs w:val="21"/>
              </w:rPr>
            </w:pPr>
            <w:r>
              <w:rPr>
                <w:rFonts w:ascii="Times New Roman" w:hAnsi="Times New Roman"/>
                <w:color w:val="auto"/>
                <w:szCs w:val="21"/>
              </w:rPr>
              <w:t>/</w:t>
            </w:r>
          </w:p>
        </w:tc>
        <w:tc>
          <w:tcPr>
            <w:tcW w:w="757" w:type="dxa"/>
            <w:noWrap w:val="0"/>
            <w:vAlign w:val="center"/>
          </w:tcPr>
          <w:p w14:paraId="36490123">
            <w:pPr>
              <w:jc w:val="center"/>
              <w:rPr>
                <w:rFonts w:ascii="Times New Roman" w:hAnsi="Times New Roman"/>
                <w:color w:val="auto"/>
                <w:szCs w:val="21"/>
              </w:rPr>
            </w:pPr>
            <w:r>
              <w:rPr>
                <w:rFonts w:ascii="Times New Roman" w:hAnsi="Times New Roman"/>
                <w:color w:val="auto"/>
                <w:szCs w:val="21"/>
              </w:rPr>
              <w:t>/</w:t>
            </w:r>
          </w:p>
        </w:tc>
      </w:tr>
    </w:tbl>
    <w:p w14:paraId="7F273ECD">
      <w:pPr>
        <w:bidi w:val="0"/>
        <w:rPr>
          <w:color w:val="auto"/>
        </w:rPr>
      </w:pPr>
    </w:p>
    <w:p w14:paraId="5CF76D0C">
      <w:pPr>
        <w:bidi w:val="0"/>
        <w:rPr>
          <w:color w:val="auto"/>
        </w:rPr>
      </w:pPr>
      <w:r>
        <w:rPr>
          <w:color w:val="auto"/>
        </w:rPr>
        <w:br w:type="page"/>
      </w:r>
    </w:p>
    <w:p w14:paraId="14139004">
      <w:pPr>
        <w:pStyle w:val="16"/>
        <w:spacing w:before="192" w:beforeLines="80" w:beforeAutospacing="0"/>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七、结论</w:t>
      </w:r>
    </w:p>
    <w:tbl>
      <w:tblPr>
        <w:tblStyle w:val="17"/>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14"/>
      </w:tblGrid>
      <w:tr w14:paraId="49E1F2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trPr>
        <w:tc>
          <w:tcPr>
            <w:tcW w:w="8714" w:type="dxa"/>
            <w:noWrap w:val="0"/>
            <w:vAlign w:val="top"/>
          </w:tcPr>
          <w:p w14:paraId="6CF15234">
            <w:pPr>
              <w:spacing w:line="360" w:lineRule="auto"/>
              <w:ind w:firstLine="482"/>
              <w:rPr>
                <w:rFonts w:ascii="Times New Roman" w:hAnsi="Times New Roman"/>
                <w:b/>
                <w:bCs/>
                <w:color w:val="auto"/>
                <w:sz w:val="24"/>
              </w:rPr>
            </w:pPr>
            <w:r>
              <w:rPr>
                <w:rFonts w:ascii="Times New Roman" w:hAnsi="Times New Roman"/>
                <w:b/>
                <w:bCs/>
                <w:color w:val="auto"/>
                <w:sz w:val="24"/>
              </w:rPr>
              <w:t>综上所述，中安联合煤化有限责任公司“</w:t>
            </w:r>
            <w:r>
              <w:rPr>
                <w:rFonts w:hint="eastAsia" w:ascii="Times New Roman" w:hAnsi="Times New Roman"/>
                <w:b/>
                <w:bCs/>
                <w:color w:val="auto"/>
                <w:sz w:val="24"/>
              </w:rPr>
              <w:t>朱集西煤矿11404工作面地面钻井项目</w:t>
            </w:r>
            <w:r>
              <w:rPr>
                <w:rFonts w:ascii="Times New Roman" w:hAnsi="Times New Roman"/>
                <w:b/>
                <w:bCs/>
                <w:color w:val="auto"/>
                <w:sz w:val="24"/>
              </w:rPr>
              <w:t>”项目建设符合相关产业政策的要求，选址符合相关规划要求，选址合理，采取的各项污染防治措施可行，能够实现达标排放和总量控制要求，对环境影响较小。只要认真落实报告表提出的各项污染防治措施，从环保角度来看，该项目建设是可行的。</w:t>
            </w:r>
          </w:p>
          <w:p w14:paraId="54BC3EC5">
            <w:pPr>
              <w:adjustRightInd w:val="0"/>
              <w:snapToGrid w:val="0"/>
              <w:ind w:firstLine="315"/>
              <w:rPr>
                <w:rFonts w:ascii="Times New Roman" w:hAnsi="Times New Roman"/>
                <w:color w:val="auto"/>
                <w:szCs w:val="21"/>
              </w:rPr>
            </w:pPr>
          </w:p>
        </w:tc>
      </w:tr>
    </w:tbl>
    <w:p w14:paraId="53388FAD">
      <w:pPr>
        <w:rPr>
          <w:rFonts w:ascii="Times New Roman" w:hAnsi="Times New Roman"/>
          <w:color w:val="auto"/>
        </w:rPr>
      </w:pPr>
    </w:p>
    <w:p w14:paraId="7C77FF40">
      <w:pPr>
        <w:rPr>
          <w:color w:val="auto"/>
        </w:rPr>
      </w:pPr>
    </w:p>
    <w:sectPr>
      <w:pgSz w:w="11906" w:h="16838"/>
      <w:pgMar w:top="1440" w:right="1800" w:bottom="1440" w:left="1800" w:header="851" w:footer="1077"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crosoft Uighur">
    <w:altName w:val="Trebuchet MS"/>
    <w:panose1 w:val="02000000000000000000"/>
    <w:charset w:val="00"/>
    <w:family w:val="auto"/>
    <w:pitch w:val="default"/>
    <w:sig w:usb0="00000000" w:usb1="00000000" w:usb2="00000008" w:usb3="00000000" w:csb0="00000041" w:csb1="00000000"/>
  </w:font>
  <w:font w:name="Trebuchet MS">
    <w:panose1 w:val="020B0603020202020204"/>
    <w:charset w:val="00"/>
    <w:family w:val="auto"/>
    <w:pitch w:val="default"/>
    <w:sig w:usb0="00000687" w:usb1="00000000" w:usb2="00000000" w:usb3="00000000" w:csb0="200000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Wingdings 2">
    <w:altName w:val="Wingdings"/>
    <w:panose1 w:val="05020102010507070707"/>
    <w:charset w:val="02"/>
    <w:family w:val="roman"/>
    <w:pitch w:val="default"/>
    <w:sig w:usb0="00000000" w:usb1="00000000" w:usb2="00000000" w:usb3="00000000" w:csb0="80000000" w:csb1="00000000"/>
  </w:font>
  <w:font w:name="Kingsoft UE">
    <w:altName w:val="XcGJSymbol"/>
    <w:panose1 w:val="00000000000000000000"/>
    <w:charset w:val="00"/>
    <w:family w:val="auto"/>
    <w:pitch w:val="default"/>
    <w:sig w:usb0="00000000" w:usb1="00000000" w:usb2="00000000" w:usb3="00000000" w:csb0="00000000" w:csb1="00000000"/>
  </w:font>
  <w:font w:name="XcGJSymbol">
    <w:panose1 w:val="02000500000000000000"/>
    <w:charset w:val="00"/>
    <w:family w:val="auto"/>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F593A">
    <w:pPr>
      <w:pStyle w:val="14"/>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15F5C">
    <w:pPr>
      <w:pStyle w:val="14"/>
      <w:framePr w:wrap="around" w:vAnchor="text" w:hAnchor="margin" w:xAlign="outside" w:y="1"/>
      <w:rPr>
        <w:rStyle w:val="20"/>
      </w:rPr>
    </w:pPr>
    <w:r>
      <w:fldChar w:fldCharType="begin"/>
    </w:r>
    <w:r>
      <w:rPr>
        <w:rStyle w:val="20"/>
      </w:rPr>
      <w:instrText xml:space="preserve">PAGE  </w:instrText>
    </w:r>
    <w:r>
      <w:fldChar w:fldCharType="end"/>
    </w:r>
  </w:p>
  <w:p w14:paraId="69F03E0F">
    <w:pPr>
      <w:pStyle w:val="1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E0B29">
    <w:pPr>
      <w:pStyle w:val="14"/>
      <w:snapToGrid/>
      <w:jc w:val="center"/>
    </w:pPr>
    <w:r>
      <w:fldChar w:fldCharType="begin"/>
    </w:r>
    <w:r>
      <w:instrText xml:space="preserve"> PAGE   \* MERGEFORMAT </w:instrText>
    </w:r>
    <w:r>
      <w:fldChar w:fldCharType="separate"/>
    </w:r>
    <w:r>
      <w:rPr>
        <w:lang w:val="zh-CN"/>
      </w:rPr>
      <w:t>1</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7B6817"/>
    <w:multiLevelType w:val="singleLevel"/>
    <w:tmpl w:val="A97B6817"/>
    <w:lvl w:ilvl="0" w:tentative="0">
      <w:start w:val="2"/>
      <w:numFmt w:val="decimal"/>
      <w:suff w:val="nothing"/>
      <w:lvlText w:val="（%1）"/>
      <w:lvlJc w:val="left"/>
    </w:lvl>
  </w:abstractNum>
  <w:abstractNum w:abstractNumId="1">
    <w:nsid w:val="CD2B83F4"/>
    <w:multiLevelType w:val="singleLevel"/>
    <w:tmpl w:val="CD2B83F4"/>
    <w:lvl w:ilvl="0" w:tentative="0">
      <w:start w:val="2"/>
      <w:numFmt w:val="chineseCounting"/>
      <w:suff w:val="nothing"/>
      <w:lvlText w:val="%1、"/>
      <w:lvlJc w:val="left"/>
      <w:rPr>
        <w:rFonts w:hint="eastAsia"/>
      </w:rPr>
    </w:lvl>
  </w:abstractNum>
  <w:abstractNum w:abstractNumId="2">
    <w:nsid w:val="D0736DBE"/>
    <w:multiLevelType w:val="singleLevel"/>
    <w:tmpl w:val="D0736DBE"/>
    <w:lvl w:ilvl="0" w:tentative="0">
      <w:start w:val="4"/>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A64C4"/>
    <w:rsid w:val="006360BD"/>
    <w:rsid w:val="010549E3"/>
    <w:rsid w:val="010A6538"/>
    <w:rsid w:val="01E94899"/>
    <w:rsid w:val="0200793B"/>
    <w:rsid w:val="03247659"/>
    <w:rsid w:val="03B44E81"/>
    <w:rsid w:val="03E868D9"/>
    <w:rsid w:val="045320D8"/>
    <w:rsid w:val="049C0645"/>
    <w:rsid w:val="04CA4DE0"/>
    <w:rsid w:val="05137986"/>
    <w:rsid w:val="051F1C74"/>
    <w:rsid w:val="052D4EEB"/>
    <w:rsid w:val="056F1060"/>
    <w:rsid w:val="05777F14"/>
    <w:rsid w:val="062818A1"/>
    <w:rsid w:val="067803E8"/>
    <w:rsid w:val="07140111"/>
    <w:rsid w:val="071579E5"/>
    <w:rsid w:val="07630750"/>
    <w:rsid w:val="07A31BFC"/>
    <w:rsid w:val="07EA0E72"/>
    <w:rsid w:val="07FB495C"/>
    <w:rsid w:val="080F49BC"/>
    <w:rsid w:val="08591B53"/>
    <w:rsid w:val="08D35DAA"/>
    <w:rsid w:val="08E51639"/>
    <w:rsid w:val="095A3DD5"/>
    <w:rsid w:val="09D27E0F"/>
    <w:rsid w:val="09FC4E8C"/>
    <w:rsid w:val="0A2E773B"/>
    <w:rsid w:val="0A2F0DBE"/>
    <w:rsid w:val="0ABA06D3"/>
    <w:rsid w:val="0B1D50BA"/>
    <w:rsid w:val="0BA8707A"/>
    <w:rsid w:val="0CDD2D53"/>
    <w:rsid w:val="0D573E51"/>
    <w:rsid w:val="0D755681"/>
    <w:rsid w:val="0DE2712C"/>
    <w:rsid w:val="0DFF4482"/>
    <w:rsid w:val="0E15651D"/>
    <w:rsid w:val="0E910299"/>
    <w:rsid w:val="0F152C78"/>
    <w:rsid w:val="0F842885"/>
    <w:rsid w:val="10036F74"/>
    <w:rsid w:val="100D48FD"/>
    <w:rsid w:val="10622309"/>
    <w:rsid w:val="10961B97"/>
    <w:rsid w:val="10EA1EE2"/>
    <w:rsid w:val="10EC7A09"/>
    <w:rsid w:val="11B5604C"/>
    <w:rsid w:val="12413D84"/>
    <w:rsid w:val="1272218F"/>
    <w:rsid w:val="13AA4928"/>
    <w:rsid w:val="14F11A91"/>
    <w:rsid w:val="15270331"/>
    <w:rsid w:val="15347BD0"/>
    <w:rsid w:val="1550037A"/>
    <w:rsid w:val="15553262"/>
    <w:rsid w:val="15EC4007"/>
    <w:rsid w:val="16DC407B"/>
    <w:rsid w:val="16FB7157"/>
    <w:rsid w:val="174F11DA"/>
    <w:rsid w:val="175D340E"/>
    <w:rsid w:val="17C03A07"/>
    <w:rsid w:val="17D42FA4"/>
    <w:rsid w:val="185D2255"/>
    <w:rsid w:val="18736C61"/>
    <w:rsid w:val="187A1186"/>
    <w:rsid w:val="190C3911"/>
    <w:rsid w:val="1B356450"/>
    <w:rsid w:val="1B7C5E2D"/>
    <w:rsid w:val="1B8B5F08"/>
    <w:rsid w:val="1B8D0F31"/>
    <w:rsid w:val="1BD96DDB"/>
    <w:rsid w:val="1BF41E67"/>
    <w:rsid w:val="1BF63E31"/>
    <w:rsid w:val="1BFF6E65"/>
    <w:rsid w:val="1C1222ED"/>
    <w:rsid w:val="1C623275"/>
    <w:rsid w:val="1D3A6632"/>
    <w:rsid w:val="1D923082"/>
    <w:rsid w:val="1E01086B"/>
    <w:rsid w:val="1E2A1B70"/>
    <w:rsid w:val="1E832EA2"/>
    <w:rsid w:val="1EE53CE9"/>
    <w:rsid w:val="1F664E2A"/>
    <w:rsid w:val="1F867A4D"/>
    <w:rsid w:val="203D202F"/>
    <w:rsid w:val="20831A0C"/>
    <w:rsid w:val="219739C1"/>
    <w:rsid w:val="220F79FB"/>
    <w:rsid w:val="223A6964"/>
    <w:rsid w:val="23EB7FF4"/>
    <w:rsid w:val="242B6642"/>
    <w:rsid w:val="24412260"/>
    <w:rsid w:val="249E0BC2"/>
    <w:rsid w:val="24BE3012"/>
    <w:rsid w:val="250849CF"/>
    <w:rsid w:val="25096983"/>
    <w:rsid w:val="250E4686"/>
    <w:rsid w:val="259118C9"/>
    <w:rsid w:val="261F21D6"/>
    <w:rsid w:val="2641214D"/>
    <w:rsid w:val="272E0923"/>
    <w:rsid w:val="27A961FC"/>
    <w:rsid w:val="27B0758A"/>
    <w:rsid w:val="27F21AE8"/>
    <w:rsid w:val="27F232D9"/>
    <w:rsid w:val="282C2A86"/>
    <w:rsid w:val="283F26BC"/>
    <w:rsid w:val="287A1946"/>
    <w:rsid w:val="28A91BE3"/>
    <w:rsid w:val="29001E4B"/>
    <w:rsid w:val="291B0A33"/>
    <w:rsid w:val="29385A89"/>
    <w:rsid w:val="29A50C45"/>
    <w:rsid w:val="29FF0355"/>
    <w:rsid w:val="2B6F6AC9"/>
    <w:rsid w:val="2BC37160"/>
    <w:rsid w:val="2C3C359D"/>
    <w:rsid w:val="2C55559C"/>
    <w:rsid w:val="2C731A45"/>
    <w:rsid w:val="2CBC252D"/>
    <w:rsid w:val="2CE23E3F"/>
    <w:rsid w:val="2CEB299B"/>
    <w:rsid w:val="2D483DC1"/>
    <w:rsid w:val="2D4B705C"/>
    <w:rsid w:val="2E960B5C"/>
    <w:rsid w:val="2EA62AFB"/>
    <w:rsid w:val="2F146650"/>
    <w:rsid w:val="2FD44032"/>
    <w:rsid w:val="30201025"/>
    <w:rsid w:val="30772A7B"/>
    <w:rsid w:val="30A864F4"/>
    <w:rsid w:val="30AE4CCA"/>
    <w:rsid w:val="30D91B27"/>
    <w:rsid w:val="30E25BAB"/>
    <w:rsid w:val="31232B7B"/>
    <w:rsid w:val="31286F6B"/>
    <w:rsid w:val="31333A07"/>
    <w:rsid w:val="31550A3E"/>
    <w:rsid w:val="3163741B"/>
    <w:rsid w:val="316B2774"/>
    <w:rsid w:val="33260700"/>
    <w:rsid w:val="3341378C"/>
    <w:rsid w:val="3344327C"/>
    <w:rsid w:val="33457039"/>
    <w:rsid w:val="3381002D"/>
    <w:rsid w:val="33846DE1"/>
    <w:rsid w:val="339C09C3"/>
    <w:rsid w:val="33BF2BC8"/>
    <w:rsid w:val="34781430"/>
    <w:rsid w:val="34BB756E"/>
    <w:rsid w:val="35213875"/>
    <w:rsid w:val="3578720D"/>
    <w:rsid w:val="361E7DB5"/>
    <w:rsid w:val="363B2715"/>
    <w:rsid w:val="36BD75CE"/>
    <w:rsid w:val="36DB5CA6"/>
    <w:rsid w:val="36F4363E"/>
    <w:rsid w:val="37397F6D"/>
    <w:rsid w:val="375F0685"/>
    <w:rsid w:val="37C60704"/>
    <w:rsid w:val="37F708BD"/>
    <w:rsid w:val="37FB12D6"/>
    <w:rsid w:val="37FD7071"/>
    <w:rsid w:val="38685317"/>
    <w:rsid w:val="391C1F89"/>
    <w:rsid w:val="39203309"/>
    <w:rsid w:val="3935166B"/>
    <w:rsid w:val="397F7046"/>
    <w:rsid w:val="3A5D2658"/>
    <w:rsid w:val="3A960861"/>
    <w:rsid w:val="3AB26D1E"/>
    <w:rsid w:val="3AC34280"/>
    <w:rsid w:val="3AC52430"/>
    <w:rsid w:val="3ACD5CBF"/>
    <w:rsid w:val="3B163750"/>
    <w:rsid w:val="3B673FAC"/>
    <w:rsid w:val="3BCE7B87"/>
    <w:rsid w:val="3BE64ED1"/>
    <w:rsid w:val="3C0D4B53"/>
    <w:rsid w:val="3CA42E02"/>
    <w:rsid w:val="3CAF1767"/>
    <w:rsid w:val="3CED04E1"/>
    <w:rsid w:val="3CF1446D"/>
    <w:rsid w:val="3D07190C"/>
    <w:rsid w:val="3D263EE9"/>
    <w:rsid w:val="3DAE7C70"/>
    <w:rsid w:val="3DB54DD9"/>
    <w:rsid w:val="3DC61838"/>
    <w:rsid w:val="3DD31485"/>
    <w:rsid w:val="3DF37D79"/>
    <w:rsid w:val="3ECA4F52"/>
    <w:rsid w:val="3ECB11C6"/>
    <w:rsid w:val="3ED23E32"/>
    <w:rsid w:val="3F040AF2"/>
    <w:rsid w:val="3F283A52"/>
    <w:rsid w:val="3F9F32B0"/>
    <w:rsid w:val="3FA532F5"/>
    <w:rsid w:val="3FD339BE"/>
    <w:rsid w:val="3FDF4AF7"/>
    <w:rsid w:val="415A3828"/>
    <w:rsid w:val="418D13E5"/>
    <w:rsid w:val="41D35EF7"/>
    <w:rsid w:val="42F80ECE"/>
    <w:rsid w:val="43BF2BD7"/>
    <w:rsid w:val="43C57AC2"/>
    <w:rsid w:val="43FF1225"/>
    <w:rsid w:val="44450930"/>
    <w:rsid w:val="44557097"/>
    <w:rsid w:val="44D6347B"/>
    <w:rsid w:val="450B3BFA"/>
    <w:rsid w:val="454964D0"/>
    <w:rsid w:val="45513D03"/>
    <w:rsid w:val="45E230E4"/>
    <w:rsid w:val="45E76415"/>
    <w:rsid w:val="46587D6C"/>
    <w:rsid w:val="46601D24"/>
    <w:rsid w:val="46ED7A5B"/>
    <w:rsid w:val="4723522B"/>
    <w:rsid w:val="474033EB"/>
    <w:rsid w:val="4762530A"/>
    <w:rsid w:val="47833F1C"/>
    <w:rsid w:val="47B83278"/>
    <w:rsid w:val="47B9793D"/>
    <w:rsid w:val="47CE30B0"/>
    <w:rsid w:val="47ED5839"/>
    <w:rsid w:val="47FD5DF2"/>
    <w:rsid w:val="48180B08"/>
    <w:rsid w:val="484A4A39"/>
    <w:rsid w:val="48E42798"/>
    <w:rsid w:val="49647D7D"/>
    <w:rsid w:val="49B371DE"/>
    <w:rsid w:val="4A114D9C"/>
    <w:rsid w:val="4A62606A"/>
    <w:rsid w:val="4A673681"/>
    <w:rsid w:val="4A6F4C2B"/>
    <w:rsid w:val="4A857FAB"/>
    <w:rsid w:val="4ADC40E1"/>
    <w:rsid w:val="4B3043BA"/>
    <w:rsid w:val="4BA65DC5"/>
    <w:rsid w:val="4C0D2006"/>
    <w:rsid w:val="4C6A7458"/>
    <w:rsid w:val="4C9E3D41"/>
    <w:rsid w:val="4CE54D31"/>
    <w:rsid w:val="4D453A21"/>
    <w:rsid w:val="4D826A23"/>
    <w:rsid w:val="4DE374C2"/>
    <w:rsid w:val="4E197388"/>
    <w:rsid w:val="4E636855"/>
    <w:rsid w:val="4E83273B"/>
    <w:rsid w:val="4EE94FAC"/>
    <w:rsid w:val="4F0B3174"/>
    <w:rsid w:val="4F2204BE"/>
    <w:rsid w:val="4F275CED"/>
    <w:rsid w:val="4F32268A"/>
    <w:rsid w:val="4F5F701C"/>
    <w:rsid w:val="4F8343BC"/>
    <w:rsid w:val="4FB56C3C"/>
    <w:rsid w:val="4FFE214A"/>
    <w:rsid w:val="509E3B74"/>
    <w:rsid w:val="50C555A5"/>
    <w:rsid w:val="514069D9"/>
    <w:rsid w:val="51532BB1"/>
    <w:rsid w:val="520C2D5F"/>
    <w:rsid w:val="527342A0"/>
    <w:rsid w:val="533802B0"/>
    <w:rsid w:val="534704F3"/>
    <w:rsid w:val="53A854CE"/>
    <w:rsid w:val="53B33222"/>
    <w:rsid w:val="53C51418"/>
    <w:rsid w:val="543071D9"/>
    <w:rsid w:val="545F7ABE"/>
    <w:rsid w:val="54A03FFE"/>
    <w:rsid w:val="54B5148C"/>
    <w:rsid w:val="54D20290"/>
    <w:rsid w:val="553B5E36"/>
    <w:rsid w:val="55747599"/>
    <w:rsid w:val="55AF118E"/>
    <w:rsid w:val="55C71477"/>
    <w:rsid w:val="55ED0692"/>
    <w:rsid w:val="55F11B90"/>
    <w:rsid w:val="56521689"/>
    <w:rsid w:val="570D735E"/>
    <w:rsid w:val="571C5F7A"/>
    <w:rsid w:val="572A43B4"/>
    <w:rsid w:val="57A001D2"/>
    <w:rsid w:val="57C57C38"/>
    <w:rsid w:val="57D12A81"/>
    <w:rsid w:val="57E83927"/>
    <w:rsid w:val="58030761"/>
    <w:rsid w:val="581E77FE"/>
    <w:rsid w:val="59030A18"/>
    <w:rsid w:val="59C53F20"/>
    <w:rsid w:val="59CA3C2C"/>
    <w:rsid w:val="5A4E03B9"/>
    <w:rsid w:val="5A80766E"/>
    <w:rsid w:val="5AD92379"/>
    <w:rsid w:val="5C164F06"/>
    <w:rsid w:val="5C4604C8"/>
    <w:rsid w:val="5CC74949"/>
    <w:rsid w:val="5D812854"/>
    <w:rsid w:val="5F9E76ED"/>
    <w:rsid w:val="5FA77C77"/>
    <w:rsid w:val="5FC03B07"/>
    <w:rsid w:val="5FFB4B3F"/>
    <w:rsid w:val="6105554A"/>
    <w:rsid w:val="62791D4B"/>
    <w:rsid w:val="627B3D15"/>
    <w:rsid w:val="62D17DD9"/>
    <w:rsid w:val="62EF1E1C"/>
    <w:rsid w:val="632D2C36"/>
    <w:rsid w:val="641F561C"/>
    <w:rsid w:val="64B17EC2"/>
    <w:rsid w:val="6509385A"/>
    <w:rsid w:val="6578453C"/>
    <w:rsid w:val="65DD0843"/>
    <w:rsid w:val="65F067C8"/>
    <w:rsid w:val="66BC082E"/>
    <w:rsid w:val="66F745F1"/>
    <w:rsid w:val="6736443F"/>
    <w:rsid w:val="675B2367"/>
    <w:rsid w:val="67E20393"/>
    <w:rsid w:val="680D3662"/>
    <w:rsid w:val="686139AD"/>
    <w:rsid w:val="68680898"/>
    <w:rsid w:val="686F7E78"/>
    <w:rsid w:val="68774F7F"/>
    <w:rsid w:val="689E250C"/>
    <w:rsid w:val="68A45648"/>
    <w:rsid w:val="698C2CAC"/>
    <w:rsid w:val="69985062"/>
    <w:rsid w:val="6A1B7B8C"/>
    <w:rsid w:val="6A505A87"/>
    <w:rsid w:val="6A8A71EB"/>
    <w:rsid w:val="6AB26742"/>
    <w:rsid w:val="6B0845B4"/>
    <w:rsid w:val="6B2749D6"/>
    <w:rsid w:val="6B427AC6"/>
    <w:rsid w:val="6B937C74"/>
    <w:rsid w:val="6B9E0A74"/>
    <w:rsid w:val="6BAF2C82"/>
    <w:rsid w:val="6C00528B"/>
    <w:rsid w:val="6C2B055A"/>
    <w:rsid w:val="6CB263C9"/>
    <w:rsid w:val="6E0307C8"/>
    <w:rsid w:val="6E3A0E77"/>
    <w:rsid w:val="6E835323"/>
    <w:rsid w:val="6E9F3C8B"/>
    <w:rsid w:val="6F046E40"/>
    <w:rsid w:val="6F174DC6"/>
    <w:rsid w:val="6F7E4E45"/>
    <w:rsid w:val="6FCE7B7A"/>
    <w:rsid w:val="6FF139B8"/>
    <w:rsid w:val="70313C65"/>
    <w:rsid w:val="70A02B99"/>
    <w:rsid w:val="70F97E5D"/>
    <w:rsid w:val="715776FB"/>
    <w:rsid w:val="71841741"/>
    <w:rsid w:val="72200435"/>
    <w:rsid w:val="724A54B2"/>
    <w:rsid w:val="729F57FE"/>
    <w:rsid w:val="72AA7CFF"/>
    <w:rsid w:val="73B21561"/>
    <w:rsid w:val="73F43927"/>
    <w:rsid w:val="73F82FD0"/>
    <w:rsid w:val="74177616"/>
    <w:rsid w:val="7443040B"/>
    <w:rsid w:val="748B3BD7"/>
    <w:rsid w:val="75284195"/>
    <w:rsid w:val="75DD215E"/>
    <w:rsid w:val="75ED062E"/>
    <w:rsid w:val="760B6D06"/>
    <w:rsid w:val="76200A04"/>
    <w:rsid w:val="762A6157"/>
    <w:rsid w:val="765E777E"/>
    <w:rsid w:val="76960CC6"/>
    <w:rsid w:val="77387230"/>
    <w:rsid w:val="77453882"/>
    <w:rsid w:val="78151CD1"/>
    <w:rsid w:val="79C21BAF"/>
    <w:rsid w:val="79DE0E87"/>
    <w:rsid w:val="7A2A00A3"/>
    <w:rsid w:val="7AA8546C"/>
    <w:rsid w:val="7AAC09E6"/>
    <w:rsid w:val="7AD149C3"/>
    <w:rsid w:val="7B172452"/>
    <w:rsid w:val="7BCC6F38"/>
    <w:rsid w:val="7BF42D23"/>
    <w:rsid w:val="7C8A4E29"/>
    <w:rsid w:val="7CAC1243"/>
    <w:rsid w:val="7CBC51FE"/>
    <w:rsid w:val="7CC52305"/>
    <w:rsid w:val="7D456FA2"/>
    <w:rsid w:val="7D806106"/>
    <w:rsid w:val="7DBD122E"/>
    <w:rsid w:val="7DD16A88"/>
    <w:rsid w:val="7E046E5D"/>
    <w:rsid w:val="7E462FD2"/>
    <w:rsid w:val="7EA83C8C"/>
    <w:rsid w:val="7F207CC7"/>
    <w:rsid w:val="7F3D71AE"/>
    <w:rsid w:val="7FF669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3"/>
    <w:basedOn w:val="1"/>
    <w:next w:val="1"/>
    <w:qFormat/>
    <w:uiPriority w:val="0"/>
    <w:pPr>
      <w:keepNext/>
      <w:keepLines/>
      <w:spacing w:before="260" w:beforeLines="0" w:after="260" w:afterLines="0" w:line="416" w:lineRule="auto"/>
      <w:outlineLvl w:val="2"/>
    </w:pPr>
    <w:rPr>
      <w:b/>
      <w:bCs/>
      <w:kern w:val="0"/>
      <w:sz w:val="32"/>
      <w:szCs w:val="32"/>
    </w:rPr>
  </w:style>
  <w:style w:type="paragraph" w:styleId="3">
    <w:name w:val="heading 4"/>
    <w:basedOn w:val="1"/>
    <w:next w:val="1"/>
    <w:qFormat/>
    <w:uiPriority w:val="1"/>
    <w:pPr>
      <w:ind w:left="1068"/>
      <w:outlineLvl w:val="3"/>
    </w:pPr>
    <w:rPr>
      <w:rFonts w:ascii="宋体" w:hAnsi="宋体" w:eastAsia="宋体" w:cs="宋体"/>
      <w:b/>
      <w:bCs/>
      <w:sz w:val="24"/>
      <w:szCs w:val="24"/>
      <w:lang w:val="zh-CN" w:eastAsia="zh-CN" w:bidi="zh-CN"/>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4">
    <w:name w:val="Note Heading"/>
    <w:basedOn w:val="1"/>
    <w:next w:val="1"/>
    <w:unhideWhenUsed/>
    <w:qFormat/>
    <w:uiPriority w:val="0"/>
    <w:pPr>
      <w:jc w:val="center"/>
    </w:pPr>
  </w:style>
  <w:style w:type="paragraph" w:styleId="5">
    <w:name w:val="Normal Indent"/>
    <w:basedOn w:val="1"/>
    <w:qFormat/>
    <w:uiPriority w:val="0"/>
    <w:pPr>
      <w:ind w:firstLine="200" w:firstLineChars="200"/>
    </w:pPr>
    <w:rPr>
      <w:sz w:val="28"/>
    </w:rPr>
  </w:style>
  <w:style w:type="paragraph" w:styleId="6">
    <w:name w:val="caption"/>
    <w:basedOn w:val="1"/>
    <w:next w:val="1"/>
    <w:qFormat/>
    <w:uiPriority w:val="0"/>
    <w:rPr>
      <w:rFonts w:ascii="Cambria" w:hAnsi="Cambria" w:eastAsia="黑体" w:cs="Times New Roman"/>
      <w:sz w:val="20"/>
      <w:szCs w:val="20"/>
    </w:rPr>
  </w:style>
  <w:style w:type="paragraph" w:styleId="7">
    <w:name w:val="annotation text"/>
    <w:basedOn w:val="1"/>
    <w:qFormat/>
    <w:uiPriority w:val="99"/>
    <w:pPr>
      <w:jc w:val="left"/>
    </w:pPr>
    <w:rPr>
      <w:rFonts w:ascii="Times New Roman" w:hAnsi="Times New Roman"/>
      <w:kern w:val="0"/>
      <w:sz w:val="24"/>
      <w:szCs w:val="20"/>
    </w:rPr>
  </w:style>
  <w:style w:type="paragraph" w:styleId="8">
    <w:name w:val="Salutation"/>
    <w:basedOn w:val="1"/>
    <w:next w:val="1"/>
    <w:qFormat/>
    <w:uiPriority w:val="0"/>
  </w:style>
  <w:style w:type="paragraph" w:styleId="9">
    <w:name w:val="Body Text"/>
    <w:basedOn w:val="1"/>
    <w:qFormat/>
    <w:uiPriority w:val="0"/>
    <w:pPr>
      <w:widowControl/>
      <w:snapToGrid w:val="0"/>
      <w:spacing w:before="60" w:after="160" w:line="259" w:lineRule="auto"/>
      <w:ind w:right="113"/>
    </w:pPr>
    <w:rPr>
      <w:kern w:val="0"/>
      <w:sz w:val="18"/>
      <w:szCs w:val="20"/>
    </w:rPr>
  </w:style>
  <w:style w:type="paragraph" w:styleId="10">
    <w:name w:val="Body Text Indent"/>
    <w:basedOn w:val="1"/>
    <w:next w:val="11"/>
    <w:semiHidden/>
    <w:qFormat/>
    <w:uiPriority w:val="0"/>
    <w:pPr>
      <w:spacing w:after="120"/>
      <w:ind w:left="420" w:leftChars="200"/>
    </w:pPr>
  </w:style>
  <w:style w:type="paragraph" w:styleId="11">
    <w:name w:val="Body Text Indent 2"/>
    <w:basedOn w:val="1"/>
    <w:next w:val="12"/>
    <w:qFormat/>
    <w:uiPriority w:val="0"/>
    <w:pPr>
      <w:spacing w:after="120" w:line="480" w:lineRule="auto"/>
      <w:ind w:left="420" w:leftChars="200"/>
    </w:pPr>
  </w:style>
  <w:style w:type="paragraph" w:styleId="12">
    <w:name w:val="Body Text First Indent 2"/>
    <w:basedOn w:val="10"/>
    <w:next w:val="1"/>
    <w:qFormat/>
    <w:uiPriority w:val="0"/>
    <w:pPr>
      <w:spacing w:after="120"/>
      <w:ind w:left="420" w:firstLine="210"/>
    </w:pPr>
    <w:rPr>
      <w:rFonts w:eastAsia="楷体_GB2312"/>
      <w:sz w:val="30"/>
    </w:rPr>
  </w:style>
  <w:style w:type="paragraph" w:styleId="13">
    <w:name w:val="Plain Text"/>
    <w:basedOn w:val="1"/>
    <w:next w:val="8"/>
    <w:qFormat/>
    <w:uiPriority w:val="0"/>
    <w:pPr>
      <w:snapToGrid w:val="0"/>
      <w:spacing w:line="324" w:lineRule="auto"/>
    </w:pPr>
    <w:rPr>
      <w:rFonts w:ascii="宋体" w:hAnsi="Courier New"/>
    </w:rPr>
  </w:style>
  <w:style w:type="paragraph" w:styleId="14">
    <w:name w:val="footer"/>
    <w:basedOn w:val="1"/>
    <w:qFormat/>
    <w:uiPriority w:val="99"/>
    <w:pPr>
      <w:tabs>
        <w:tab w:val="center" w:pos="4153"/>
        <w:tab w:val="right" w:pos="8306"/>
      </w:tabs>
      <w:snapToGrid w:val="0"/>
      <w:jc w:val="left"/>
    </w:pPr>
    <w:rPr>
      <w:sz w:val="18"/>
      <w:szCs w:val="18"/>
    </w:rPr>
  </w:style>
  <w:style w:type="paragraph" w:styleId="15">
    <w:name w:val="List"/>
    <w:basedOn w:val="1"/>
    <w:qFormat/>
    <w:uiPriority w:val="0"/>
    <w:pPr>
      <w:jc w:val="center"/>
    </w:pPr>
    <w:rPr>
      <w:kern w:val="21"/>
      <w:szCs w:val="22"/>
    </w:rPr>
  </w:style>
  <w:style w:type="paragraph" w:styleId="16">
    <w:name w:val="Normal (Web)"/>
    <w:basedOn w:val="1"/>
    <w:qFormat/>
    <w:uiPriority w:val="0"/>
    <w:pPr>
      <w:widowControl/>
      <w:spacing w:before="100" w:beforeAutospacing="1" w:after="100" w:afterAutospacing="1"/>
      <w:jc w:val="left"/>
    </w:pPr>
    <w:rPr>
      <w:rFonts w:ascii="宋体" w:hAnsi="宋体"/>
      <w:kern w:val="0"/>
      <w:sz w:val="24"/>
      <w:szCs w:val="20"/>
    </w:rPr>
  </w:style>
  <w:style w:type="table" w:styleId="18">
    <w:name w:val="Table Grid"/>
    <w:basedOn w:val="17"/>
    <w:qFormat/>
    <w:uiPriority w:val="0"/>
    <w:pPr>
      <w:widowControl w:val="0"/>
      <w:jc w:val="both"/>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0">
    <w:name w:val="page number"/>
    <w:basedOn w:val="19"/>
    <w:qFormat/>
    <w:uiPriority w:val="0"/>
  </w:style>
  <w:style w:type="character" w:styleId="21">
    <w:name w:val="annotation reference"/>
    <w:basedOn w:val="19"/>
    <w:semiHidden/>
    <w:qFormat/>
    <w:uiPriority w:val="0"/>
    <w:rPr>
      <w:sz w:val="21"/>
    </w:rPr>
  </w:style>
  <w:style w:type="paragraph" w:customStyle="1" w:styleId="22">
    <w:name w:val="0正文"/>
    <w:unhideWhenUsed/>
    <w:qFormat/>
    <w:uiPriority w:val="0"/>
    <w:pPr>
      <w:widowControl w:val="0"/>
      <w:spacing w:line="360" w:lineRule="auto"/>
      <w:ind w:firstLine="720" w:firstLineChars="200"/>
    </w:pPr>
    <w:rPr>
      <w:rFonts w:ascii="Times New Roman" w:hAnsi="Times New Roman" w:eastAsia="宋体" w:cs="Microsoft Uighur"/>
      <w:sz w:val="24"/>
      <w:szCs w:val="22"/>
      <w:lang w:val="en-US" w:eastAsia="zh-CN" w:bidi="ar-SA"/>
    </w:rPr>
  </w:style>
  <w:style w:type="paragraph" w:customStyle="1" w:styleId="23">
    <w:name w:val="Default"/>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24">
    <w:name w:val="表格正文"/>
    <w:basedOn w:val="1"/>
    <w:next w:val="1"/>
    <w:qFormat/>
    <w:uiPriority w:val="0"/>
    <w:pPr>
      <w:spacing w:line="300" w:lineRule="auto"/>
      <w:jc w:val="center"/>
    </w:pPr>
    <w:rPr>
      <w:sz w:val="24"/>
    </w:rPr>
  </w:style>
  <w:style w:type="paragraph" w:customStyle="1" w:styleId="25">
    <w:name w:val="11正文"/>
    <w:qFormat/>
    <w:uiPriority w:val="0"/>
    <w:pPr>
      <w:spacing w:line="360" w:lineRule="auto"/>
      <w:ind w:firstLine="200" w:firstLineChars="200"/>
      <w:jc w:val="both"/>
    </w:pPr>
    <w:rPr>
      <w:rFonts w:ascii="Calibri" w:hAnsi="Calibri" w:eastAsia="宋体" w:cs="Times New Roman"/>
      <w:kern w:val="2"/>
      <w:sz w:val="24"/>
      <w:szCs w:val="22"/>
      <w:lang w:val="en-US" w:eastAsia="zh-CN" w:bidi="ar-SA"/>
    </w:rPr>
  </w:style>
  <w:style w:type="paragraph" w:customStyle="1" w:styleId="26">
    <w:name w:val="3-四级标题"/>
    <w:basedOn w:val="1"/>
    <w:qFormat/>
    <w:uiPriority w:val="0"/>
    <w:pPr>
      <w:adjustRightInd w:val="0"/>
      <w:snapToGrid w:val="0"/>
      <w:spacing w:line="360" w:lineRule="auto"/>
      <w:ind w:firstLine="200" w:firstLineChars="200"/>
      <w:outlineLvl w:val="3"/>
    </w:pPr>
    <w:rPr>
      <w:rFonts w:ascii="仿宋_GB2312" w:hAnsi="宋体" w:eastAsia="仿宋_GB2312"/>
      <w:b/>
      <w:sz w:val="30"/>
      <w:szCs w:val="32"/>
    </w:rPr>
  </w:style>
  <w:style w:type="paragraph" w:customStyle="1" w:styleId="27">
    <w:name w:val="正式文本"/>
    <w:basedOn w:val="1"/>
    <w:qFormat/>
    <w:uiPriority w:val="0"/>
    <w:pPr>
      <w:adjustRightInd w:val="0"/>
      <w:snapToGrid w:val="0"/>
      <w:spacing w:line="360" w:lineRule="auto"/>
      <w:ind w:firstLine="420" w:firstLineChars="200"/>
      <w:jc w:val="left"/>
    </w:pPr>
    <w:rPr>
      <w:rFonts w:ascii="Times New Roman" w:hAnsi="Times New Roman"/>
      <w:bCs/>
      <w:szCs w:val="21"/>
    </w:rPr>
  </w:style>
  <w:style w:type="paragraph" w:customStyle="1" w:styleId="28">
    <w:name w:val="表头。图尾"/>
    <w:basedOn w:val="1"/>
    <w:next w:val="1"/>
    <w:qFormat/>
    <w:uiPriority w:val="0"/>
    <w:pPr>
      <w:keepNext/>
      <w:jc w:val="center"/>
    </w:pPr>
    <w:rPr>
      <w:rFonts w:ascii="Times New Roman" w:hAnsi="Times New Roman"/>
      <w:b/>
      <w:spacing w:val="10"/>
      <w:kern w:val="21"/>
      <w:szCs w:val="21"/>
    </w:rPr>
  </w:style>
  <w:style w:type="paragraph" w:customStyle="1" w:styleId="29">
    <w:name w:val="表格内格式"/>
    <w:basedOn w:val="1"/>
    <w:qFormat/>
    <w:uiPriority w:val="0"/>
    <w:pPr>
      <w:adjustRightInd w:val="0"/>
      <w:snapToGrid w:val="0"/>
      <w:spacing w:before="60"/>
      <w:jc w:val="center"/>
    </w:pPr>
    <w:rPr>
      <w:rFonts w:ascii="Times New Roman" w:hAnsi="Times New Roman" w:cs="宋体"/>
      <w:snapToGrid w:val="0"/>
      <w:sz w:val="18"/>
      <w:szCs w:val="21"/>
    </w:rPr>
  </w:style>
  <w:style w:type="paragraph" w:customStyle="1" w:styleId="30">
    <w:name w:val="4-正文"/>
    <w:basedOn w:val="1"/>
    <w:qFormat/>
    <w:uiPriority w:val="0"/>
    <w:pPr>
      <w:adjustRightInd w:val="0"/>
      <w:snapToGrid w:val="0"/>
      <w:spacing w:line="360" w:lineRule="auto"/>
      <w:ind w:firstLine="200" w:firstLineChars="200"/>
    </w:pPr>
    <w:rPr>
      <w:rFonts w:ascii="仿宋_GB2312" w:hAnsi="宋体" w:eastAsia="仿宋_GB2312"/>
      <w:sz w:val="30"/>
      <w:szCs w:val="32"/>
    </w:rPr>
  </w:style>
  <w:style w:type="paragraph" w:customStyle="1" w:styleId="31">
    <w:name w:val="说明书正文"/>
    <w:basedOn w:val="1"/>
    <w:qFormat/>
    <w:uiPriority w:val="0"/>
    <w:pPr>
      <w:spacing w:line="480" w:lineRule="exact"/>
      <w:ind w:firstLine="600" w:firstLineChars="200"/>
    </w:pPr>
    <w:rPr>
      <w:rFonts w:ascii="Times New Roman" w:hAnsi="Times New Roman" w:eastAsia="仿宋_GB2312"/>
      <w:color w:val="000000"/>
      <w:sz w:val="30"/>
    </w:rPr>
  </w:style>
  <w:style w:type="paragraph" w:customStyle="1" w:styleId="32">
    <w:name w:val="正文部分"/>
    <w:basedOn w:val="1"/>
    <w:qFormat/>
    <w:uiPriority w:val="0"/>
    <w:pPr>
      <w:topLinePunct/>
      <w:adjustRightInd w:val="0"/>
      <w:snapToGrid w:val="0"/>
      <w:spacing w:line="360" w:lineRule="auto"/>
      <w:ind w:firstLine="480" w:firstLineChars="200"/>
    </w:pPr>
    <w:rPr>
      <w:kern w:val="0"/>
      <w:sz w:val="24"/>
      <w:shd w:val="clear" w:color="auto" w:fill="FFFFFF"/>
      <w:lang w:val="zh-CN"/>
    </w:rPr>
  </w:style>
  <w:style w:type="paragraph" w:customStyle="1" w:styleId="33">
    <w:name w:val="样式 小四 行距: 1.5 倍行距"/>
    <w:basedOn w:val="1"/>
    <w:qFormat/>
    <w:uiPriority w:val="0"/>
    <w:pPr>
      <w:ind w:firstLine="480" w:firstLineChars="200"/>
    </w:pPr>
    <w:rPr>
      <w:rFonts w:ascii="Times New Roman" w:hAnsi="Times New Roman" w:cs="宋体"/>
    </w:rPr>
  </w:style>
  <w:style w:type="paragraph" w:customStyle="1" w:styleId="34">
    <w:name w:val="表格内正文"/>
    <w:basedOn w:val="1"/>
    <w:qFormat/>
    <w:uiPriority w:val="0"/>
    <w:pPr>
      <w:spacing w:line="360" w:lineRule="auto"/>
      <w:ind w:firstLine="720" w:firstLineChars="200"/>
      <w:jc w:val="left"/>
    </w:pPr>
    <w:rPr>
      <w:rFonts w:ascii="Times New Roman" w:hAnsi="Times New Roman"/>
    </w:rPr>
  </w:style>
  <w:style w:type="paragraph" w:customStyle="1" w:styleId="35">
    <w:name w:val="表格内容"/>
    <w:basedOn w:val="13"/>
    <w:next w:val="1"/>
    <w:qFormat/>
    <w:uiPriority w:val="0"/>
    <w:pPr>
      <w:tabs>
        <w:tab w:val="left" w:pos="0"/>
      </w:tabs>
      <w:jc w:val="center"/>
    </w:pPr>
    <w:rPr>
      <w:rFonts w:ascii="Times New Roman" w:hAnsi="Times New Roman"/>
      <w:szCs w:val="21"/>
    </w:rPr>
  </w:style>
  <w:style w:type="character" w:customStyle="1" w:styleId="36">
    <w:name w:val="fontstyle01"/>
    <w:basedOn w:val="19"/>
    <w:qFormat/>
    <w:uiPriority w:val="0"/>
    <w:rPr>
      <w:rFonts w:hint="eastAsia" w:ascii="仿宋" w:eastAsia="仿宋"/>
      <w:color w:val="000000"/>
      <w:sz w:val="24"/>
      <w:szCs w:val="24"/>
    </w:rPr>
  </w:style>
  <w:style w:type="paragraph" w:customStyle="1" w:styleId="37">
    <w:name w:val="样式41"/>
    <w:basedOn w:val="1"/>
    <w:qFormat/>
    <w:uiPriority w:val="0"/>
    <w:pPr>
      <w:spacing w:before="156" w:beforeLines="50" w:after="156" w:afterLines="50" w:line="400" w:lineRule="exact"/>
      <w:jc w:val="center"/>
    </w:pPr>
    <w:rPr>
      <w:rFonts w:ascii="黑体" w:eastAsia="黑体"/>
      <w:kern w:val="0"/>
      <w:sz w:val="24"/>
    </w:rPr>
  </w:style>
  <w:style w:type="paragraph" w:customStyle="1" w:styleId="38">
    <w:name w:val="eia正文"/>
    <w:basedOn w:val="1"/>
    <w:next w:val="1"/>
    <w:unhideWhenUsed/>
    <w:qFormat/>
    <w:uiPriority w:val="99"/>
    <w:pPr>
      <w:spacing w:line="360" w:lineRule="auto"/>
      <w:ind w:firstLine="200" w:firstLineChars="200"/>
      <w:jc w:val="left"/>
    </w:pPr>
    <w:rPr>
      <w:color w:val="000000"/>
      <w:kern w:val="0"/>
      <w:sz w:val="22"/>
      <w:szCs w:val="20"/>
      <w:lang w:val="sq-AL" w:eastAsia="en-US"/>
    </w:rPr>
  </w:style>
  <w:style w:type="paragraph" w:customStyle="1" w:styleId="39">
    <w:name w:val="eia标题表头"/>
    <w:basedOn w:val="6"/>
    <w:unhideWhenUsed/>
    <w:qFormat/>
    <w:uiPriority w:val="99"/>
    <w:pPr>
      <w:tabs>
        <w:tab w:val="left" w:pos="1080"/>
      </w:tabs>
      <w:spacing w:line="360" w:lineRule="auto"/>
      <w:jc w:val="center"/>
    </w:pPr>
    <w:rPr>
      <w:rFonts w:hint="eastAsia" w:ascii="Arial" w:hAnsi="Arial" w:cs="Times New Roman"/>
      <w:sz w:val="24"/>
      <w:lang w:eastAsia="en-US"/>
    </w:rPr>
  </w:style>
  <w:style w:type="character" w:customStyle="1" w:styleId="40">
    <w:name w:val="font21"/>
    <w:basedOn w:val="19"/>
    <w:qFormat/>
    <w:uiPriority w:val="0"/>
    <w:rPr>
      <w:rFonts w:hint="eastAsia" w:ascii="宋体" w:hAnsi="宋体" w:eastAsia="宋体" w:cs="宋体"/>
      <w:color w:val="000000"/>
      <w:sz w:val="21"/>
      <w:szCs w:val="21"/>
      <w:u w:val="none"/>
    </w:rPr>
  </w:style>
  <w:style w:type="character" w:customStyle="1" w:styleId="41">
    <w:name w:val="font31"/>
    <w:basedOn w:val="19"/>
    <w:qFormat/>
    <w:uiPriority w:val="0"/>
    <w:rPr>
      <w:rFonts w:hint="default" w:ascii="Times New Roman" w:hAnsi="Times New Roman" w:cs="Times New Roman"/>
      <w:color w:val="000000"/>
      <w:sz w:val="21"/>
      <w:szCs w:val="21"/>
      <w:u w:val="none"/>
    </w:rPr>
  </w:style>
  <w:style w:type="paragraph" w:customStyle="1" w:styleId="42">
    <w:name w:val="表格文字"/>
    <w:basedOn w:val="43"/>
    <w:next w:val="1"/>
    <w:qFormat/>
    <w:uiPriority w:val="0"/>
    <w:pPr>
      <w:widowControl/>
      <w:snapToGrid w:val="0"/>
      <w:spacing w:before="60" w:after="160" w:line="259" w:lineRule="auto"/>
      <w:ind w:right="113"/>
      <w:jc w:val="center"/>
    </w:pPr>
    <w:rPr>
      <w:rFonts w:ascii="仿宋_GB2312" w:hAnsi="Arial Black" w:eastAsia="仿宋_GB2312" w:cs="Times New Roman"/>
      <w:kern w:val="44"/>
      <w:sz w:val="24"/>
      <w:szCs w:val="20"/>
    </w:rPr>
  </w:style>
  <w:style w:type="paragraph" w:customStyle="1" w:styleId="43">
    <w:name w:val="图标"/>
    <w:basedOn w:val="1"/>
    <w:qFormat/>
    <w:uiPriority w:val="0"/>
    <w:pPr>
      <w:widowControl/>
      <w:spacing w:line="240" w:lineRule="auto"/>
      <w:ind w:firstLine="0" w:firstLineChars="0"/>
      <w:jc w:val="center"/>
    </w:pPr>
    <w:rPr>
      <w:rFonts w:ascii="Calibri" w:hAnsi="Calibri" w:eastAsia="仿宋" w:cs="宋体"/>
      <w:color w:val="000000"/>
      <w:kern w:val="0"/>
      <w:sz w:val="20"/>
      <w:szCs w:val="20"/>
    </w:rPr>
  </w:style>
  <w:style w:type="character" w:customStyle="1" w:styleId="44">
    <w:name w:val="font11"/>
    <w:basedOn w:val="19"/>
    <w:qFormat/>
    <w:uiPriority w:val="0"/>
    <w:rPr>
      <w:rFonts w:hint="default" w:ascii="Times New Roman" w:hAnsi="Times New Roman" w:cs="Times New Roman"/>
      <w:color w:val="000000"/>
      <w:sz w:val="21"/>
      <w:szCs w:val="21"/>
      <w:u w:val="none"/>
    </w:rPr>
  </w:style>
  <w:style w:type="character" w:customStyle="1" w:styleId="45">
    <w:name w:val="font51"/>
    <w:basedOn w:val="19"/>
    <w:qFormat/>
    <w:uiPriority w:val="0"/>
    <w:rPr>
      <w:rFonts w:hint="default" w:ascii="Times New Roman" w:hAnsi="Times New Roman" w:cs="Times New Roman"/>
      <w:color w:val="000000"/>
      <w:sz w:val="21"/>
      <w:szCs w:val="21"/>
      <w:u w:val="none"/>
    </w:rPr>
  </w:style>
  <w:style w:type="character" w:customStyle="1" w:styleId="46">
    <w:name w:val="font41"/>
    <w:basedOn w:val="19"/>
    <w:qFormat/>
    <w:uiPriority w:val="0"/>
    <w:rPr>
      <w:rFonts w:hint="eastAsia" w:ascii="宋体" w:hAnsi="宋体" w:eastAsia="宋体" w:cs="宋体"/>
      <w:color w:val="000000"/>
      <w:sz w:val="21"/>
      <w:szCs w:val="21"/>
      <w:u w:val="none"/>
    </w:rPr>
  </w:style>
  <w:style w:type="paragraph" w:customStyle="1" w:styleId="47">
    <w:name w:val="表头"/>
    <w:basedOn w:val="48"/>
    <w:qFormat/>
    <w:uiPriority w:val="99"/>
    <w:pPr>
      <w:spacing w:line="420" w:lineRule="exact"/>
      <w:jc w:val="center"/>
    </w:pPr>
    <w:rPr>
      <w:rFonts w:hAnsi="宋体"/>
      <w:b/>
      <w:color w:val="000000"/>
      <w:position w:val="2"/>
      <w:sz w:val="24"/>
    </w:rPr>
  </w:style>
  <w:style w:type="paragraph" w:customStyle="1" w:styleId="48">
    <w:name w:val="文本"/>
    <w:basedOn w:val="1"/>
    <w:next w:val="1"/>
    <w:qFormat/>
    <w:uiPriority w:val="0"/>
    <w:pPr>
      <w:adjustRightInd w:val="0"/>
      <w:snapToGrid w:val="0"/>
      <w:ind w:firstLine="960"/>
    </w:pPr>
  </w:style>
  <w:style w:type="paragraph" w:customStyle="1" w:styleId="49">
    <w:name w:val="！正文"/>
    <w:basedOn w:val="1"/>
    <w:qFormat/>
    <w:uiPriority w:val="0"/>
    <w:pPr>
      <w:spacing w:line="360" w:lineRule="auto"/>
      <w:ind w:firstLine="480" w:firstLineChars="200"/>
    </w:pPr>
    <w:rPr>
      <w:rFonts w:ascii="Times New Roman" w:hAnsi="Times New Roman" w:eastAsia="宋体" w:cs="Times New Roman"/>
      <w:color w:val="FF0000"/>
      <w:sz w:val="24"/>
      <w:szCs w:val="24"/>
    </w:rPr>
  </w:style>
  <w:style w:type="paragraph" w:customStyle="1" w:styleId="50">
    <w:name w:val="Table Text"/>
    <w:basedOn w:val="1"/>
    <w:semiHidden/>
    <w:qFormat/>
    <w:uiPriority w:val="0"/>
    <w:rPr>
      <w:rFonts w:ascii="仿宋" w:hAnsi="仿宋" w:eastAsia="仿宋" w:cs="仿宋"/>
      <w:sz w:val="24"/>
      <w:szCs w:val="24"/>
      <w:lang w:val="en-US" w:eastAsia="en-US" w:bidi="ar-SA"/>
    </w:rPr>
  </w:style>
  <w:style w:type="table" w:customStyle="1" w:styleId="5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4.emf"/><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wmf"/><Relationship Id="rId22" Type="http://schemas.openxmlformats.org/officeDocument/2006/relationships/oleObject" Target="embeddings/oleObject1.bin"/><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M4ODU1MTI1Mjk3IiwKCSJHcm91cElkIiA6ICIxNDA0ODkyMDgiLAoJIkltYWdlIiA6ICJpVkJPUncwS0dnb0FBQUFOU1VoRVVnQUFCRk1BQUFUT0NBWUFBQUFHM0drTUFBQUFBWE5TUjBJQXJzNGM2UUFBSUFCSlJFRlVlSnpzM1hsOFhIVzkvL0gzNTh4a2JSUGFBcFdsUUlUVWx0QW1jODVjVVVRdWVFV3A2TVVGbGVzS2doZktWVUhFSytoRk5zdXF1S0M0b3FEd0UyVVJ0K3VDb3R6clZWSE1uRWxhUWl0RktoUktXVXZYVEpJNW45OGZtZFJwbXFTWk5tbEs4M28rSG4xazVueS81M3UrWjZiVFIrZWQ3eUlC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FeXcxMFIwQUFBREFybVhPbkRrTkJ4MTAwT243N3J2djRhdFdyZnJ6UlBlblVsRVVIYmYzM252dnNYcjE2bFhqZkowejl0bG5uN2FwVTZjKzlPeXp6eGFHcWhPRzRjTDk5dHZ2Z0pxYW1oVnIxcXpwSzcyMnA2eGF0YXA5TFBzU2h1SGwrKzIzMzJYNzdydnZ1bFdyVnQwL2xtMVBwR3cyVy9XaUY3M28xSmt6WjJwSDM4OHdETCt6Nzc3N25qdGp4b3hibjNycXFaNXQxWStpNktSOTk5MzNqbjMzM1hldlZhdFczYk1qMXdhdyt3a211Z01BQUFEWXRkVFYxZTBwNll1bFB5OG96YzNOTmU3K3JYUTYzUjVGMGJ2SDZ6b3RMUzNWa2hhWjJUZW5UcDM2bHFIcVpES1phV2IyV1VrL2FHaG9tQzNKcGt5WmNvK2tyMlV5bWJQSHVFc3ZrZlF5U2Z1T2Nic1RxbGdzbmgwRXdUZFNxZFJYeCtDN1MyUm1SMVpYVjZkSFU5bmRwMHVhNCs3NzdPQjFBZXlHUnZVUENRQUFBUEJDME5qWWVMS2svZHo5NFVLaGNPdFFkWnFhbW1ycjYrdW5wZFBwUFNSTk03TTlnaURZMDh6MmtiUnY2Y3Z6dnFYbit4UUtoVG4zMzMvL3MrVnQxTlRVbkNocEwwbVBwRktwL3pmVWRZSWdPRVZTbmFTN0ZpOWV2TGgwK0NKSlB3bUM0Tk5oR040VHgzSEhjUGZTMHRKU1hWZFgxemlhKzA2U3BMcjBjRW8ybTkxck5PZTB0N2MvSjZrNG1yb1RaYzJhTlYrYU1XUEdtV2IyMGt3bWMybytuNzkrb3ZzRUFDSk1BUUFBd082aXBhV2wydDAvYm1ZeXM0OTNkWFgxbEpYdFUxTlQweWxwRHpPckhxa2RNOXZpZVhWMWRTanA3a0hWUHF6K0VPT3FmRDdmTzBRemdidi9oNW5KM2E4ZU9Kakw1WDRhUmRFTmt0NW5adCtTZFBod2dVWk5UYzBKN243YmFPNjlyTStMM0gzUmFNN0paREpoUHAvUGo2YnVXSXVpNkNSMy8rWW9xMWVyUDV6NmFoaUdueDlGL2E0NGpnOGZUY09aVE9hcUlBaU9IcXJNM1dlV0hyNDVpcUxNY0cxMGQzZi9jL25mTlFDVEEyRUtBQUFBUm1LU2ZMakM1dWJteHVYTGw2L2R1VjBhV20xdDdRY2tOVW42djF3dTkvM3lzcTZ1cmllaUtLb3VmVEh2bHJSRzB2T2xueTJTR3R6OVo1SitaMmFya3lSWjdlNnJpc1hpNDB1V0xIbXl2SzB3RFAvWnpBNlg5R2hQVDgrUUl5WENNSHk3bWMyV2RHOGN4MXNFTVJzM2J2elB1cnE2dzkzOW1wRkdoaVJKOGxBUUJGOGJ6YjJiMldza0hlenVmNUMwZUJTbktFbVNwMGRUYjV4VW1ka1VkMzlRVWxkNWdaa2RJR2t2ZDQvVkgycHNxNjJXMHZ2YUtTbVI5UGZSZHNMTTVwU21SdzFWTnZCenBxU1pROVZSLy92SjBnbkFKRVNZQWdBQWdHRzF0Ylc5cHFPajQ2Nmh5cUlvT3M3ZGI0bWk2QjI1WE82WE83OTMvM0RZWVlmTmtQUmY3cDRrU1hMV3dQR1dscGJxbnA0ZVc3NThlYUZRS0J6czd1c0hqeUtJb3VndmtyTHVmbHMrbjc5eEZKZjdlT25uWlYxZFhUM056YzAxRFEwTmw1alo5YmxjYm5uLzkyLzdoUHFEZ0JlRllUalU0cVhQbU5ucFlSaWVYbjdRekpibGNya3pKS21qb3lPV3RIQTA5eCtHNGUxbWRyQ1ozWmJMNVVZemVtTlg4WU00anM4ZmVOTFMwaksxcHFibXoyWjJvS1JMNHpqZTV1aVZNQXhYbU5sQjNkM2Q4N3E2dXRZUEhNOW1zMVdiTm0ycUthc2FxUDg5bWRMUzB0S24vaURrUGFsVWFzaTBwcnE2K3JRZ0NEN3Y3dDhzRkFvZkh1NzZLMWFzNks3a2hnSHNIZ2hUQUFBQU1LeFVLclZRMGxaaFNoaUdSMGo2Z1puVnUvdFhtNXFhRHAzSUw1WFYxZFZYU2RwVDBoZExJWVRVUDFYbS9KcWFtdFBETUx3d2p1TnY3ZWgxTXBuTWtXYTJ3TjJYRDN6UmIyaG9PTlhNem5QM0V5UWRGb2JoU1pMbXF6OGNlYkdrRjFkd2lhbUREMFJSMU83dWMwWTZ5Y3hxMVI4VVhCV0c0YmFtK1p3Y3gvRWRGZlJwWjBuVjFOUjgxOHdPZGZjL2I5cTA2WWN0TFMxYnZSNkRXV2tJU1JBRVUxcGFXcFJPcDcyenMzT0R1NTlSVzF1NzFTTEtxVlJxWlNyVnY2bXB1Mzg4anVNcmgybzNETU9CSFpyNnlrTWFBQkJoQ2dBQXdPUVFSZEdoN243Zk5xbzlIY2R4MDZCako3UzJ0czdxN094Y09YQmcvdno1OHlYOXQ2UjZTWThHUVhEc1JBWXBVUlFkNWU2bnVmdmo2OWF0dTJEZ2VEYWJQY1RkUHk2cE5rbVNNWm1LWVdhWHEvOUwrQ2NrOWJXMHRGU2IyY0RJaXZPYm1wcHFKRjFacXZQclFxSHc1dkx6cTZ1ckR3MkM0TS91L3RkQ29aQWQzUDdhdFd1M212Ymo3bjgyczIxdEM1eVZ0SStrNVdiMjhEYnFQcm1OOG9rUVJGRjB2YVIvZGZjMWt0NWNYMS8va0tROVJ0dEFkWFgxRTZXSFJVbnBZckg0MTFRcU5URGR5OXo5YldabTd2NERNeHRZNTZacjNyeDVMNnF1cnY3MjRQYmMvUUQxditmSFIxSDBpeUV1ZVhNdWw3dDVlMjRXd0FzZllRb0FBTUFrME5mWGwwcW4wMU8yVVczVEVNZFNxVlRxUHlXZHJmNlJHUzhOZ3VCbmtxYTcrNHBpc2Zndm5aMmQyL3J5UG00eW1jdzBkNytwTkRwaFlmbjZMVW1TZk1uTWF0Mzk1Mk94QzB4Ylc5dmJ6ZXlmM2YzMytYeitOdldQZkRsTjBvR1NmaHZIOFkraktQcUVwSVBVL3lXOE9IaEVRMnRyNjZZZ0NHUm1QdHJSRG5FY243bXRPcVZwUGllYTJUZGVZTk44MU5MU1VsMVRVL050U2Y5V092UllITWVQWnpLWmI1blpBV2IyckkrOGNNcTd6R3hxYVVIYlBqTXJxbithMUYwRG82cmEydHJDVkNyMWR2V0hKS2ZGY2J4bTRPUk1KdE1rNmJqQmpaWXQ2bnRBNmM5ZzkrN1FqUU40UVNOTUFRQUFtQVE2T3p1N1dscGFHb1lxcTYydGZaT2ttOXg5eWVBeWQwL003UFJzTm50bGtpU0hTYnF6TkJWbFdSQUVyNDNqK0pHZGNnUERNTE9QbWRsQmt0YTUrNzlGVWZRdVNUWHVQdDNNam5iM0p3dUZ3cWxqY2ExVUt2V3gwc1BwWVJqZUphbEtVcWEwVHN1NW1VeG10cVFMdHRITXFMUzF0WVZCRUp3eDJ2cG1GcXIvL1hwYkdJWnpSM3Rlc1ZoY1ZEN3FhR2N6czZrMU5UWDNtTmtSa2g0dER5MVNxZFFGN3A1emR6T3phL3Y2K203czdPemNNTGlOTUF3WFNKcGFLQlErUEZ4QWxVcWxYcmV0dnJqN0E0VkNZWnU3QU5YVzFwNGw2YkxSM1NHQTNSVmhDZ0FBd09TUURQZEZNd3pEVjVXMkV4NXFIWTN2U1hxbnUzOWYwc3RLMndyL3JsQW92T24rKys5L2R2eTdQVEozdjc4MGdxREJ6TjVaT3VhbDZSeWVKTWw3dXJxNm50aG1RNk83Vm14bVdVbUhtdG4rcFIxazZpUjl2YU9qSXg5RjBmK1duajlTR3EyeTNZSWdPTVRNUmgybUREQ3pWMGg2UlFYWCthcWtDUXRUSkcyVXRLK2tIN3I3eFdhMmVhdm05dmIyN3JhMnRndURJUGlFcEMrbFVxbEZtVXptOWZsOC9nOERkZWJNbWRNZ2FTOUo2dW5wR1dxTGFxbi92WHZqNEMydmh6RHNaNlJjSnBQcENRSTI4QUVtTzhJVUFBQ0FTYXk1dWJsRzBwdEx3Y09kZzh1THhlS2w2WFQ2SkVsSG1abmMvWloxNjlhOWIvbnk1WVdoVzl5NWtpVDVvYVFqeld4TmtpVFBwOVBwOWU3K0kwbEhtOWtWdysxRXREMzYrdm8rVmwxZGZXRXVsM3RxL3Z6NURWVlZWWDkxOTRLa0MrYlBuei9OM1ErVzlLeWtDOHpzTzVLT0tPMFV0Sm03MTVZZUhqUzRySFEvZCtUeitTdUNJUGhSc1ZpY1BreFhqZ21DNEVwSmN5VGxraVM1VU5MdkIxZnE3ZTBOYW1wcTN1YnVtU0FJUGxrc0Z2c0cxOG5uOCt0MjRDWFpZZTVlTEJhTEozWjJkc1pSRkIweXFEanA2T2k0VmRKdGJXMXRid3VDNEkxbXRpR0tvcCs2KzhCMHJpUE1iSXFrcGNQOW5ZeWlxRm5TNGFXMVZGSm1kbDRVUmQyNVhPNlM4bnBtZGtBWWhyZHZxODltOXBJZHVXY0F1d2ZDRkFBQWdFbXNvYUhoTFdZMjNkMy8wTkhSOGRqZzhzN096bVZoR0g3WHpON2o3bitQNC9nOXBTK2x1NFRTdEkvTkl4WENNUHlDbVIwdDZhNWNMdmRKOVk4a21CMEV3YytIYThQZFo1Vkc1bHdWUmRHUTAzU1NKRGszbjgvL2FPQjVPcDIrUk5KZVp2YWhYQzczVk9uYTc1UjBrSms5VmFyV1dGb1lkck95MFJHMWc4dEs1WDlSLzZpTVhrbHJ5c3ZtejU4L3Y2cXE2bkpKYjVEVUtla3R1Vnh1cXdCTWtyVzF0YjJ0dXJyNlFrbUhTU29VaThVL2pYTGI1NTBpU1pKVWFlMllwTE96TTdlTjZpN3BjWGYvaHBrOTd1NnZNN1B5b1NGTEpiMXYySlBkMzJObVQwdDZXdEpjU1NkS21wM0paSHJ5K2Z3VlpWVWJ6ZXpFSGI4N0FKTUJZUW9BQU1EazloSDFmK0c4WWJnS1puYXB1NTlrWmdkRlVmU1JYQzczNlozYXcxR0tvdWpka3M1eTk0ZDdlbnJlSVNsUi94ZjNtaUFJQm85NjJHd2c0REN6bVpKbURsVW5DSUxONjgyRVlmaFBadllma3RwenVkeVhCNDdIY2Z3L3BYNHNLQjM2WlM2WFcxRGVUbXRyNjd4ME9yMVkwckpjTGplcXRVM0NNRndvNlQybEtUeHIzZjBhTS91VnV6ZUVZWGlhcEdrRGYwckJXR1JtaDBwNjN0MnZLaFFLbngrcnFVNWp4Y3pxU2c4M1Q4M3A2ZWtwVkZWVjNXOW1EdzZ1SHdUQlI4M3NqVW1TdkVUU0ljVmlzU1lJZ3NUTTFzUngvTlRnK2dOS3V5MmQ3dTQvazVRMU13VkJjRUtTSkQ4TGd1RHlNQXlmYy9kZmlEVlRBRlNJTUFVQUFHQ1NDc1B3ZFdiMlQrNysrUHIxNjI4YXJsNHVsMXNlUmRHbGtoYTUrNkl3RE8rSzQ3aGo1L1oyWkZFVS9ZdWtiMGhhbXlUSnY1YXY1OUxYMS9mWGREbzllNFRUNzVRMFQ5SjVrbjR3VklYdTd1NG5WSm9XWldiZlV2K1g3NFVEZ2MwNDI2c1VwS2cwZXVKY1NlZVdRcUJON2w0d3Mya0RsYzNzQ1hjL2Y5MjZkVjladm56NWhrd21jMDV6Yy9QWHkzYzZtbWhtVnF2KzE3QmIvWDhYUHlscGlxU2Z1cnZDTUx4eTBDa3ZMKzNvODM0ejgxUXF0YmtnREVPVjJucCswRWdUVlZkWHYwUFNQdTcrL2RKNk55b1dpMDhFUWZCNlNYODBzL2ViMmE5TDFWa3pCY0NvRWFZQUFBQk1Ub0daWGFuK0w2R2YyOVlhS0xsYzdzb3dETjlvWmkrVmRFYzJtMzE1ZTN2NzB6dXR0eVBJWkRLdmNQY2ZtMW1WcERkM2RIUThrTTFtRDB5UzVDVm1Oc2ZkNXhhTHhaczZPanIrUE5UNVVSUVYxRCtDNWNsOFByOThwR3MxTkRSOFh0SjhTWitPNDdoOTNyeDVMMHFuMHdlYTJZR1Nub3JqK0gvSCt2N2MvVXZ1M2lEcDcwRVFQRm9zRmxjSFFiQmEwbjZTM2l2cDNhVjZYV2IyaGJWcjEzNTc0UDJNb3VneVNaOW9iR3g4YjJ0cjYvRVR1WE5QdVNSSjZrcUJ4UFBxRDFmT2xyVG50czR6czQrTlVQeVlwUEl3SlcxbS8rWHVxL1A1L0YxaEdGNDlVSkRMNVI1b2EydDdiVzl2YjFkMWRmVmVwU2xIckprQ1lOUUlVd0FBQUNhaEtJck9rdFRxN21zMmJkcjB0VkdjVWpTemt5WGxKQjJTSk1tUG1wcWFYcjFpeFlydW5kRGRZYlcydHI0NENJS2ZTWnJpN3M5Sittd1loZ2U3ZTAzWjlCMUpHbmJreldoRlVYU1NwSVhxRHk3ZUVZYmhXV1pXTTFEdTdvc2svVy9aODZDcHFhbDJVRFBWcFRJYm9rd3JWcXpvazdURlFySDVmSDVOYWRTTW1wdWJhNlpPbmZwV1NaOHJqVmJwazNSbmtpUmZ6dWZ6OXd4dWI4T0dEVmZXMTllL3dzeU9TYVZTOTRaaCtQcGRZVlNSbWUxWitsbStJOVR6M2QzZHM4cnJWVmRYTjV2WjNXWTJROUlUa3I3WTA5UHp6U1JKdHRnaXVhYW1acXRnTDRxaVV5WE5McjB2V3kyK094Q3VaVEtadlVxSFdETUZ3S2dScGdBQUFFd3k4K2ZQUDlqZFAxVmFkUFdUeTVZdEc5V09McmxjN29Fd0REOW9adGViMlN0bXpKaHhTMzE5L1VsZFhWMDk0OS9yWVcyUXRJZjZ2NWhQZC9jOXpHeUZ1ejlrWmc4bVNmSndFQVIvZS83NTV6dDM5RUpKa3F3Ym1ONWhack1rUGUzdW5XYjJzTHMvV2l3V3QxZ00xc3hlTTJQR2pFMUR0V1ZtTHhtcWJQcjA2VitMNDNoaCtiR1dscGFwVlZWVnJ3aUM0RTFtOWpaSmU3bjdZNUl1TnJPdnQ3ZTNyeXF2Mzl6Y1hMUEhIbnMwOVBiMk5yajcxTkwwckJlYjJVR1MvaWVUeVJ4ZnZyM3dSREN6UTlUL21qNWFmcng4bWsxcDdabWIzSDI2dTE5a1ptK1VkRmxWVmRWSHpleGFNL3RjZTN2Nzh5cWI2bFBPM1dkS0toUUtoZXRHMHlmV1RBRlFDY0lVQUFDQXlTVmRWVlgxWFVsVDNmMlBjUngvZVJUbmJCYkg4VGN6bWN5TGd5RDRMMGx2cXFtcCtlR3NXYk5PWExseTVaQ2h3WGpyN094OE1nekRzOTE5bGJ0M2JkaXdZZms0YnR2OGh5UkpUcEhVbFVxbC9qcndSWDQ0N3I1RzB2M2x4OHlzWGxKWVd1dGtxMTFzM0gyTGFVYWxIWHhpU2FteU9zOUthbmYzSXlVdENNT3d3Y3dhM0gycW1UVklxbkozcGRORC9sZC9Eek83S3d6RE44WnhmUGQydlFwajQyRDF2eDRyQmhkRVVkVHE3aGVXZHQzcGx2UXVkMS9WMjl0N1F6cWRQczdNTHBkMFVaSWtaMmN5bVhmbjgvbi9IdW9DeFdMeHRpQUlHaXBZZkpjMVV3Q01HbUVLQUFEQUpCS0c0V2NsdmN6ZGV5UzlmM3NXVU0zbjh4ZEVVWFNRcEhlYjJldG16cHo1eXhrelpyeTFzN1B6eWZIcDljamlPTDUyWjF5bk5OM20yNk90YjJaL0dtRTNuMGZpT0g3bHR0cFl2SGp4NGpBTWYyVm1BKzJzazdSUjB1elM0L1dTVnJ2N0ZETTdWdElxZC8reXU2OHpzL1ZKa3F3enMvVURqMU9wMUtWbTlnWjMvNEtrekZEVFgzYUNsTHNmSW1sTkhNZVBEeXF6MG01Rng3cjduNU1rT1RXZFRxOTI5NGVxcXFxQ0lBaG1TYnF0V0N4ZVpHWkhKa215MWRTbUFaMmRuY3RtelpwMThXZzdaV2F6b2lpNmVSUlZEeDF0bXdCMlg0UXBBQUFBazBRWWhxZVoyWWRLVHkrSzQ3aHJlOXN5czFPVEpHazBzeE1rSFpWS3BlSW9pdjR0bDh2OWJ0RDE3cy9sY3ZlT3lRMVVhTmFzV1hVelo4NXNTWkprWGhBRUw4N2xjcVArWXIwRFVxT29VNUZDb2ZDK3FxcXF4ZzBiTnZ5OXVycmFxNnVyWDVmUDUzOVVYaWVUeVJ4VENsTWVqK040MFVCZm9pZzZyNmVuNTZZbFM1WThxdjRwUUc5dGFHajRRcUZRdUhod2tMS3ozcTh3REE4M3N5bVNmanRFc1cvYXRPbmY2dXZyajQzaitOYm01dWJxaG9hR1g1cFpvNWs5Nys1bnJGMjc5cXZMbHkvL2lDU1Q1Q05kcThJUlUzdEllbGZsZHdSZ01pSk1BUUFBbUFReW1jenJ6ZXlyNnA4bWNrc2N4NE8zbnExSWUzdDdyNlMzUkZIMFpVbW5tOWwra201b2FtcWF0MkxGaXU1TUp2TjZTZDl3OTU0d0RQODlqdU1kWGdCMk9ObHNkcTlpc1RnbkNJS1h1UHRMekd5dXU4OHJUU1VKZ2lDUXUvOVYwcGlHS1hQbXpHbW9xNnZMQmtGd3VMc2ZibWFIUzdwSTBxcFJuRDVxcFdrcVQ1UzJmNzVPMHR3d0RNK1A0L2lxa2M0THcvQy9KRjFTVlZWMVlSaUcxL1gwOUZ4VzJqSjY0ZUM2Ty9QOWt2U2EwczhoZHo1YXVuVHBNNUsrSDRiaGZwSythMlpIdS92UHpXeTZwS3NhR3hzL0VZYmhsNE1nK093WTd5aTExTXlPMmxhbEpFbit3OHd1R2NQckFuZ0JJa3dCQUFDWUJNeHNqcVMwdS8veHVlZWVPM1drdXU0K3NLUEsybTAwVzh6bGNtZUVZZmlZcEErYTJZS0IzWDE2ZW5wK1ZWTlQ4ejB6ZTRlazcwUlJkTWg0akF3SncvQlg3bjVzMmNLd20zKzZlMEhTWDkzOWZqTWJhaFJFUmFJb2VybTdIMk5tb2J1SGtwcXRkTUdCNjdyN3ByTEhxWmFXbHFubGJRUkJVRmNxczhGbEE3cTZ1amFVajdob2EydDdTU3FWdWtyU20wcUg3azJTNUs1QjdRYWxkamVmOTlSVFQzMTY3NzMzZGtubm1kbEhxcXVyVDQyaTZQSzFhOWRlTzNoZG1aMzFmcW4vdFRxaDFOZGZEbFdleldhcmtpUTV6Y3crVlZwczk1WkNvWEJLVjFkWFR4aUc3ekN6SzgzczQwbVNuQldHNFd2aU9QNWphWlRLRG5IM1lpNlgyMlk0azhsa05nNjh4d0FtTDhJVUFBQ0FTU0NPNDgrR1liaXBXQ3plVWI2ZGNXdHI2NHZUNmZSaDd2NU1hUzJPdlNWZFVTcGVQbnlMVzdSOTZkeTVjNjhyalNpUStnT0JIa252eW1ReWp3WkI4REZKRjBWUnRHOHVsenR6ZTlacEdVR0h1Ny9hekI2VzFDbXBRMUpuWDEvZi9aMmRuY3NsRmNmcVF1NytEak03Uy84SWEzcmN2VlBTZldaMlgxOWYzMzJkbloxZFVSUzl0bFRuMk5yYTJpRjNTakt6bHd4WGxzbGtYcHpQNTFka3M5bERraVQ1dUptZFVwbys5RVNTSkIvUDUvUGZuamR2M3F4WnMyYlZyVnk1Y2xNMm02MXk5eE5MN1c1ZWJIWGx5cFdiVnE1YythbHNObnQ5a2lSWG10bDdKVjNkME5Cd1psdGIyL2tkSFIyM0R0VGRXZTlYR0liL0xDbnI3aXZqT0I1eU9sR1NKSjgwczA5SzJ1anVaOFZ4L01XQnNqaU9iNWsxYTlZUDk5NTc3M1BOYkc0dWw3dTNOTVdwMnQyZnFxUXZyYTJ0czZxcXFxWW1TYkovNlZCMU5wdWR1NjN6aXNYaTNxV0hlMld6MmJtOXZiMkZ6czdPaHl1NU5vQVhQc0lVQUFDQVNTS080NjhNUHBaT3AyZEorc2xRdjJsMzkxRnRLYXQvVE0zWXFvbDhQbjllR0licnpleFNTYWRIVWRTYnkrVSt1QjNkSDFKZlg5OWx4V0x4NHRIc3dyS2ozUDFPTTZ1VDlCZEo3WVZDWWZFMnRvVit4dDN6bFY2bnI2OXZVemFiclhmMy96T3pmVW9oMStjM2JOaHc1Y0EyMWxWVlZUK2ZPWFBtWVh2dnZYZVB1NmZLMW1yNXhlRDJTbHNubjV6SlpHNElndUNyWmpZbkNJS3JNNW5NWGFWRmRUZmY0bmkvWDVMT0x2Mzh4bkRybmNSeGZHa1locjI5dmIwM0RxejFNaUNLb3ArNisrR2xvR1ZqR0laTEpUV3JQMGo2VlNVZFNhZlQxN3Y3Y1dXam1XYTcrd1BiT3E5c0o1OFB1UHNIMHVuME1rbmJER0VBN0Y0SVV3QUFBQ2F4M3Q3ZUpWVlZWVnNja3ZSUWtpUmZ6T2Z6TjR6Rk5lSTQvbFFZaG1sSlp4V0x4VytOUlpzREZpOWUvTnhZdGplU2ZENS9qNlJoZDQ4WndsL2lPRjR3aW5wRGFtdHJPenVWU3Yyem1WMVdDa1RLTFpWMFdHbEVoa3Q2M04xdnlPZnpYeDJwLzgzTnpXMk5qWTNubTlsUDR6aGVNMVM5OFh5L0pGM3Y3cThLZ21Da0xibjc0amorMUZBRjdyN0V6RjVmOXR6TmJMV2tPL3I2K2lwYXg4VGQ3ekd6SVYrREN0dDViRWZiQUFBQUFBQzhNQVdsWDdTTjIySVFiVzF0KzQraUdpcVF6V2FyeHVzWHBPUDFmclcydHI1NDhMRW9pckpoR1A1VEJjMVlhVFJPTUlxNkFBQUFBQUFBQUFBQUFBQUFBQUFBQUFBQUFBQUFBQUFBQUFBQUFBQUFBQUFBQUFBQUFBQUFBTVpjYXFJN0FBQUFBR0JMVVJSbFo4NmNlY0RxMWFzZm0raStBQUMyeHI3c0FBQUF3QzVrN3R5NWU3cjdqMU9wMUoraUtIckxSUGNIQUxDMTlFUjNBQUFBQU5oZFpMUFpBNU1rdWJiQzA2Nks0L2lQcGNkV1YxZjNMVFBiejkydmplUDRCNlYycTlyYjIzdkh2c2NBZ08xQm1BSUFBQUNNa2Q3ZTNzWjBPdjNHU3M1eDk1c0hIa2RSOUFsSkowajZUUnpINTBwU0pwTjVvN3QvTllxaVUzSzUzQy9Ibzk4QWdNcllSSGNBQUFBQTJGMkZZWGlzbWYwcVNaSTNTNW9XQk1FTmtvN0k1WEwzRHE2YnlXVGVaR1ozU0ZyYTA5TnoxUDMzMy85c3FZMVhTL3B2TTB1U0pEaytuOC9mTXlFM0F3RFlqRFZUQUFBQWdBblcxdGIycWlBSWJwSDBlRzl2NzRLQklFV1M0amkrMjh4T2R2ZGFNL3RKYTJ0ck5MRzlCUUF3elFjQUFBQ1lRRzF0YmE4Tmd1REhrbW9rL2FhcXF1cmtNQXpySlUyUk5OWE1HaVExbXRsNlNRM3BkUHFuMld6MjVlM3Q3WTlNZE44QllMSmltZzhBQUFBd2hxSW9Pc3JkM3lWSlpyYS9wRGRJK3FXNzE1alpNWkx1ZFBjblM5VnZkM2NMZ3VDdVFjMzB1ZnM2U1d2TmJLMjdyemV6ZFpJYUpiM2MzYjhYeC9FN2R2N2RBUURFeUJRQUFBQmdiTG43WVdaMnhxRER4NWx0L2ozbW13Y2VKMG15UEovUGY2NnRyZTA0U1U4RlFaRHE3ZTE5ZE1tU0phc0hLamMxTmRWSzBvb1ZLN29scGNNd3ZIVGp4bzFYN0x3N0FnQU14cG9wQUFBQXdEZ29MVHI3citvUFdONGhhYUVrRll2RmYwbVM1TFZsVllzZEhSMTNwZFBwWnlSOXQ2cXE2Z2Z6NTgrZlBsQTRZOGFNRzZkUG45Nlp5V1NPa2RRWHgvRW5saTFidG00aTdna0EwSTh3QlFBQUFCZ0hRUkIwSjBtU3FIKzZ6NW9rU1FxU2xFcWxOcm43cHZLNnJhMnRjOXo5ZDJZMlc5S0dZckhZSzBrdExTM1ZrcDZXMUd4bXZ3bkQ4QnR6NXN4cG1LQmJBZ0NVRUtZQUFBQUE0OFRNOWxEL3lKVG5oNnVUeVdTT1Q2VlM5MG82VU5MM2d5QjRVMWRYMTNwSjZ1cnE2c25sY2g5TWttU0JwRlZtOXY3Nit2ck9LSXFPMnBuM0FRRFlFbUVLQUFBQU1INW1TMUp2YisvS29RcURJSGlybWYzRXpLWkora3d1bDN1bnUvOGdETU83TXBsTTAwQzlqbzZPdTRJZ2FIUDNuNWxaazd0L2xzMGtBR0RpRUtZQUFBQUE0K2Rsa3A1WnNtVEpvNld0alNYcFh3WkdyRWk2Mjh5NmtpUTVKWmZML1djVVJhK1ZkSnlrMmV2WHIxOVYzbEI3ZS92VGNSeS93ZDAvS3Vsa1NiN3pid2NBSUhiekFRQUFBTWJOWHBLT2RmYzcxTC93N0wycFZLcGdacGNGUWYvdk5KTWtlUzZmejRlUytscGFXcWE2KzFmTVRHYlcxTmpZMkIxRjBSWU51dnZxT0k3M21aamJBUUFNSUV3QkFBQUF4c2Q1WmxZdDZUdVMxTm5adWJLdHJlMElNMXNRQk1Gc1NlOHIxZXVUcE5yYTJzOUthbkwzQnlVOU1xaXRQYzBzSTJuWXRWY0FBRHNQWVFvQUFBQXdEdHc5SitucE9JNS9NWENzbzZNamxoUzN0Ylc5TXBWS0RZUXB5bVF5SjB2NmQvVXZXbnRQTHBjN3ZieXRLSXErSkNrajZlYWRmQnNBZ0NHd1pnb0FBQUF3RHN6c2xrS2hjTnkyNmtWUmRGUVFCRitWMUZzYWtmSytiRFo3eUVCNUdJWjdTenBWMHNiZTN0NnZqM3ZIQVFEYnhNZ1VBQUFBWUh6Y1dWTlRVd3pEY0tzQ013dlV2NXZQL3U3K1l6T3JMUVVtVDB2NmNaSWtuNU4wUXFuNkZaTHEzUDJxSlV1V3JON1pOd0VBMkJwaENnQUFBREFPM0QyVzlPUXd4VE1rSFpVa3lXTkJFUHpVM1ZmRWNYeUQra2VpL05ITS9qV0tvdjlNa3VReE16dk4zZjllS0JRVzdkdzdBQUFNaHpBRkFBQUFHQWRtZG1rdWwvdkZVR1dsTlZOK1Y2cDNhaTZYNnhzb1M1TGtsQ0FJY21aMnVaa1ZKUFc1K3lsZFhWM3JoMm9MQUxEenNXWUtBQUFBTUlIYTI5dDdKZm5BODQ2T2pyOUsrcEtrdEpsTmNmY2I4L244UFJQYlN3QkFPVWFtQUFBQUFMdUliRFpibFNUSmVXYjIwYkxEcDJVeW1XZlhyRmx6MFlvVks3b25zSHNBZ0JMQ0ZBQUFBR0I4M0JtR1lYR29nb0VGYU1zUFJWSDBwaVJKTGpPelF5VjFTL3BBc1ZoOExwVktYV2RtSDVzK2ZmcmJwaytmZm5FY3g5K1YxRGRVdXdDQW5jTW11Z01BQUFEQTdpUU13NFZtOWhWSi8rZnV3KzIrczZlWkhlUHVsN3I3czJaMnVwbTFxSC9oMmw4bFNmTEIwblFrVUVraEFBQWdBRWxFUVZRZnRiYTJ6a3luMDErUzlMYlN1YXZjL1p0eEhIOXlwOTBVQUdBTGpFd0JBQUFBeHNkbGNSeHZhd0hhdmlBSXpuVDNsN2o3M1pLdWlPUDQ3dks2bloyZFQwcDZlMnRyNjV4ME9uMm11NS9zN3MvdnRMc0FBQUFBQUFBWVorbVdscGFwa2xLanFkemEyam9ubTgwZU10ckdzOWxzL1dqYkJnQUFBQUFBQUFBQUFBQUFBQUFBQUFBQUFBQUFBQUFBQUFBQUFBQUFBQUFBQUFBQUFBQUFBQUFBQUFBQUFBQUFBQUFBQUFBQUFBQUFBQUFBQUFBQUFBQUFBQUFBQUFBQUFBQUFBQUFBQUFBQUFBQUFBQUFBQUFBQUFBQUFBQUFBQUFBQUFBQUFBQUFBQUFBQUFBQUFBQUFBQUFBQUFNYUhUWFFIQUFBQUFHeG16YzNOMVpLMGZQbnlIa2srMFIwQ0FHeU5NQVVBQUFEWVJiUzF0UjJXU3FYT2xWUmRMQmF2Nk9qb3VIK2krd1FBMkZvdzBSMEFBQUFBMEM4SWdyMGt2YzdkWDE5NkRBRFlCUkdtQUFBQUFBQUFWSUF3QlFBQUFBQUFvQUtFS1FBQUFBQUFBQlVnVEFFQUFBQUFBS2dBWVFvQUFBQUFBRUFGQ0ZNQUFBQUFBQUFxUUpnQ0FBQUFBQUJRQWNJVUFBQUFBQUNBQ2hDbUFBQUFBQUFBVklBd0JRQUFBQUFBb0FLRUtRQUFBQUFBQUJVZ1RBRUFBQUFBQUtnQVlRb0FBQUFBQUVBRkNGTUFBQUFBQUFBcVFKZ0NBQUFBQUFCUUFjSVVBQUFBQUFDQUNoQ21BQUFBQUFBQVZJQXdCUUFBQUFBQW9BS0VLUUFBQUFBQUFCVWdUQUVBQUFBQUFLZ0FZUW9BQUFBQUFFQUZDRk1BQUFBQUFBQXFRSmdDQUFBQUFBQlFBY0lVQUFBQUFBQ0FDaENtQUFBQUFBQUFWSUF3QlFBQUFBQUFvQUtFS1FBQUFBQUFBQlVnVEFFQUFBQUFBS2dBWVFvQUFBQUFBRUFGQ0ZNQUFBQUFBQUFxUUpnQ0FBQUFBQUJRQWNJVUFBQUFBQUNBQ2hDbUFBQUFBQUFBVklBd0JRQUFBQUFBb0FLRUtRQUFBQUFBQUJVZ1RBRUFBQUFBQUtnQVlRb0FBQUFBQUVBRkNGTUFBQUFBQUFBcVFKZ0NBQUFBQUFCUUFjSVVBQUFBQUFDQUNoQ21BQUFBQUFBQVZJQXdCUUFBQUFBQW9BS0VLUUFBQUFBQUFCVWdUQUVBQUFBQUFLZ0FZUW9BQUFBQUFFQUZDRk1BQUFBQUFBQXFRSmdDQUFBQUFBQlFBY0lVQUFBQUFBQ0FDaENtQUFBQUFBQUFWSUF3QlFBQUFBQUFvQUtFS1FBQUFBQUFBQlVnVEFFQUFBQUFBS2dBWVFvQUFBQUFBRUFGQ0ZNQUFBQUFBQUFxUUpnQ0FBQUFBQUJRQWNJVUFBQUFBQUNBQ2hDbUFBQUFBQUFBVklBd0JRQUFBQUFBb0FLRUtRQUFBQUFBQUJVZ1RBRUFBQUFBQUtnQVlRb0FBQUFBQUVBRkNGTUFBQUFBQUFBcVFKZ0NBQUFBQUFCUUFjSVVBQUFBQUFDQUNoQ21BQUFBQUFBQVZJQXdCUUFBQUFBQW9BS0VLUUFBQUFBQUFCVWdUQUVBQUFBQUFLZ0FZUW9BQUFBQUFFQUZDRk1BQUFBQUFBQXFRSmdDQUFBQUFBQlFBY0lVQUFBQUFBQ0FDaENtQUFBQUFBQUFWSUF3QlFBQUFBQUFvQUxwaWU0QUFBQUFNQm1GWWJpZnU3KzAvSmlaelhQM0drbFZadmJLVENZenJiemMzZi9TMGRIeDJFN3ZMQUJnQzRRcEFBQUF3QVF3c3ozTTdJZERIQjk0dUNnSXRoeEkzdGZYTjE4U1lRb0FURENtK1FBQUFBQVRJSmZMUFpBa3laOUdXOS9kMnpzN081ZU1iNjhBQUtOQm1BSUFBQUJNRUhlL3NmUlQ3ajVVZWZueFczWnk5d0FBd3lCTUFRQUFBQ1pJc1ZqOGxicy90NjE2N3Y2Y3U5KzljM29GQU5nV3doUUFBQUJnZ3RUVTFEeHRabkhaT2lsYk1UT1pXZHpYMTdkcXAzWU9BREFzd2hRQUFBQmdnclMzdDY5ejk5OUxLcW8wcldmQXdHTjNUOXo5OTB1V0xIbDY0bm9LQUNoSG1BSUFBQUJNbkVUU1h5U3RHYTZDbVcwbzFTbnUzSzRCQUlaRG1BSUFBQUJNb043ZTNqOUoyanpxWlBCaXRPNitybEFvL0htaStnY0EyQnBoQ2dBQUFEQ0JsaXhac2pwSmtqOE90VzVLNmRnZnVycTZucGlJdmdFQWhrYVlBZ0FBQUV3d2QvL09jR1ZtZHYzTzdRMEFZRnVHWHpZY0FBQUF3TTRTaEdINHFLVDlCaDEvSW83ai9VdHJxd0FBZGhHTVRBRUFBQUFtWGlMcDJ3TlRmVXJiSVV2U3JRUXBBTERySVV3QkFBQUFkZ0Y5ZlgxM3VIdGg0TG03RjRyRjRvOG10bGNBZ0tFUXBnQUFBQUM3Z043ZTNoV1NGcGVOVGxraTZhOFQzUzhBd05ZSVV3QUFBSUJkUUJBRTZ5VGQ1Lzl3MzdQUFB2dk1SUGNMQUxBMXdoUUFBQUJnRjlEVjFkV1RKTWw5a2phWVdTRkprdnRXcmx5NWFhTDdCUURZV25xaU93QUFBQUNnbjd2L1FkSlQ3ajRsQ0lKN0o3by9BQUFBQUFBQXV6cUxvdWlubVV6bWQ0d2lCNEJkbDAxMEJ3QUFtQ2o3SFRMdmdPcXE5Q0VUM1ErOGNCVUtoWWRYUGZ6QTN5ZTZIeTgwZlBaR1Zwdnk0NElncU43WTZ6K1o2TDdzcXZqc0FaaG9oQ2tBZ0VtcHFTblRwRnEvUWFhNUU5MFh2S0E5b2sxMjBvb1YrUlVUM1pFWGl2MmJXMmRWcGUwbVBuc2pHdmcvdWs5d1AzWmxmUFlBVENqV1RBRUFURTYxYXBKcHJzbjJxYStyVXlxZG11Z2U0UVdrMkZmVXB1NXVKZTYxcWxXVEpMN1FqVktWTkd2Z3MxZFhWNmMwbnoxVWdNOGVnRjBGWVFvQVlGS3JyNnZUUjg3NmdGb09uVFBSWGNFTFNOY0R5L1RGcjN4ZGE5YXVuZWl1dkdEVjE5WHBnMmVlcmt6cnZJbnVDbDVBK093QjJGVVFwZ0FBSnJWVU9xV1dRK2ZvNVlmLzAwUjNCUzh3VlZWVkU5MkZGN1JVT3FWRDU4em1zNGVLOGRrRHNDdGdoWEFBQUFBQUFJQUtFS1lBQUFBQUFBQlVnREFGQUFBQUFBQ2dBb1FwQUFBQUFBQUFGV0FCV21BbmFXdHJlNlVrUGYvODgzOVpzV0pGOTBUM1o2dzBOemZYTkRZMnpzdmxjdTFqMFY0WWh0ZWIyWktlbnA1YmxpeFpzbm9zMmdRQUFBQ0FzVVNZZ2ttcHFhbXBkdnIwNlJkWGNrNmhVTGl3cTZ1clozdXZtVXFsZmlkSk0yYk1tTDFpeFlybDI5dk9ybVR1M0xsNzF0WFYzU2RwbjdhMnRpTTdPanJpSFdrdms4bGt6T3cwOWI5ZXY1SkVtQUlBQUFCZ2wwT1lna2xwMnJScHRXWjJYb1duTFpLMDNXSEs3bWpwMHFYUFJGSDBhMG4vSGdUQjk3TFpiTmplM3I1eGU5c3pzM2RMa3J2ZjE5SFJjZitZZGhZQUFBQUF4Z2hoQ25ZN1VSUmQ3ZTR6Qmg4dkZvdWY3dXpzWERibzhQOTFkM2UvYnFUMmFtdHJmeTdwbFVOYzUydnVmdGgyZFBGN1lSaU9kcHJQMGppTzM3OGQxOWhoOCtiTk95QUlnajIyVmErdnIrK2I2WFQ2TFpKbUowbHlXbXRyNjIrM2RVNHFsWG8yanVQSHk0ODFOVFhWU25wUDZlbitZUmorMzQ3MFgvMmh6QS96K2Z4bmRyUWRBQUFBQUNoSG1JTGRqcnUvMDh6MkgzdzhDSUtiSlMwYlZMZlkxZFcxZnFUMndqQXNtdGxRUlcxbTlyTHQ2R0oybVBhR1Vyc2Q3WStKcXFxcXo1blppYU90WDdxbmE5UHBiZit6NHU1Zms3U3cvTmowNmROUE1iT1pwYmIyazdUZmRuVjhTMHZHb0EwQUFBQUEyQUpoQ25aWHE3cTd1eU5KcXFtcHVkRE16aHpyQ3p6NTVKT3ZhbXhzVEkyMmZtMXQ3YnJTdzdidTd1Ni9qZWFjdFd2WEZyZTdnMlBFM2UrUjlQY3hidk9QZ3c2bHpPeWpwY2NYbTlsMVkzR2R2cjYrVFdQUkRnQUFBQUNVSTB6QmJzbmRrNjZ1cmlmVVA3SmtwRFU4amdyRGNNU1JLWkxxaGpxNGN1WEtpcjZvUjFFMDhIRGp0a2JEN0dLdWkrUDRkcFYyN2xtK2ZIbGhvR0RXckZsMU0yZk9QQ2RKa2dmeitmeHQ1U2RGVVhSY2tpUnpVNm5VbDl2YjIzdEh1a0FZaHFkTE9zVGRuOTI0Y2VObmx5MWJ0bTZrK2dBQUFBQXdrUWhUTU5rOUpla1gyNml6UU5LTGhpdHNhV21wbGxSZHdUWHJXMXBhcG81VW9hZW5wN2M4dE5nVlpES1phVUVRUEJLRzRRTkJFTHlxdmIxOTQ4eVpNOXNrWFdabTkwdmFIS1prczlsNmQvOXlFQVFISjBueXdUQU16NDNqK01kRHRUdC8vdnpwWnZhcDB0T3JDNFZDNzdaZW4xSG8yWkdkbHdBQUFBQmdKSVFwbUpSNmVubzIxdFRVbkNucDhlRys1QThJdy9BRWQ5K3ZxNnRyeUVWamEydHJyNVowZGdXWDc2aXRIWGtwbE5yYTJ1OUwrcmNLMmh4M1puYXFwQVpKeXdkMjdFbVNKQXFDUUdhMnhaYkk3ZTN0R3pPWlROYk1ycEIwaHBuOUtBekQ3OFJ4ZlBMZ2R0UHA5T1dTOXBUMHQzWHIxbjErK3ZUcDN6ZXpOKzVnZHkrUlZOSFcxd0FBQUFBd1dvUXBtSFRDTVB5a3BJRUZhak5oR0I1ZmV2eGtITWNYcW4rS3ltWHV2dWVnODc1a1puL0w1WEpYRDJweWhhUS9qV1VmM2YzQnNXeHZESmlaL1llN0oyYTJxT3hnV0hxWUczeENQcDlmSStuTU1BeHZrWFMxbVYwenVFNG1rem5lekJhcS81N1BXYjU4ZVNHVHlTeVJORzFIT3V2dUszYmtmQUFBQUFBWUNXRUtKcU9Uek93d1NlV0x1NllrUFNUcFF2Vi9HWCtYbVIwMFJKMC9TZG9pVE1ubGNwK1g5UG1kMXZzSmtNbGtqcFYwaUpsdGRQZXZoT0ZBaHFKVzliOWVwNFZoT094b0VuZnZsblJ0MlhrZjcrM3QvWnVaM1ZBcXYyVmdoRkErbjc5ZzNHOElBQUFBQUhZQVlRb21xNGR5dVZ6endKTXdESmVZMlJaemI5eTlJNDdqVEZtZEo0YmIwcmlwcWFtMnZyNStURDVQYTlldUxWYTZ1TzFPTURDU3A5N01qaDVjV0FxbktyRm5kWFYxajZTWjd2NzRwazJiUGpRMjNRUUFBQUNBOFVlWUFveUJHVE5tL0ZEU2NXUFJWbTF0YmZ2S2xTdi9hU3phR2lPZXorZHZibWxwdWIzOFlFMU56ZHZON0p1Uzd1cnU3ajZ4a2dhN3VybzJTU3FHWVhoL2tpUUw2K3JxcmdyRGNFeldpTm0wYWROQlM1Y3VmV1lzMmdJQUFBQ0FvUkNtWUZKeTl6M0RNTHh5NExtWnZValM4NE9xN1Z0ZVI5Sm9kcGpwbExScW1MTGpTdGUrMjh6Nmh1cVRtZTFLSVVxZCt2dTFTVkxmNE8yY3d6QjhVNm44aDl1NzFYTVFCTWZIY2Z4SUdJWnZsN1JtUnpwclp2dEwwcFFwVTRZZVBnUUFBQUFBWTRRd0JaT1NtVTJUZE42Z3c4OFBxak56aURyYjh1bGNMbmZ6VUFWUkZMbjZ3NGUzeG5HOFZYQVFodUd4a241VjRmWEdqWmsxcUQvd1dEZTRiUDc4K2RNSHdpRXplMjBZaHRsUk5QbDBITWZubHg5b2IyOS9SSkxpT0Q1TDBsbmIyOWZtNXVhYXhzYkdJWGRiQWdBQUFJQ3hScGlDeWVwdjNkM2RiUU5QYW10cnYrUHU2VXdtODg0Z0NEYTVlNWU3MzFjb0ZONDNVS2VtcHVhaDRkWk0yVTFOVmYvMngxdUZLZWwwK2lRenF5NDlmZE5vWHBmU0Rqdm5iN1BpZGxpK2ZIbHZGRVZTZjMrcnQza0NBQUFBQU93QXdoUk1Pazg5OWRSTFgvU2lGMWxYVjlmR3NzTnZVZi9va1Q1M2Z5S080MW1Eejh0bXN5OWV2WHExRDlXbXU2ZDJ0NkRGM2FlWm1ZckY0dHBCUldreisyanA4ZlB1M21CbXIwK1NaT2xRN1pqWlY4eHNnWm45Y0J5N20wanFsVlRWMTlkWE80cjZBQUFBQUxEZENGTXdxV1F5bVpjR1FUREgzVFV3a3FHY3U1dWsraWlLM2oxRW1XYk9uS205OTk1N1ZSekhkdzhxM3F2MDh6K0hPcmVjbWQwZVJkR1FhNlpVZmtmam83bTV1Y2JNRHBSVVhMZHUzZVBsWldFWXZsZlNJWkllU3BMazdDQUlmaXJwNG53K2YrU2dyYVJWZWkwV1NGcGxaaGVQYzdjM1Nhb0tncUJ1bks4REFBQUFZSklqVE1GdXljeFNtVXltcWZTNGNlQjRFQVFuUy9yQUNPZEowblJKTjQzUS9OMmxQK1gyTHYxc0xmMFpxVyt2SHVIYXU0U0dob2E1a2xMdS9zQ0tGU3MycjBXU3pXYXJraVM1b1BUMDZudysvOTloR1A3RXpQNDFpcUlMY3JuY0pRTjFXMXRiNTBuNnNyc25admJ1OXZiMndRdjhqaWwzZjlMTUdvTWcyRmZTL2FYK3ptMXZieDl5eEF3QUFBQUFiQy9DRk95dTlnbUM0T0VoanQvcjdsdnN5bU5tS1VrbkR1eGVVeVoyOTg3QkRaalovZVhQTTVuTU5EUGJ4OTFkMHF4Q29UQjRXc3lvMU5iV0hpUHBKOXR6N2xoejkzbG1Kak5iWEg0OFNaSkx6ZXpGN3I2OFVDamNxUDZBNmd4M2Y2bWtpek9aVEU4K243K2l0YlgxWmFsVTZtZVNHaVNkbTh2bGZyTVR1djEzU2MxbWRrQlpmenVpS0hvMGw4czE3NFRyQXdBQUFKZ2tDRk93dTlybzdyZVZIMGlsVWsrMHQ3ZmZJMm56Ymp2WmJQYVFKRWx1TXJNNmQ3L0p6TjVaMnFKM2hhUVdTWmZIY1h6N1NCY0tndUE0U1Nrelc1Ykw1UjRmcWU1SU1wbk1Nak83eHQwZkhhbzhtODN1bFNUSmg0SWdXTlRlM3Q2N3ZkY1pEVE43dmZwRGxkekFzYmEydGxkSytwajZRNG9QZEhWMTlhaC9SNTVWcmEydGIwcWxVbmNIUVhCNUdJWnpKWjFvWmxQY2ZWRWN4NThkejc2V1dTN3AxZTUrbUVvN0RwbFp0YnZ6N3h3d0NrODk5WlNlZmZaWnpadzVVOU9uVDkrcS9MSEhIdE9VS1ZNMGJkcTBDZWtmZ0lteGZ2MTZQZmJZWTVvNmRhcjIzMy8vcmNxZmYvNTVyVjI3VmdjY2NNQ1E1d1BBN29vdkdkZ3R1ZnR6Y1J5Zk1sejVuRGx6R3VycjZ6K1JKTWs1a2t6U09YRWNmejZLb25lNmUvZW1UWnVPcTYrdi80MlozUmFHNFMyRlF1RWpYVjFkVHd4enJiZWFtZHo5bHp2UzUzdysvNkNranc1VGJPNytVek43bWJ1L2F1N2N1VzlldW5UcE16dHl2ZUdVMWt0NWcvcERrenNsYWU3Y3VYc0dRWENUbVFXUy9sOUhSOGRkNWVkMGRuYitLWlBKbkdSbVB6V3o5NnIvZGJrbWp1TlBqa2NmaC9FSFNXZVkyWkhxRDduMkt4MWZ1UlA3QUd5WE8rNjRRNy81elc5MHlTV1hhSys5OXRxaXJGZ3NxcTl2cTJXV1JpMmRUaXVWU20zVnB2cEQ1czNIYnI3NVp0MTg4ODA2OTl4ejljNTN2bk9MK3V2WHI5ZnBwNSt1MWF0WDY0dGYvS0tPT09LSWJWNjNyNjlQUFQwOTI5M3YwYWl1cmxZNnpYOWxzUE05K09DRFdyOSsvWmkyV1Y5ZnJ6bHo1bXh4N0lFSEh0QWxsMXlpQ3k2NFFQUG16ZHVpek4xMzZET1dTcVdHL1B6MDlQU291dm9mRytQRmNhd1BmL2pET3Zyb28vWFp6Mjc5KzVGTEw3MVU5OXh6ajA0OTlWUjk0QVBEenFRR2dOME8vd1BCN2lnY3JxQ2xwV1dmMnRyYUQ3bjdtV1kyWGRLZmlzWGlhUjBkSFZ0TTNWbTZkT2t6TFMwdFI5YlUxTnhnWnUrb3JhMTljeGlHTi9iMTlYMTU4ZUxGbTZlK3RMYTJ2cXcwUlVoQkVIeGxITy9KM2YxamtuNW9aa2ZWMWRYZEcwWFI2M0s1M1BLeHZsQkRROE9iUzlOejRvNk9qcjltczlrOVNrRlJrNlNsR3pac09MTzhmaW1ZK25jeiswVHBVTEUwVXVlc01BeW5KRW55dVk2T2pyK09kVDhIQzRMZ25pUkozTXhlT20vZXZBT0NJSmlyL2xFMlhlTjliV0JIckYyN1Z0ZGVlNjNXcjErdmswNDZTUmRmZkxHT091cW96ZVczMzM2N3JyNzY2dTF1LzZLTEx0SUpKNXl3K2ZteVpjdDAwVVVYNmNnamo5U0hQdlNoVWJWeDVaVlg2b2tubnRCUlJ4MDFxaUJGa202OTlWWmRjODAxMjkzdjBUajc3TFAxM3ZlK2QxeXZnVjNmZmZmZHB5OTg0UXNWbjNmRUVVY29uVTdyNjEvLytvajFEajc0WU4xMjJ4YURYYlZvMFNJdFdiS2s0bXVPWlBiczJmcmU5NzYzeGJGcnJybEdEejc0b0U0OTlWUXRYTGhRNzN2Zit6YXZzZmJRUXcvcHBKTk8ydTdydmVFTmI5QWxsMnhlNmt4cjFxelJva1dMOU54enorbHJYL3ZhcUlMS08rKzhVL2ZjYzQ5bXpweXBrMDgrZWJ2N0FnQXZSSVFwMk8zRWNmelU0R05SRkwzWjNVODJzK01sVlpuWm82VzFQTDVkMmxaM0sxMWRYZXNsdlMyVHlaeGlabGViMmNLcXFxcUZVUlRGVHo3NTVKR05qWTJwZERyOWxkTElsdHZHZTZIVE9JNy9Od3pEVjByNnVaazF1L3Z2MjlyYUZuUjBkTVJqZFkyV2xwWnFNN3RNL2FOU3Z0dmEyam9sU1pLZm1WblczZGVZMlZ1V0xWdTJUbElRaHVFcnpld2tTZStXMUNpcDZPNWZESUxnVW5jLzFkMHZOTE9GcVZScVlSaUcveVBwQjBFUS9IZDdlL3REWTlYZmN1M3Q3WStFWVhpM3BHT3JxcW8rSnFtbmRCLzU4YmdlTUZZYUd4dDEvZlhYNjV4enp0R3FWYXYwNFE5L1dPOS8vL3QxeGhsbktBaUN6ZldtVHAycVBmY2MvYVpmenp6enpKQy9PYStycTlPamp6NnFHMis4VVpsTVpvdmdaaWpmL2U1MzlmT2YvMXlTOU9TVFQycmh3b1hEMXAwNWM2WXV2ZlJTU2RLTUdUTjA2S0dIRGxsdjVjcVZXcmR1bmVycTZ0VFUxRFRxZXhwczhDZ2VURTdyMTYvWHd3OXZ1VXhhZDNlM3pFdzFOVFVxRm92cTdlMVZkWFgxRnArcFF3NDVSQzB0TFRyb29JT0diRGRKRWozNjZKQXpiemY3OXJlL3JhcXFxczNQVjY5ZXJYUE9PVWV2ZnZXcmRkcHBwMjFSOThZYmI5UmRkOTJscTYrK1dyTm16ZHFpN04zdkhub2p3R3V1dVVibm4zKysvdnpuUCt1NjY2NVRaMmVuRmkxYXBLbFQvN0g4V3pxZEhuTDZ6WEEyYk5pZ3A1OStlcXZqOWZYMWV1U1JSL1RRUXcvcHV1dXUwOWxubnoxaU80c1hMOVpWVjEwbGxVYTVmUFNqd3cydTdYZmxsVmN5VFJEQWJvVXdCWk5GazVtOVVkS3lKRW11WGI5Ky9UZVhMMTllR00ySitYeit4dm56NS8rb3FxcnFiRWtmY1BjYkd4c2JVN1cxdFQrWEZMcjdjNFZDNGF6eHZ3VXBqdU91YkRaN1ZKSWsvMk5tVFVFUS9DYUtvcGVPMVFpVm1wcWFFeVVkN082UHBWS3BMNjlac3lhWk1XUEdPbmRmSStrMWZYMTkzV0VZM2licGFETWIyTUdvVjlLTlNaSmNYcHFxSkVsWGgyRjRnN3QvcERUMTVtaEpSN3Y3RjhJd1hKMGt5WHNIVHhVYUkxZEtPdGJNUGxoNnZxbW5wK2NINDNBZFlFek5uajE3OHhTYmZENnY2NisvWHQzZDNUcm5uSE0yMXpuKytPTjEzbm5uamJyTnE2NjZTcmZlZXV0V3h3ODg4RUNkZSs2NXV1eXl5M1RSUlJmcDFsdHZIVGFVK08xdmY2dlBmZTV6bTU4dlc3WnN4R3VXZjBGY3NHQ0JGaXhZc0ZXZHYvemxML3JRaHo2a3Fxb3FmZUVMWDFBMm14MzFQUUZEZWRXclhxWGYvLzczV3h4YnNHQ0I5dHByTDkxODg4MjYvZmJiZGNVVlYraWFhNjdSSzE3eGlxM09IMjUweDdwMTYzVE1NY2VNZU8zWnMyZXJwcVptOC9QNitucEowaDU3N0xIVmxKMkJJT0dnZ3c1U2MvUG8xa1hmWTQ4OTlLVXZmVW1mK2N4bmRPdXR0K3Azdi91ZEZpNWNxSnR1K3NlbWd3Y2VlT0JXSTJkRzh1dGYvM3JJZjB1cXE2dDEyV1dYNlQzdmVZKys4NTN2NlBERER4OTJKTnFqano2cWM4ODlWNzI5L1V1NHJWcTFTcXRXclJyeHVvWENxUDdiQlFBdkdJUXBtQlJ5dWR6bm9pajYzMXd1bDVQa2xaNi9lUEhpNXlSZFBHdldyS3RXcmx6WmZkaGhoMDEzOS8zTnJFL1N1NFpiVDJVOGxFWmdIT1B1LzJObXY4M2xjbjhicTdhRElMZzlTWkxUemV5YjdlM3RHeVZwenozM2ZFdHZiKzhocGVsTkZrVlJYV2tyNk1XU2J1N3I2N3V4czdQenljRnRsVVlJZmJ5cHFlbVNhZFArUDN0M0h0NUV0ZjRCL0hzbVNUZGFOc3UrVlNrQ3BiUkpxeWdxQWhmRks2QXNWMUVCY1FHaEFzcFZVRURaQkJTdXNtK0tvbGZCQmE2eUNDamdBaWdvQWpacFV5aGdDeFlzbXl5RkZrcVhaTTd2anliNWRVbmJCTnFtQ2QvUDgvRFl6cHc1ODJaa1F2TE9PZStwM2M4MmlxV2JFQ0k1TVRIeGg0cUt1ZGc1ZnpRWURDOEtJYVpJS1hNQWpLN0svemRFMTZOMjdkcDQ5OTEzTVdYS0ZPemV2UnY5Ky9ldnRIUDE2OWNQMzMvL1BmYnUzWXVwVTZkaThlTEZKZHJzM0xrVDQ4ZVBoNnFxSmFZS0ZmYm5uMy9pdWVlZVEwWkdScmxURGhJVEUvSFNTeThoTHk4UE0yZk9aQ0tGdk43R2pSdUwxQjdLeU1nQUFLU2xwV0hkdW5WRjJoNDlXdkRQOWJadDIxQm94akJncTM5U0dvMUdnM0hqeHFGcDA2YVlQMzgraGd3WjRwanFVOUZhdFdxRm9VT0hPdDZMMXF4WlU2Sk5lbm82aGc4Zmp2UG56K1BoaHgvRzVNbVRuY2FUbloyTmtTTkh3bXcybzJ2WHJxaFhyMTZKTmtSRTNvekpGTHBoR0kzR2VCZmFsSGxQcEtlblh3V0FBd2NPWERBWURIMVZWWTFNU0VqWVhKRnh1c0prTWgyTGlJaTRNems1K2UvU3BpbGRpL2o0K1B6dzhQRGVxYW1wV1lXMlpkc1NKd0FnczdPem4vTHo4NnRwTnB1ZExUMWRRbHBhV2c2QXp3RjhIaDRlN2cvQXZ5SmpMczVrTWkwQ3NLaXkraWVxVEg1K2ZuanJyYmR3N05neHQ0YnRYNHZYWG5zTkV5ZE94UFBQUDE5aTM5cTFhekZyMWl4WXJWYTg4c29ydVAzMjIvSFRUeitoYytmT1Jkb2RPM1lNY1hGeHlNakl3T0RCZzBzVXJpMXMrL2J0ZVAzMTE1R2JtNHVnb0NCOCtlV1hiajFOdDN2b29ZZEtUZXg0dS9idDI5K2kxV3F6bkUxWHBlcHA1c3laVHJjYmpVWVVQTDhwYWRteVpkZDByb0VEQitMdXUrKytycWx4cm5qNjZhZXhaODhlOU8zYkZ5RWhJVVgySlNVbDRhV1hYa0pHUmdidXUrOCtqQnMzRHV2WHIwZnYzcjJMVEtHNmV2VXFYbnp4UlpqTlpoZ01Ccno1NXB0RjlsY3pJakl5OGhaL2YvOXo4Zkh4bHp3ZERCRjVEeVpUaUs2UnlXUktCSkRvcWZOWDFvaUwxTlRVekxMMjIxWVJ1cWFWaEd4VHF6ak9sNmdNUW9oSy83SUVBTTJhTmNNbm4zemkrTjMrWkZ4VlZlemV2UnV3RmEvdDFhc1hIbi84Y1J3NWNnUkRoZ3pCODg4L0R5RUVkdTNhaGFsVHB5SWpJd005ZXZUQWl5ODZuKzFvc1Zqdy92dnY0Nk9QUG5LY0l6czd1OVF2bXVXNTdiYmJydW00YWtnVEd4c2JuSnViRzZyUmFMb3BpdklNZ0VnaHhDTUFybXQxdUJ2UkR6LzhnQjA3ZGpoK3o4cktRbTV1TGlaT25Jamp4NDhEQUZhc1dJRnZ2LzNXMGViVlYxOUZ6Wm8xcitsOGQ5MTFGNW8xYTRiWFhudXR4R3BaZGxldlhzVzhlZlBRb0VHREV2VlRpbnZ6elRmUm9FR0RjczliRmU4TldxMFdIM3p3Z2VQM3dxTm05dS9majR5TURQVHIxdy9qeDQvSDIyKy9qYSsrK2dyYnQyL0hXMis5aGVEZ1lLU2xwZUgxMTEvSG9VT0gwTEpsUzh5Yk42L0lWS2hxUUtQWDYwTnNvMnp2RjBJOEk0Um9yYXJxQXdCMmV6bzRJdkllVEtZUUVSRjUwSUlGQ3lDRXdMQmh3eEFRRUZCcXUwdVhMaUUxMWZYeVNKY3V1ZmFBOWVqUm8vajQ0NCt4WmNzV29HQzZIMmJPbklrREJ3NGdPam9hQURCaHdnUzg5TkpMK1BEREQ1R2VubzVhdFdvNTZyRTg5OXh6R0Q1OHVOTmgvaWtwS1hqenpUZVJsSlFFalVZRHE5V0s0T0JnUjBGYmQ2eGF0UXBMbGl4eCs3anF4bUF3TkpaUzNxNG95dTFTeW80Nm5VNHZoS2hyMjUzdDRmQzgxdUhEaDB2OHZjckp5U215YmQrK2ZVWDJ2L0RDQzI0blV5NWN1T0JZMlFxMjZUeWx1WHo1TWpadDJvVG16WnVYVzN2bDhjY2ZCd29lbEtCKy9mb0lEUTNGVHovOWhBMGJOdUNWVjE1Qnc0WU5TejAyTHkvUHJmZUdNMmZPdU5RdUl5TURYM3p4UlpIYVMwODg4UVJhdFdybFNHb09HVElFaVltSitPV1hYekIwNkZEMDZ0VUw3Nzc3TG5KeWN0Q3BVNmNTeFhJOXFXM2J0bzBDQXdPalZGV05zZFZ5dTkxKzcwa3ByM2c2UGlMeVBreW1FQkVSZVVoU1VoSldyRmdCQVBqdXUrOHdmdng0M0hQUFBVN2JidDI2RlZ1M1ZzeUFCU2tsOXV6Wmc4OCsrd3kvL3ZwcmlmMWFyZGFSU0VGQkFnQWZmUEFCbm43NmFVY013Y0hCbUQ1OU91Njk5MTZuNTFpK2ZEbVdMVnNHVlZYUnVIRmp2UFhXVzNqNjZhZUJRa1U2M2VIS01xM1ZtQ1lxS3VwK1JWRUdDaUZ1dHowUnIyVmJSdDdSU0VvSlZhMjBXWkEzaElVTEY4SmdNS0J2Mzc2NDZhYWJzSHo1Y3F4ZnZ4NXo1c3pCN05temNjY2RkMkRTcEVsRlJyRzRZOHVXTFc0ditYMzgrSEU4K2VTVExyY2ZOV29VSG52c01VeWJOZzBYTDE3RWI3Lzlocmk0T0F3Y09ORHBWSm4wOVBUcldpSzV1S05IaitLTEw3N0FwazJia0plWFYySi80ZEZoOWV2WHgvTGx5L0hzczg4aUpTVUY4K2JOZ3hBQ3c0Y1B4M1BQUFZkcHRWMWNGUkVSNGFmVDZib29pdEpIQ0hHSGxMS0pvaWloQUlvUEozSzduaDRSa1ZkL01pRWlJdkptN2R1M3g2UkprekJuemh5Y09uVUtvMGVQeGtNUFBZU3hZOGVXZUpyYnFGRWp0R3paMHVXK2p4dzVVbUoxallzWEwyTFRwazFZdTNZdGpoMDdCdGlXRng0NGNDRCsrdXN2ckYxYmN2R3JqSXdNckZ1M0R2eXgvUTBBQUNBQVNVUkJWRjkrK1NWeWNuSUFBRjI2ZE1GTEw3MVVZbm5Yd3FLam82R3FLaDU0NEFHODl0cHIxZWJwZEZVSUR3LzNEd2tKcVdtMVdtL1JhRFFEQVR3aGhBaEZvU2tUeFF1T0NpRWdoQ2gxeWdpNXh0L2ZIMEZCUWNqTHkwTkFRQUNDZ29MZzUrZFhaRi9oaElTVXN0UlJYTTZXRnUvYXRhdkxVMjB1WDc2TUNSTW1vRW1USmhnL2ZyekxyNkZGaXhZSUNnckMzTGx6TVhueVpLU25wMlArL1BuNDhjY2ZNWFhxMUJMbkR3b0tRa3hNak12OW56OS9IZ2NQSGl5eUxTOHZEOXUyYmNPNmRldncrKysvQTdicjFiOS9mOXg4ODgyT0paQUx5ODNOeFhmZmZZZlZxMWZqeUpFamdLMkE3ZGl4WXowNUhVOFRGUlVWb0twcVM2MVdPOGcyaGFmY2V3K0FaN00rUk9TVm1Fd2hJaUx5b0Q1OStxQkRodzRZUDM0OERodzRnSTBiTnlJd01MREUwcVdkT25WeWEybmtuVHQzd213MjQ5WmJiM1ZzUzA1T2RpeDEzS1JKRXp6MTFGTjQ2S0dINE9mblYyUUo1SXlNREh6Ly9mZll0bTBiakVZanJGWXJVREJNSGkrLy9MSkxYOXh1di8xMmZQcnBwMmpidG0yUjdUazVPWGpsbFZkY2ZoMTI5cm9YMVppbWZmdjJla1ZSN3RWb05PMEIzSzdSYUZvTElYUlNTcWVydGRpZjJoZjZrcWVSVWticDlYcWZyaTJWblN1YjVaYXhlczMxc2xxdHlNcktjbWtLejZWTGw5Q3RXemVYKzI3VXFCRWFOV3JrK04xaXNaVFpOMnpKamc0ZE9wVFpyMGFqS1RHS0l6bzZHcXRXcmNKLy92TWZiTnk0RVVsSlNSZzNiaHhXclZwVnBHMmpSbzJ3WU1FQ2wxL0RrU05Ic0dYTGxpTDNabloyTnFaUG40NmNuQndFQndmajBVY2Z4WUFCQTFDM2JsM3MzTG5UMFM0dkx3ODdkdXpBOXUzYnNXdlhMbVJuRjh4TUN3ME54WWdSSS9EUVF3OTVvdENzcGwyN2RwRitmbjYzQVlnR2NLOUdvMmtyaFBCejlkNFRRaWlxcXJhTGlvcmlDQldpYWtvSThWZGlZdUlKVDhkUkdKTXBSRVJFSHRhNGNXTjgrT0dIZU9lZGQ3Qjc5MjZNSERuU3NTOC9QeDhvTnMxbHlaSWxTRXBLd3NzdnYxd2tXVkpZcDA2ZEhIVWQ3TzY2Nnk3MDdOa1RIVHQyUlBmdTNVc2RCWkdibTRzbFM1Ymc4dVhMMEdxMTZOeTVNL3IwNllOT25UcTVOV3kvZUNJRnRpK2YyN1p0YzdrUGJ4Q293NE1HZytFMUlVUWJLV1Y5S2FXZnNGMm9VcDZDbDhaUENERmVDRkZ5Ym9VUENmUlREK1hseWtvYkNaQ2FtZ29wWlpHa1Iza0NBZ0xRdW5Yckl0dFVWUzJ4aEhGaGFXbHArTmUvL2xWdTN5a3BLYmpqamp2S2JETm16QmlucTJFRkJnWmk2dFNwaUlxS3dyeDU4ekJseWhUSDN5Rm43dzNmZi84OTFxeFpnMTY5ZXFGWHIxNU96OVd5WmNzaTd6R3dMYzArZE9oUUFNQ2pqejVhNmtneVJWR3djdVZLSkNjbkF3QWlJeVB4OE1NUG8yZlBubVhXZktvY0VqVzA4cjZZbUpqUlVzcDJRb2ltVXNvQUlZUndsa1FwNjk2VFV2b3JpakpOQ09IVGlVd2lieWFFK0RNaUl1THA1T1RrYXZOMGhja1VJaUtpYWtDbjArRzExMTdEcFV1WGlueVJzZGNzc0U5VkFJQS8vdmdEKy9idFEyWm02WXR2WldabVl2MzY5UmcwYUZDUko4WFRwazByTjVhR0RSdGk2dFNwMkx4NU05cTFhNGV1WGJ1aWVmUG0xL0hxL2w5UVVCQldyMTVkWXZ2YmI3K05uVHQzWXNTSUVYand3UWRMN0YrM2JoMCsrdWlqQ29taHdra0lBUDVTU2ovN2RBRm5UOE5MVSt4TG5wK1VzdHF1SVZzUmhGQzBRT1hWaHJIWEFXcmZ2ajFndTdkZ0sxS3IxK3VkMXFWcDNMaHhpYjlmT1RrNVdMQmdBZXJWcTFmbStXNjU1Ulk4OHNnajF4UnJRa0lDdnZ2dXUzTGI5ZXZYRDkyNmRVT3RXclVjMit6SmxNTHZEYWRPbmNLK2ZmdGdNQmhLN2N0cXRlS0xMNzVBcjE2OVVMdDJiY2YyWjU1NXB0dzR0Rm90WnN5WWdhVkxsNkp4NDhhNDk5NTd5enhYcFZJQmFKVWFBTUlCTkFiZ2gydS85NFNVc3E0UWdpTlRpS29aMjcrSk9pbGxiVDgvdjFzQU1KbENSRVJFSlJYK3NnUmJVZ1FBYXRTbzRYSWZScU1Sa3laTnd1blRwM0g2OUdtOCt1cXI1UjR6YU5BZzlPalJBL1hyMXdkc3RTSDI3dDJMaFFzWG9tYk5tcVVtVXc0Y09BQlZWUjFmWE1zU0h4OWY2cjdBd0VBQXdOOS8vNDNHalJ1WDJEOXk1RWpIMDNRcHBjY0xXeFoyMVlKdkQrNDNqWXVPam02bEtFbzNJVVNrbFBKMklVUTdBRUdGdjl3Vi9ybndWQU5ielpSY1ZWV25BZGpuOUVRK0lqdFhiU2FCdHl1ajc3eThQSHoxMVZmUTZYUzQ2NjY3QU1BeGVtdng0c1ZZdkhpeHkzMEZCQVM0TkxXdWNlUEcxMXdBVnFQUnVKUk1nWlAzaHNMVGlGeDE2dFFwVEpvMENTYVRDVnUyYk1GLy8vdGZSN0twTkFhREFaOS8vcmtqeWR1aVJRdmNmLy85R0RkdUhNNmVQVnRxTXVYOCtmTXdHbzI0Ly83N1hZN1BMWXJBbFh4OGZTREorSEs3ZHUyaWREcmRBMEtJU0NHRXdaWmdDWERuM3JOYXJhOXBOSnFEVHM5RlJCNGpwWXdTUW93RFVPMGVORENaUWtSRVZFMGNQWG9VZ1lHQlJhWW5aR1JrQUxaaCtPVzVldlVxRmkxYTVCajVFUmtaaWY3OSs3dDA3bnIxNnBYNkJQN3JyNzlHNzk2OVN4VHVYTGx5SlpZc1dZS0FnQUI4OU5GSGJoWElMYzFYWDMyRkJ4NTR3R2xkbHF5c0xNeVpNd2RDQ0V5Wk11VzZ6MVhCWkdKaTRoOEEvZ2dMQ3d1b1diTm1xQkFpVEFqUkQ4Q2ppcUkwUmJFdmRFNmVvS3VLb3BpTlJ1TzFMVFhqSmNMQ28rNFV1c3BKaGkxZHVoU25UNS9HUXc4OTVMaG4yclp0aTNmZWVRZjc5dTJEeFdMQm5qMTdjT0pFeFUyNy8vWFhYM0gzM1hkZjA3SDJla1RseWN6TXhMRmp4NG9rTGUzdkRYWHExQ24zZUNrbDFxeFpnd1VMRmlBN094dWhvYUVZUG54NHVZa1UyRmJ1S2o0RnltN256cDA0ZCs0Y1FrTkRpMnpmdlhzM0prMmFoSXlNRE9UbjU2TkhqeDR1dk1wckpnOGNPSkFJSURFcUtxcUdFS0tKbExLMVJxTjVFRUJmSVVSRGxIUHZTU210aXFMOFpqUWFkMWRtb0VUa1ByMWVueU9FeUpOU1Z2VmN3bkl4bVVKRVJGUk5yRnExQ3V2WHI4ZUFBUVB3NzMvL0d3QWNYL3JLbTJyd3d3OC9ZTzdjdVRoejVnd0NBd01SRnhlSEo1NTRva1JkbExsejUyTE5talZsOWpWMzd0d2lOUjZTa3BMdzZhZWZZdkRnd1lEdDZmYjA2ZE94Wjg4ZWFMVmFQUGJZWTJqV3JGbUpmdDU4ODAwa0pDU1VlYTVGaXhhaFljT0dSYlpObVRJRm4zMzJXWkVDb3R1M2I4ZXNXYk53N3R3NUFFRHYzcjJoMSt2TDdOdFQwdExTY2dDazIvN3NBakJXcjlkM0UwSThBK0JlSVVSTkFFSDI1VmtMRmFDVlhCcjUrblR2M2gxWldWa1lOV3BVa2UzLytNYy84STkvL0FNQThNb3JyMVJvTWlVc0xLelNwL244OXR0dm1EQmhBZ3dHQTk1Nzd6MW90VnJIYXlpZXlDanUwS0ZEbURWcmxxUCtTOSsrZmZIaWl5K1dLTkM3ZmZ0MlRKdzRzY3krbm56eVNjVEZ4VGwrdjN6NU1tYk1tT0ZZRXZucTFhdFl1blFwUHYvOGN3QkF0MjdkeWkyK1c1SE1adk1WQUgvWS9teU1qWTBkYmJWYWV3Z2hoZ2doT2tzcC9XMjFpWXBQeCtQMEhpSnlHNU1wUkVSRTFjU2VQWHRndFZxTFRHRkpTMHNEZ0ZLbjJSdzZkQWp6NTgvSHZuMEZNME82ZGV1R01XUEdvRUdEQms3YjE2eFowK2srVlZYeDExOS9PWDR1YnVIQ2hXamV2RGxPbno2TnhZc1g0K3JWcTlEcjlYajk5ZGR4eXkyM09EM1hoUXNYY1BMa1NhZjc3TXNzRjE4TnBXM2J0amg0OENCZWZ2bGxMRjI2RkgvOTlSZG16NTZOdlh2M0FnRHV1T01PakJvMUNoRVJFVTc3cmFiVWhJU0U3d0Y4SHhzYkcycTFXdThRUW5RQTBGRUlFUU9nYnNITUF5RzROUEwxaVlpSXdCTlBQT0hTaUF0WGxUZXRyQ3FtK2V6WnN3ZXdUV095RjV5MUwyL2Vva1VMcDhlY08zY095NVl0dy9yMTY2R3FLbHEzYm8wSkV5YVVPaVV2SUNDZzFQZU5reWRQSWo4LzMxR25wYkNkTzNkaTRjS0Z1UFBPT3pGanhneWNQSGtTRFJzMnhQang0MHNVd2E1cThmSHgrUUMrQnZCMVZGUlVVeUhFL1VLSWU0VVFVUUJhQVFpMjFUbXFQdk1HaWNock1KbENSRVJVRFp3OGVSTHA2ZWtBZ1B2dXV3K3dqUURKeU1pQVRxZERreVpOU2h5emVQRml4OVBtdG0zYllzeVlNZVVXZ3h3NmRLaGoxWTdDM243N2JheGV2UnB0MjdaRmJHeHNrWDE5Ky9iRjVzMmJNV2JNR01BMjdQLzExMTlIMzc1OXkveVNPV2ZPSEtmYnAwK2ZqdlhyMStQT08rOHM4YnI2OU9tRDFxMWJZLzM2OVJnOGVEQ09IajBLcTlXSzl1M2JZOVNvVWJqdHR0dktmSDNWWFh4OC9Ea0Ezd0RZRWhVVmRaTkdvMmtrcGV3Q1lDQ0F0dFdwRm93M0dqbHlaTG4xZE1wYXp0aVphZE9tb1VhTkduajY2YWVkamdLcGltayt2LzMyRzFEb3ZRRUE5dS9mRHdDNCtlYWJTN1Rmdm4wN1ZxeFlnWnljSEplWExlN1lzU1BXcmwxYll2djMzMytQQ1JNbUlEZzRHSDM2OUNseHpNbVRKN0ZpeFFxc1dMRUNpcUpnd0lBQkdERmloS01PVW5WaE5wdlRBZndYd0tleHNiR05WRlVOQTlCRlN2a3ZJY1RON2hTdUpTSUNreWxFUkVUVnc4OC8vd3dBcUYrL1B0cTFhd2NBTUpsTWdPMXBlK0hsVCsyU2twTFFwRWtUeE1YRjRjRUhIeXp4SmZMeTVjdFl2WG8xZXZic1dXSXFqWjJVRWt1WExzWHExYXRSdTNadHpKNDl1OGpxSUFEUXJsMDdkTzdjR1MrLy9ESlVWVVhYcmwzUm8wY1B0NHZBU2lteFlNRUNyRisvSHFHaG9aZytmYnJUUGlaTW1JQVRKMDQ0UnR1VXRteXNsN09hemVhL0Fmd05JQkhBZ25idDJvVnJOSnJTbDJpaWNyVnIxNjdjK2tJSERoeHdUQmR6eGNtVEovSDc3NytqVTZkT1RwTXBsVDNOSnlVbEJhZFBud1pzaGFFQjRNeVpNemgxNmhTMFdxM1RKY2hUVWxKUW8wWU54TVhGWWRDZ1FVNFRHeXRYcnNSdHQ5M205SGk3bjMvK0daTW1UWUtVRWpObXpDZ3huYTkyN2RwNDdiWFg4TlJUVCtIQ2hRdG8zYm8xQmc0Y1dPMFNLY1hreDhmSEg3ZXRDUEl6Z09uUjBkRVJ1Ym01cHowZEdCRjVGeVpUaUlpSXFnRjdNcVZMbHk2T2JkdTNid2NBcDhWWUFXRElrQ0VZTm15WTAwUUxiRis0bGk1ZGlrMmJObUhkdW5VbDlsKytmQm1USjAvR1R6LzloTHAxNjJMeDRzV2xKbDA2ZGVxRWQ5NTVCNU1uVDhiR2pSdGhNcGt3Y3VSSTNILy8vUzRsVmE1Y3VZSkpreVlWT1ZmZHVuV2R0dFZxdFZpMGFCSGVlT01OYk42OEdVdVhMZ1VBUFByb294VTZmYU82T1hEZ1FLcW5ZL0IySTBhTUtIZjAwaXV2dklKdDI3YTUzT2Y1OCtjQndPbm9NRlRCTkorZE8zY0NBRnEyYk9sSVp1ellVVkNqdUczYnRnZ0lLRm1UOGU2Nzc4YTBhZFBLVEN4OS9QSEhtRDkvUHJadTNWb2lTYVNxS3BZdlg0NWx5NVpCbzlGZzJyUnBwVTdaYWR5NE1kNS8vMzJNR1RNR0J3OGVSUC8rL2ZIc3M4L2lzY2NlcSs1SkZUdVptSmg0d05OQkVKSDNZVEtGaUlqSXd5NWV2SWpmZi84ZEtQVGsrZEtsUy9qbGwxK0FZZ21Xd2pwMDZGQnFJZ1cyYVVLd1BUa3ZURlZWYk5xMENZc1hMOGI1OCtmUnRHbFRMRm15QkUyYk5pMHp6aTVkdW1EbHlwVVlPM1lzamg0OWlna1RKdUNERHo3QVk0ODlobi8rODUrT3BWT0wrK21ubi9ET08rL2cxS2xUYU5pd0lkNTk5OTFTYThEWTZYUTZ6Smd4QTgyYk44Y0hIM3lBT1hQbTRJc3Z2c0F6enp5REhqMTZPUDBDU1ZUUnBKUTRjZUlFRkVVcE5kRlkyZE44ZnZqaEI2RFkrOEMzMzM0TEZIcS9LSzY4RVRwWHIxN0Z4WXNYVWFOR2pSS0pGSlBKaE5telorUFFvVU1JQ0FqQXJGbXp5cTE5Y3ZQTk4yUGx5cFdZT25VcXRtM2Joa1dMRm1IbHlwVjQ1SkZIMExkdjMxS3ZIUkdSTjJNeWhZaUl5TU8yYmRzR3E5V0s0T0JneHlpVXRXdlhJamMzRjAyYk5uVk0rN0d6andRcGIrV1hJMGVPQUFEQ3c4TUJXOUhYelpzM1k5V3FWVWhOTFJnRThmREREMlBNbURGT0V5SDJJckdGUjU2MGFORUNuMzMyR1ZhdlhvMlBQdm9JUjQ4ZXhjeVpNekZ2M2p4MDdOZ1JuVHQzUm84ZVBhRFJhSkNZbUlnUFB2Z0F1M2NYckRiYXVYTm5USjQ4MmVtWHZOSytWQTRiTmd5ZE8zZkc5T25UY2ZEZ1FiejU1cHRZdUhBaEhuendRVHo0NElPSWlvb3E4eG9RbGNXZWxMdDQ4YUxUL1NkT25FQmVYaDRhTldwVWF1S3lNcWY1SER0MkRJY1BId1pzOXc5czAvdjI3OThQSVFTNmQrOWVwTDM5WGkwdlNXTi9iN0F2Wnk2bHhLKy8vb3BWcTFiaDExOS9CUUJFUlVYaGpUZmVjSnI0ZFBiZVVLTkdEYnp6emp2WXZuMDdGaTllakxTME5DeGZ2aHdmZnZnaDlIbzlPbmZ1WEdUSmFpSWliOGRrQ2hFUmtZZHQzcndaQUhEWFhYZEJxOVhpMHFWTCtPU1RUd0FBL2Z2M0x6R05wbGF0V29EdENYSnB5NDVldm53Wkd6ZHVCR3hQcVdHclBXSXZaTm1zV1RPTUdUUEc4Y1Q1NHNXTHlNM05SVWhJQ0xSYUxWSlRVeDFUajRwUHgvSHo4OE9UVHo2SlBuMzZZT1hLbGRpNGNTUCsvdnR2Yk4rK0hZMGFOY0lERHp5QXVMZzRHSTFHd0Zhd2R2VG8wZWpYcng5Z1c1SEVZckVnTURBUVFnaGN1SERCVVV5elJvMGFKVjVMNjlhdHNXTEZDcXhkdXhhZmZQSUpUcDQ4aWYvOTczODRjdVFJbGk1ZFd1Ym9ITHF4eE1YRmxUdnRySEFTTWlBZ0FEZmRkQlBPbnorUFR6NzVCTDE3OTNiVURMcHk1WXBqaWxscEsrQ2drcWY1Yk5teUJiQXRmMnhmd1dyaHdvV0FiZXBkbzBhTmlyUzN2emVZeldhb3F1cTA0S3pWYXNYcTFhc0JBSkdSa1FDQS8vNzN2MWl5WkFrQUlDUWtCRU9HRE1IQWdRT2hLQXB5YzNOeDd0dzUxS3BWQy83Ky9qaC8vanpXcjE4UEFLaFRwMDZKL3J0MjdZcE9uVHBodzRZTitQTExML0hISDMvQVpETEJZckZjODNVaUlxcU8rT21EeUFlMWFkUG1KbFZWeFI5Ly9PRjZoVDBpOG9pLy92ckxrWFN3SnpabXpacUZyS3dzaElhRzRsLy8rbGVKWTI2NzdUWnMyclFKNzcvL1BuNzg4Y2NTZFFtc1ZpdU9IeitPSzFldW9ISGp4bzRwQ0pNbVRjTG8wYU14WU1BQTlPclZDNFdYNFUxSVNIQ3MxbE5ZY0hCd3FhTS9Ra0pDTUdMRUNNVEZ4V0hQbmozWXUzY3ZSbzRjQ2ExV2k0NGRPOEpzTnVQUlJ4L0YwS0ZEaXp5TlRreE1SRnhjSEdEN01tdC95cTBvU29sUk9IYUtvamltRFB6NDQ0L1lzR0VEcGsyYnhrUUtGUkVlSG82UWtKQXkyeHc5ZXJUSVNKUytmZnRpK2ZMbFdMaHdvU05SVVppaUtPamZ2ejh1WHJ5SW5qMTdsdGhmRWROOEZpeFk0RWhtQU1BMzMzeURtalZyWXNPR0RRQ0FlKzY1QjBJSWZQWFZWNDczaTJIRGhwWG96MkF3UUtQUllOKytmWGpvb1llY0ZzdzlmZm8wenAwN0I2MVc2MGh3RGg0OEdIdjI3RUYwZERRR0R4NWNaS1JhYm00dUhuNzRZYWZ4bC9hNjdYMzM2OWNQS1NrcCtPYWJiL0Q0NDQrWEtHNU5ST1ROK0FtRXlBY0ZCZ1krQ2tBSFlKR25ZeUdpc3AwK2ZSbzMzWFFUTWpJeWNQZmRkME5WVmVUbDVRRUFSbzhlN2JRMlNNK2VQWkdXbG9aTm16WTVodXNYRnhJU2dpNWR1dUNsbDE1eUZHMXQyTENoNDRsMGNYcTlIbHF0MXJGc2JHQmdJRnEzYm8wWFhuaWgzR0g1aXFLZ1k4ZU82Tml4bzJQYjRNR0Q4YzkvL2hPTkd6Y3UwZjdXVzI5MS9KeVRrd01oQkJvM2JveWhRNGVXVzB0Rm85R2dlL2Z1SmFZM0VBSEEyTEZqM1M1QU8yellNQVFFQkdEbnpwMk9Zck93SlFTYU5HbUNnUU1Id21BdzRPclZxNlVtRlNxYXY3OC9MbHk0Z0pDUUVKdytmZHFSYUxVbkhudjM3dTEwRlo1bXpacGgyclJwV0xac0dkTFQweDJyQUJVV0VCQ0E5dTNiNC9ubm4zY3NxNnpWYXJGczJUS25zZFNzV1JPdFdyVkNTa3FLbzIzVHBrMHhlUEJnM0hISEhlVytsbGF0V3VIZi8vNjNtMWVBaUlpSXFPb3BCb1BoUjRQQnNCZUFlK3VXRXQxQXd0cm91NFMxalQ0VjFlRWV1WHZQUHVsSmVYbDVjdGV1WFk3ZjgvUHo1ZXJWcXowU2k2cXEwbUt4ZU9UYzNtVDNubjN5OW51NnliQzIrb3l3Tm5ybkZZTEpxYkR3cUR2dDk5Nk9uM2U1Y0xYTFo3VmFaWDUrdmxSVnRVTDZxMDUyNzk0dHM3T3pIYit2VzdkT1hyNTgyU094V0N3V2oxOWozbnRFTnhhOVh0OGxKaWJtbE1GZ3lORHJxOWM5WDNJaUpSRjVOWVBCMEY0SUVRNGdMRG82T3NMVDhSQlIrWFE2WFpIaDhscXRGdjM3OS9kSUxFS0lJdE4vaUx5Qm9palFhclV1TGRQdGJlNjg4ODRpVS9uNjlPbmp0TFpRVmRCb05ENTVqWW1JcmdXVEtVUStSbFhWamdEcUFhZ3BoTGpMMC9FUUVSRVJFUkg1R2laVGlIeEllSGk0djZJb3Qwa3BBd0Q0QWJpdGFkT21nUzRjU2tSRVJFUkVSQzVpTW9YSWg0U0VoTlFFMEZIWUtJclNzVUdEQnZVOEhSY1JFUkVSRVpFdllUS0Z5SWVvcXRwYUNIRXJBRWdwSWFWc2JiVmFXM3M2TGlJaUlpSWlJbC9DWkFxUkQxRVVaU0FBclpRU0tDZ2s2UWZnRVUvSFJVUkVSRVJFNUV1WVRDSHlFYkd4c1VFQUhyY25VbUFiblNLRStCZnJwaEFSRVJFUkVWVWNKbE9JZklUVmF1MHVoS2hkZkxzUTRxYlEwTkFIUEJNVkVSRVJFUkdSNzJFeWhjaEhDQ0dlS1cyZm9paERxellhSWlJaUlpSWkzOFZrQ3BFUDBPdjFZUUFpQ2sveHNiTnRNeGdNaHNhZWlJMklpSWlJaU1qWE1KbEM1QU9FRUIyRkVQVUsvUTRoaEdPL2xMS1dxcXIzZUNvK0lpSWlJaUlpWDhKa0NwSDMwd0NJbFZMV0xLTk5rS0lvSFdKalkzVlZHQmNSRVJFUkVaRlBZaktGeU11MWE5ZXVsaERpSG1FYmlsSjRSSXI5Wjl1K2pxcXExaXU5SnlJaUlpSWlJbklGa3lsRVhzN2YzNzhwZ1BiTzZxWFkyZlpGV2EzV1psVVpHeEVSRVJFUmtTOWlNb1hJeTBrcCt3QUljcUZwRFNGRWp5b0lpWWlJaUlpSXlLY3htVUxreFd3MVVKNkVrNkt6ZHZidFFnaWhLTXJqQUxTZWlKV0lpSWlJaU1oWE1KbEM1TVVzRnNzZFFvaHdOdzVwRlIwZGZXY2xoa1JFUkVSRVJPVHorSVNheUlzbEppYnVBbEJrT0lwZXIrK2lLTW9YVXNvQUtXWGZoSVNFSFo2TGtJaUlpSWlJeVBkd1pBb1JFUkVSRVJFUmtSdVlUQ0VpSWlJaUlpSWljZ09US1VSRVJFUkVSRVJFYm1BeWhZaUlpSWlJaUlqSURVeW1FQkVSRVJFUkVSRzVnYXY1RVBtZU5GVlY1d2dodEFEU1BCME1FUkVSRVJHUnIyRXloY2pISkNRa3BBR1k3ZWs0aUlpSWlJaUlmQldUS1VSRWRFT3pXcXhJUG5qWTAyR1FsMGsrZUJqNStmbWVEc09yV1MxV0hEeWNBbjkvZjArSFFsNkU5eDRSVlJkTXBoQVIwUTN0YWs0T0ZyMzdQblE2bmFkRElTK1NuNStQekt3c1Q0ZmgxYTdtNU9DOTVSL0JUK2ZuNlZESWkvRGVJNkxxZ3NrVUloOFRFUkVSck5QcFdxaXFxbGl0MWorVGs1TXZlem9tb3Vvb1Q2cW4vSVE0cFVvWmNERXowOVBoVkQrcWhCQkNBQkpTUWtJUm5vNm9lcEx5VEo2VXB6d2RoamRSaGZ4YlFjRzlkeW1UWDRwTDRMM25HdDU3Uk9SaFRLWVErUmlkVGhlaDBXam1LSXJpcHlqS0N3RDJlam9tb3VybzVHRnpTdlB3ZG9NVXJhNitwMk9wanZ5ME1qeFFxd3dSUW1pejg2M0w4cXdpMWRNeFZVZFdJYytkUEdSTzhYUWMzdVI0U2xJYTc3M1M4ZDV6RGU4OUl2STBKbE9JZkl3UUlnaEFPSUFBMjg5RTVKeDZQUFZBTW9Ca1R3ZFNIUmtNQmltRUNKTlNCdFR3MDZUOFlUTDk1T21ZeUdmdzNpc0Q3ejBpSXUrZ2VEb0FJaUlpSWlJaUlpSnZ3bVFLRVJFUkVSRVJFWkVibUV3aElpSWlJaUlpSW5JRGt5bEVSRVJFUkVSRVJHNWdNb1dJaUlpSWlJaUl5QTFNcGhBUkVSRVJFUkVSdVlISkZDSWlJaUlpSWlJaU56Q1pRa1JFUkVSRVJFVGtCcTJuQXlDaWlpV0VVS1dVT1VJSUFGQTlIUThSRVJFUkVaR3ZZVEtGeU1mazVlWHQxMnExenlxS291VGw1ZTMzZER4RVJFUkVSRVMraHNrVUloOXo0TUNCQ3dDMmV6b09JaUlpSWlJaVg4V2FLVVJFUkVSRVJFUkVibUF5aFlpSWlJaUlpSWpJRFp6bVErUmpJaUlpR3VwMHVzNUNDRTFlWHQ2MjVPVGswNTZPaVlpSWlJaUl5SmN3bVVMa1kvejgvTm9vaWpKZlNobmc1K2ZYRndDVEtVUkVSRVJFUkJXSTAzeUlpSWlJaUlpSWlOekFaQW9SRVJFUkVSRVJrUnVZVENFaUlpSWlJaUlpY2dPVEtVUkVSRVJFUkVSRWJtQXloWWlJaUlpSWlJaklEVXltRUJFUkVSRVJFUkc1Z2NrVUlpSWlJaUlpSWlJM01KbENSRVJFUkVSRVJPUUdKbE9JaUlpSWlJaUlpTnlnOVhRQVJGVGhMa29wZnhWQytFa3BMM282R0NJaUlpSWlJbC9EWkFxUmo4bkx5MHYyOS9lUHMxZ3N3bUt4TUpsQ1JFUkVSRVJVd1poTUlmSXh5Y25KZVFET2Vqb09JaUlpSWlJaVg4V2FLVVJFUkVSRVJFUkVibUF5aFlpSWlJaUlpSWpJRFp6bVErUmpvcU9qYnhWQ0RBR2drMUsrbDVpWStJZW5ZeUlpSWlJaUl2SWxUS1lRK1JnaFJHTkZVUVpMS1FNQWJBREFaQW9SRVJFUkVWRUY0alFmSWlJaUlpSWlJaUkzTUpsQ1JFUkVSRVJFUk9RR0psT0lpSWlJaUlpSWlOekFaQW9SRVJFUkVSRVJrUnVZVENFaUlpSWlJaUlpY2dPVEtVUkVSRVJFUkVSRWJtQXloWWlJaUlpSWlJaklEVXltRUJFUkVSRVJFUkc1Z2NrVUlpSWlJaUlpSWlJM2FEMGRBQkZWclB6OC9IUS9QNzhQQUdqejgvUFRQUjBQRVJFUkVSR1JyMkV5aGNqSEhEaHdJQlhBWkUvSFFVUkVSRVJFNUtzNHpZZUlpSWlJaUlpSXlBMU1waEFSRVJFUkVSRVJ1WUhUZkloOFRGaFlXRUJ3Y0hBOVZWVkZkbmIyMzJscGFUbWVqb21JaUlpSWlNaVhjR1FLa1krcFU2ZE9wRTZuK3lnZ0lPRFRPblhxUkhvNkhpSWlJaUlpSWwvRGtTbEVQa1pLR2F3b1NxU1VNa0JLR2V6cGVJaUlpSWlJaUh3TlI2WVFFUkVSRVJFUkVibUJ5UlFpSWlJaUlpSWlJamN3bVVKRVJFUkVSRVJFNUFZbVU0aUlpSWlJaUlpSTNNQmtDaEVSRVJFUkVSR1JHNWhNSVNJaUlpSWlJaUp5QTVkR0ppSWl1c0hGeE1UOEE4Q1B6dllKSVFCZ1IweE1UUEZkL3pRYWpWdXJJajRpWDhWN2o0akllM0ZrQ2hFUjBRMHVNelB6RnlubE1UY08rU3N6TTNOSEpZWkVkRVBndlVkRTVMMllUQ0VpSXJyQnBhYW01a29wUHkydm5aVFMvdDh2VTFOVGM2c2lOaUpmeG51UGlNaDdNWmxDNUdOVVZVMVdWVFZPQ0RGRVZkVmtUOGREUk43QmFyV3VsbExtU2lrZFg5d0tLL1JsTGxkS3VkWURJUkw1Sk41N1JFVGVpVFZUaUh5TTJXeitHOERYbm82RGlMeUxxcW9uQUppRkVMYzcrMElIV3cwSEthVlpTcGxXNVFFUytTamVlMFJFM29ralU0aUlpQWdIRGh6SUJMRGIvbnZoTDNYRnZ1RHR6cy9QUDF2RjRaRjdGTDFlcjIvZnZuMzdVdmFMNk9ob1EyVjlEalFZRElOalltSkdSVWRITjZtTS9uME43ejBpSXUvRWtTbEVSRVFFQUJZcDVWNGhSQ2FBbXFXMHlaWlM3azFPVHM2cjR0aThobDZ2cnkyRStFNUt1U1FoSWVHVDR2dkR3OFA5TFJhTHVKYSt0VnF0ZEZZdkl6dzgzTC93OW9pSWlDQkZVVXlLb2x3Q1VMdDQrNWlZbU5FQTVzWEV4T3d5R28yZHJpV1dja3dEMEVJSXNSL0FpVXJvMzlmdzNpTWk4a0pNcGhENW1LaW9xUHFLb25SVUZFVmpzVmgyMmFiOUVCR1ZTMUdVUFFETzJyL1FGWjl5SUtYTUFyRFhVL0Y1QXlIRXkwS0kyNFVRSHhzTWhuOW1aV1VOVDAxTnpiVHZyMW16NWdrQU4xMUwzN1pWWDhJS255NG1KbWFHbFBMcHFLaW9POHhtYzNwNWZVUkZSVVVDbUZsUXFzTTY1bHJpb0lySGU0K0l5UHN3bVVMa1l4UkZpVkFVNVQwcFpZQ2lLSDBCTUpsQ1JDNHhHbzJwQm9OaHZ4Q2lwZjNMbkJEL1A0aENTbmtnSVNFaHhZTWhWbnNtazJscVRFeE1JSUN4UW9qSFEwSkNZbUppWXZvWWpjYURoZHRKS1ZPRkVGWlgrcFJTYW9RUTRjNTN5ZnBDaU1ZYWpXWjFiR3hzbC9qNCtQelMrbW5YcmwxZHJWYjdOWUFBQUpjVVJYbkxZRENVZGVxWkpwUHBSMWRpcE92RGU0K0l5UHN3MmhIOVR3QUFJQUJKUkVGVW1VSkVSRVFPcXFwK3J0Rm9ldHQvTC9iRnJzUzBGU3BCTlJxTnJ4Z01Cak9BNVVLSVd3SHNNUmdNYlV3bTAwbDdJMFZST3NiSHg1OXpwY1BZMk5oUUthWFRXaGxXcS9YZkdvMm1zeERpTGxWVjN3RHdXaWw5QkVrcDF3TzR4YmFwbGhDaVd6bW4vdGlWK0VvanBTeHpPbE40ZUhqTndxTjJiblM4OTRpSXZBc0wwQklSRVpIRGxTdFh0a2dwTTRwdmwxSmVsRkp1OEV4VTNzZGtNcTJVVWo0Z3Bid0k0TVBDaVpTS1pEYWJyNmlxK3F3cytPWTl6bUF3ZEN6ZXBtblRwb0dxcW40Tm9KT1VNa0VJVWR0b05BcG5mNlNVQzFIdy96dEZTcm4xZW1KVEZPWCswdmJGeHNZMnIxbXo1bjZEd1REeGVzN2hTM2p2RVJGNUZ5WlRpSWlJeU1FMlV1Qi85aWtHUWdqN2svR05DUWtKRnowZG56ZEpTRWpZb1NqS2JVYWo4WlhLUEU5aVl1SXVBTzlKS1dkbVpXVVpDKytMakl4c1VLOWV2UjFDaVBzQUhBTFFYVlhWM3JHeHNiV0s5Mk13R09ZSUlWNlVVcDZ4V0N6L05KbE0xN3R5ekxPeHNiRTZKK2VwcDZycTl3Q2FDU0VtbDdIcTBBMkY5eDRSa1hmaE5COGlJaUlxUWtxNVNnZ3hwTkRuQkl1VWNvMkh3L0pLOGZIeFI2cmlQQ2FUYVlUOTU5YXRXL3ZaZjlacXRlRUFJZ0RzRVVMMFVsVzFxNklvbjZpcW1oSVRFOVBiYURRZURBOFByeGtTRXZLdUVHSUFnRXlyMWRvaktTbnBhT0grRFFaREdvRFFzbUlRUXR4ZXVEYU1FS0tCcXFyL0FyREt2aTA4UEx5bUVHSUxnRnVsbExsQ2lFZVNrcEtTS3ZSaWVESGVlMFJFM29QSkZDSWlJaXBDQ0hGQVNwa2loR2hyMjVRQ0lOSERZVlY3Qm9PaEJZQVZVc29KQ1FrSnY1YlYxbUt4dEltS2luSnB0SUhGWXFtdDBXaktiUmNlSHU0ZkhCdzhXQWpoR0FtVGtKRHdpMTZ2LzRlaUtBZmk0K096SXlJaXZ2YjM5LzljQ0RGQVN2bUxYcStmS0lSNFJRZ1JCdUF3Z0w1bXMvbGc4YjZGRU1FQWFwUjFmcXZWNm16RTh6Z0Fxd0ZJZzhGUVR3aXhHVUFNZ0J3QS9ZeEc0MlpYcnNHTmd2Y2VFWkgzWURLRmlJaUlpc2pJeU1pcVc3ZnVIZ0J0VWZDMGZGOWVYcDVMeFZKdlpFS0laUUR1QmJETFlEQjhLS1Y4cGJUcEdScU5abWRGbmRkZ01OUURNQnpBS0NGRWcrTDdFeElTOXRsL1RrNU96Z013eUdBdzVBc2huaEpDTExIdFdwK1ptZmxVYVFWaExSWkxDNHZGVXFLZ3JKK2ZYNmdRNHFnUTRxcFdxLzJ6OEQ0cHBTcUUwTWZFeFBRUlFzUkxLYjhEMEJwQWxwU3luOGxrK3FGaXJvRHY0TDFIUk9ROW1Fd2hJaUtpSXRMUzBuTHExS216VndqeG1KUlNJNlhjbTV5Y2ZOblRjVlYzVnF0MWlLSW8veFZDM0E5Z0tJQUhEUWJEY3lhVHlkbm9pKzhBbExxTWNURTZBTjJMYjR5T2p1NnEwV2lHU0NrZkZVTDR5UUliQUN3VVFqaExWQWlEd2RBTndBc0FlcUhneS9yZlFvakpScVB4ZlFDeXRBRE1adk1WWjlzTkJrTmZJWVNRVW00MkdvM1p4WGF2QWpBQXdGdXFxb1lJSVpwSUtVOEE2R2t5bVRqYXdnbmVlMFJFM29QSkZDSWlJbkxtVndCbmhSQkJxcXFXT1dXRkNpUW1KcDRBOElCZXIzOVJVWlIzYk1tRGRWRlJVZUZtc3ptOWNOdnM3T3dCaHc0ZE91OUt2N0d4c1VGV3EvVTFJVVNSbFY0MEdzMWJBTzRVUWxnQmZHYTFXbWVaemViOUVSRVJ3UUVCQVk1MjBkSFJYUlZGNlFlZ2p4Q2lxVzN6VlFEenNyT3paeDArZkRqck9sNzJFN2IvbHFqcklhWDhHRUJISVVRYld5RlZzOVZxN1ZuOFdsQUp2UGVJaUx3QWt5bEVSRVJVZ3Nsa01oc01ocjhBMUU1TVREUjdPaDR2SWhNU0VoWVlESWE5QUw0RThIYXg1SUVmQ3FiTjVLTWcwWEdyb2loTEFTU2FUS1l4empxTWo0L1BCdUJzQ2VHcFVzcmVWcXYxSGJQWi9LZVQvVUJCMHVWaEFLTlFrT0JJRTBKOGJMVmFsOXVTUDljc0tpcXFxUkNpdTVReU56czdlNU9USnZrQVpnRDQwRFpxNWhFbVVzckhlNCtJeURzd21VSmVvZW10dHpiUktrR3RQQjJITjhqSms2MzlkZktFVUtETHlaT3R3OXJvUFIyU1Y4akx0eHc1ZVdUL1g1Nk9nNnBXNDVhUnpmeDAycGFlanFPNnlzbVh2d1BTUDZ5TnZwT25ZNm11Y25Oei96ejE1OEZqeGJlYlRLYmQ3ZHUzYjUrVWxGUmtOSW1VMHQ4MlNpTVhBQlJGcVNtRTZDYWxMUE16V1V4TVREOEFKNDFHNDIvMmJVYWpjU3VBcmVYRm1KbVpPVDRrSkNSQUNCRXNoTmhrTkJwWHUvczZuZEZvTlA4R29CRkNyQ3B0ZEl2SlpGcGhNQmpHQ1NGdUZVTE1zMDh2NHIxWE50NTc1U3Z0M3ZNMS9BeE1sWUdmZXlzR2t5bFU3VFVKajJxcUZjb3lDQm5qNlZpOFFZNHFrWnVyS29DRUJLYWlSTGxBY3NaUHB6a1VGcVovSmkwdEljM1RzVkRWQ0F2VGgwRW4vd3NoMjNnNmx1cnFxZ1VGcTdNSTJjZlRzVlJYL2dGK3g4UEM5STg1ZSs4b25raUpqWTBOa2xMNkFjaFBUVTNOZGFYLzJOallJRlZWWndONFhrcDVJU1ltNWc2ajBaaGExakhKeWNuWmVyM2VZTFZhclFDUW1wcWFHeHNiTzBsS2VWWksyZFcydWs0SkVSRVJmbjUrZm9NVEVoSStBcUNXZFk2b3FLajZRb2hoQUpDZm4vK2ZNcHBhVkZVZG9paktUMEtJbmdhRElTNGpRMjdodlZjMjNudmxLK3ZlOHhYOERFeVZoWjk3S3dhVEtWVHQ2WUNtRUlnUUVBMERBd09oMVphL1BDU1JxNndXSzdLdlhvVVVFZ2hBR0FEK28zS2pDRUFZQk5vSWlJWkJnWUhROEwyRjNHQzFXSEUxSndlcWxBR2x2WGRFUjBkM1QweE0vQkdBRlFVRmF1c3JpZ0lwNVZsWHpxSFg2N3RJS1Q4VVF0d2lwY3dGOExiUmFDeDFPazhoYWtKQ1FvS3pIVUtJSmdhRDRjSGlSWEZqWW1MQ2JRVmpZMk5pWWpvWWpjWmhaWjFBcTlWT0JoQUM0SnVrcEtTa3N0b21KaWJ1MHV2MUM0UVFMd2toNXZuVmtFcWV5bnVQcm8wcjk1NnY0R2RncW1qODNGdXhtRXdocjZIVGF2SEM4OE9najRyMGRDamtRNUlQSHNiY2hVdHc1V3J4UlNqb1JoRVVHSWlYWHh5SmlMYXRQUjBLZVpIa2c0ZXg2TjMzY1RIVDZVckNpSXlNYktEUmFMYkd4TVFjbFZJK1pES1praFZGdVFVRkNZMVRaZlVkR1JuWlFLZlR2UTNnU1FCQ1N2bVRvaWh4OGZIeGh3cTNhOU9telUyQmdZRmxUbk1RUXV3MUdvMy9LTFp0V1pzMmJReTJBcmhDcjljUEJUQUhRSWlVTWdIQSsyWDFHUk1URXdzZ0RnVUpvbGxsdGJVN2QrN2M2L1hyMSs4Qm9MV2ZCbS9tV1pFZkZNUjdqOXhYM3IzbmkvZ1ptQ29LUC9kV0xDWlR5R3NJUlVIYjFxMXdaNGZiUEIwSytSZytGYjJ4YWJRYVJMUnR6ZmNXY3B0T3B5dDFuMWFydlE4Rk5WS2FLb3B5d3ZaemF5RUVwSlIvT0RzbUxDd3NvRzdkdWk4QWVCMUFMU25sR1NubHF5YVRhWVd6OWdFQkFWWWhoTk9DcmxMSytrS0lPZ0FDbmV4dUZoUVV0RDQ2T2pwT1VaVEZRb2d1QUxKVlZYMGxJU0Zobm4wa2pUTVJFUkYrVXNybFFnaU5sSEpOWW1MaXJsSXZRaUhwNmVsWFEwTkRIeGRDN0JSQzFCWUNWdDU3ZEszS3V2ZDhFVDhEVTBYaTU5Nkt3MlFLRVJFUlVRVVRRdHh2Ky9HSCtQajRTN1p0SFd6YmtwMGNFbDYzYnQzREFKb0R5SkZTenN6T3pwNVoxckxGQ1FrSkZ3R1VxRHNTSFIxOXEwYWorUVVGU1pVNWhmZEpLVThLSVhZQjZLL1JhUGJidG0yV1VvNUlTQ2gvN3J5L3YvOWJRZ2k5bFBKaWJtN3VxUExhRjRzM0lTWW01bEZBYmdJa1A4MFRFWkZYVXp3ZEFCRVJFWkdQVVFEMFFFR2lZcDE5bzVUeUh0dVB2eFUvUUFqUkJFQVRBQjhMSVZxYlRLYlhpaWRTWW1KaUh0UHI5VDNMZWhobVcycDVLNEJRQU8rWVRLYXZpaldSbVptWmc2V1VQOXRpeXBCU3Z1bEtJc1cyb3RETHRsL0hKaWNubnk3dm1PS01SdU9XZkt1YzUrNXhSRVJFMVEyVEtVUkVSRVFWU0svWDN5bUVxQ2VsVkZWVjNZQ0MxVzhpaFJEaFVzcTgzTnpjRXNrVUtlV2ZBTm9iamNabjR1UGpqenZyVjByNWlLSW9td3dHdzZQTzloc01ob2MxR3MwK0lVU1lsUEpkbzlFNDNsbTcxTlRVM0t5c3JJZWtsQnVGRUhXRUVEL0h4TVM4SHhrWjJheTAxMlF3R0tLbGxDdEV3YnJPVzAwbTA0ZHVYWlJDY2l6NEJrQ3BJMjZJaUlpOEFaTXBSRVJFUkJYckVSU01Odm5WYkRiL0RRQWFqV2FRYmQrUHljbkpsNTBjYzl4b05CNHNwOThXQUtDcWFwRkN0SHE5UHN4Z01Id3BoUGdhUUUwQWI1aE1waEZsTFcrY21wcWFhVEtaZWtzcEo5azJQYWZUNlZJTUJzUHk2T2pvRG9YYjZ2WDZNQ0hFWmlGRURRQ0hWRlY5M0tXclVBWUpYTG5lUG9pSWlEeUpOVk9JaUlpSUtvNFFRdGhIanRoSHBkUVFRZ3kxN2Z5OFdHTnArMjk1TlVRMFFvZzJBS3puejU4L0JOdG9FU0hFU0NubFlDR0V2NVR5aEJCaWlORm8zT3JrK0NEYmYyV2hiZEprTXMwd0dBd2JBYnd0aE9nT1lJaEdveGxpTUJnT0F2aGFDTEZDU2xsUFNoa2loRGduaE9obHE5WGlWR3hzckU1S1dSOEZJMmt1dVhMQmlJaUl2QkdUS1VSRVJFUVZSSy9YZHhaQ05BVUFpOFd5QVFXalVsNEZjSk9VOG14V1Z0YVhoZHVycW5wZVVSUklLZHUxYTlldTdvRURCeTZVMHUrejlxV0wwOVBUcityMStyc0E3TElsYnl3QTNwZFNqak9aVEJkUlVOOGtQRHM3T3lNbkorZEtTRWhJb0txcVk0VVFFRUw4WGJ4dms4bVVDT0FCZzhGd0g0QXhRb2o3aFJCdEFkVFB6OC8vSUNrcDZXZUR3ZERIYXJYbUppWW1IckVmRnhVVlZVT3IxWFlIY001cXRWN1dhRFQrcXFxT0VFSUVTaW1sVnFzOVdoblhtSWlJcURwZ01vV0lpSWlvZ2lpS01oUUZvekpTeldiellZUEJFQTFnSEFxeUhtK2xwcWJtRm02ZmtKQndQQ1ltNW9nUW9xV2ZuMStLd1dCSXRZOVdzWk5TMWhGQzNHcjdlWW50dUY4TkJzTThBQTBBVERVYWphbkZqdmt5S0NoSUh4UVVoR0xidnkwdGRwUEo5QU9BSDJKall4dEpLWjhFWUU1S1NqcHEyL2RqOGZabXN6blhZREI4SVlUdzEyZ0tCdFlVbEZRQkFIeHFYOFdJaUlqSUZ6R1pRa1JFUkZSeC9LU1VVZ2l4Q1FValQwSTBHbzFWU3BtY201dTcxRWw3MVdxMVBxb295aEloaEI1QUJ5ZHQ4Z0FjbGxJdVNVaElXRzdmYURLWnhwUVJ4ODlTeW1naGhKQlNxZ0JPQ2lGV1pXVmx6U2p2QmNUSHg1OEM4TFlMcjlVaWhEZ01JQW9GaVJvcGhQZ0x3THJjM055SkxoeFBSRVRrdFpoTUlTcG02OWF0aUk2T1JzT0dEVjFxZitiTUdlellzUU4xNnRSQjkrN2QzVHJYZ2dVTGtKS1Nna21USnFGQmd3YlhHSEgxVTVYWGtJaW9PakVhamYxalltTGFXaXdXRlFBU0V4TjNHUXlHSHFxcVppWW5KK2M1T3lZeE1kRUU0SzZLak1Oa01vMEdNQnFBeGxZbnBkUml0TmZEYURSRzJ4WTBFSlY1SGlJaW91cUd5UlNpUXM2ZE80ZlhYMzhkQUxCcDB5YVhrZ0ZwYVdsNCsrMjMwYlp0VzdjVEFmdjM3NGZSYU1UVnExZXZPZWJxcHFxdklSRlJkVk44VlI2VHlmU1Q1NktCdFFyT3dRUUtFUkhkY0poTUlTcGt5NVl0a0ZMaTdydnZkbmxVUldYWnRtMGIzbmpqalhMYmRlN2NHZE9tVGF1U21GeFJuYTRoRVhtZnZMdzgvUExMTDVYV2YvUG16ZEd5WmN0SzY1K0lpSWh1REV5bUVObElLYkZtelJvQXdCTlBQT0hwY0pDZm40L0xseStYMjY0NmpXcXBidGVRaUNxTzFXcEZibTZ1Q3kzZDQrL3ZEM3Z4VWdESXpNekUyTEZqSy93OGRvTUdEY0pMTDcxVWFmMFRFUkhSallISkZDS2JYMzc1QmNlUEgwZHdjREN1WExtQ0gzNzRvVVNiZSsrOUYzNStmbFVhVjJSa0pCWXNXRkJpKzVvMWE3QjBxYk5haHA1VFhhOGhFVjAvazhtRTRjT0hWM2kveTVZdHcyMjMzZWI0WGFmVElUSXlza1M3akl3TW5EaHhBZ0VCQVFnUER5K3p6LzM3OXdNQVdyVnFCWDkvL3lMN0dqVnFWR0d4RXhFUjBZMkx5UlFpbStYTEN4Wkl1SHo1TXNhTkcrZTB6ZGF0V3hFYUd1cDBuNnFxeU03T0xyVi9uVTRIcTlVS1ZWV0xIQVBiNkJMN3NZcWlJQ0Fnd05GR285R2dkdTNhSmZvTERBeDArYlZWbGFxNGhqcWRyb0tpSmFMcXFGYXRXdmprazA5S2JOK3dZUVBlZU9NTjNIenp6VTczRjNiNzdiZERWVlhNbURHajNNUUxFUkVSMGJWZ01vVUl3RTgvL1lTa3BDUTBiOTRjWGJ0MkxiVmRVRkJRcWZzT0h6Nk1UcDA2bGJwLzJMQmgrUGJiYjVHZW5sNWkzNkJCZ3h3L3QyalJBbXZYcm5Vci91cWdxcTVoWlR3Wko2THl0V25UQmg5Ly9IR0Y5M3Z6elRkWGVKOUVSRVJFbFkzSkZMcmg1ZVRrWU83Y3VRQ0FLVk9tUUsvWFgxTS9BUUVCWlg0cHFGZXZIaUlqSTFHL2ZuM0hOcFBKQkNrbElpSWlIS05SdkxGb2ExVmVReUx5ak9EZ1lMUnYzOTdUWVJBUkVSRlZDMHltMEEzdjg4OC9SM3A2T3ZyMTYzZk5TUURZbnE1Kyt1bW5aYmJwMTYrZjQrZGp4NDQ1ZnA4K2ZUckN3c0t1K2R5ZVZwWFhrSWlJaUlpSXlOT1lUS0ViWHNlT0hmSFpaNS9oMEtGRDZOMjd0OU0yQXdjT1JQLysvU3YwdkQvLy9IT0Y5dWRKbnJxR1JFUkVSRVJFbnFCNE9nQWlUMnZidGkyV0xWc0dWVlZ4N3R3NXBLZW5JejA5SGVmT25YUDhxWXpsaDUydGRPT3RQSFVOaVlpSWlJaUlQSUVqVTRnQWhJZUg0N1BQUGdOc1UzR09IVHVHdFd2WG9rR0RCcFZ5dnBTVUZNZlNuUUR3M1hmZllmLysvWmcxYTFhWkJWcXJzNnEraGtUVlRYcDZPb3hHWTZXZkp5UWtwTXdpejBSRVJFUlUrWmhNSWZLQS8vM3ZmNEN0b09yWnMyZngzWGZmNGM4Ly84U3dZY093YU5FaTFLbFR4OUZXQ09IQlNJbklWV2F6R1crODhVYWxuNmRGaXhZK20wd3htVXdZTldxVTAzMVdxeFVBY09qUUlkeDk5OTFsOW1OZmRuN3c0TUZPMzBQdnZmZGV6Snc1czBKaUppSWlvaHNUa3lsRWJ0aS9mejkrKysyM0l0dnNTeDJmUFhzV3k1Y3ZMM0ZNelpvMWk5UUtPWDM2TkRaczJPQll3ZWZzMmJPWU1XTUc1cytmajMzNzltSG8wS0dPS1RNQW9OUHBLdjExVmFXS3VJWkUxWkZXcTNXc3lsV1pBZ01ESy8wY25tSzFXcEdUazFObUd5bGx1VzNzY25OejNkcE9SRVJFNUNvbVUraUc5L1BQUHp0R2lnREFtVE5uQUFDVEprMkNuNStmWS92amp6K080OGVQNDkxMzMzWGF6N2x6NTV6dWE5cTBhWkZFd0ljZmZnaUx4WUxldlh0ajY5YXRnRzFKNEhuejVtSEVpQkhRYURRSUNncHlmTmd2SEVOMVZkWFhrS2c2NnQ2OU83cDM3KzdwTUx4YSsvYnRzWEhqUnFmN3Z2bm1HN3ozM250bzE2NGRaczJhVldZL3ZYdjNocXFxV0x4NE1WcTBhRkZpZjFVa3ZZaUlpTWkzTVpsQ043eFRwMDVoOSs3ZEpiYkh4OGNYK2IxTGx5Nk9uenQxNmxUdWwvc3paODVneG93WlJiWWRQSGdRNjlldlI4MmFOZEdyVnk5SE1nVzJwODJMRmkyQ1JxTkJZR0Fnc3JLeUFBQzFhdFc2NXRkV1ZhcnlHaEtSNy9MMzkwZmp4bzJkN3JPUDBxdFRwMDZwYllxclY2K2V5MjJKaUlpSTNNRmtDdDN3ZXZmdWpXN2R1amwrSHpKa0NOTFQwL0haWjU4aE5EVFVzVDA0T0JocjE2NEZBRFJxMUFoMzNYVlhtZjJtcGFVVitkMXF0V0xHakJsUVZSV0RCZzF5K21RME9Ealk4Yk45ZEVlOWV2V3U0OVZWamFxNmhrUjA0N3B3NFFMZ0pRbG04aDY1dWJudzkvZjNkQmhseXN2THc2Ky8vZ3E5WG8vYXRXdFg2cmxNSmhQeTh2SVFGUlhsMDFNS3lidGR2bndaSjA2Y1FIQndNSm8wYVZKaS82VkxsNUNabVlsbXpacFZlaXhuejU3RjBhTkhVYmR1WGJScTFhclN6MGZWQzVkR3BodGVRRUFBUWtOREhYODBHZzFnZS9wWmVQdjFEZ3VYVXVMTW1UT29YNzgrQmc0Y1dHNzdvMGVQQXJZcExxNUtTMHZ6U0FLaXFxNGhFZDI0amg4L0RyajVua2hVbGt1WExtSFFvRUZZdEdpUm8wNVpaZnIrKysveCtlZWZ1MzNjeXkrL2pERmp4amdlUnJoaTU4NmRiclczbXpCaEFrYU1HSUVUSjA2NGZTemRHQTRlUElqSEgzKzh5S3FVZGxKSzVPYm1Ydk1maThYaTlKeDVlWGxGZmplWlRCZ3dZQURtekpuanRQMjBhZFBRcDA4ZkxGbXl4T1hYbFp1Ymk5bXpaK1BjdVhNdUh3TUF1M2J0d29nUkkvRCsrKys3ZFJ6NUJvNU1JYW9pV3EwV3ZYcjFRb2NPSGNwTktxaXFpdVRrWkFEQXJiZmU2dkk1OXUzYmgxbXpabUhJa0NFWU1XTEVkY2RNUkZRZHFLcUtwS1Frd0xZTU8xRkZNQnFOU0V0THc5R2pSM0hreUJITW5EblRNUnBqMnJScFJhYmlYb3RQUC8wVU45OThNd0RneElrVG1EaHhJaXdXQ3c0ZE9vVFhYMy9kNVJFeHZYdjN4dTdkdS9IbGwxOWk4T0RCMEdyTC92aWVucDZPVjE5OUZYbDVlVGgwNkJCZWZmWFZjbzhoY3RXY09YT1FrcEtDWjU5OUZuRnhjWGptbVdjY3E2WWRPWElFanozMjJEWDMzYXRYcnlLcjRsMjhlQkV6WnN4QVJrWUdsaTFiNXRMZjQzWHIxbUhIamgyb1g3OCtubnJxS1pmUC9mYmJiMlA5K3ZYNC92dnZNWHYyYkxSdjMvNmFYd2ZkT1BqT1NsU0Y0dUxpWEJxZFlUYWJrWldWaFlDQUFMUnUzZHJsL2pNek13RUErZm41MXhVbkVWRjFzbWZQSGx5OGVCRkNDTVRHeG5vNkhQSVJYYnQyeGR5NWN6RnUzRGpzM0xrVHp6MzNIT2JQbjQvUTBGRGs1ZVc1dkdwVWFlekxlUU5Ba3laTjhOWmJiMkhpeEluNDVwdHZjUHo0Y2N5Wk13YzMzWFFUQUNBbko2ZlUwVEYzM25rbkdqWnNpRmF0V3VIMDZkT29XN2V1MDNaQlFVR0FiZlRXQ3krOGdMbHo1MkxObWpVNGN1UUk1c3laNDVnaWxKT1RnL3o4ZkFRRUJQamNpb0ZVK2ViTW1ZUHg0OGRqNzk2OVdMSmtDY3htTTJiTW1GRmtxcnBXcTNVNi9hWTBWNjVjY1RvaUpDZ29DTWVQSDhlUkkwZXdaTWtTakI0OXVzeCtrcEtTOEovLy9BY0FvTkZvTUhiczJETGJ6NW8xeTNGZkRCOCtIQWNPSEVCS1NncUdEaDJLU1pNbW9WZXZYb0F0b1gvbHloVUlJWXE4VGlJbVU0aktJYVZFY25JeTJyVnJkOTE5dVRyTlpkT21UUUNBTys2NHc2MFBPbWZQbmdXSzFWbFp2MzQ5V3JaczZkRU1lMFZlUXlMNmYwbEpTVWhKU1VHL2Z2MDhIVXFseWMzTnhZSUZDd0FBOTl4ekQydW1VSVhxMUtrVEZpOWVqTkdqUitQZ3dZTjQrdW1uc1dyVktzZitaNTU1QnM4Kys2eGJmZDUvLy8xT0V6SGR1blhEVFRmZGhILy8rOTlJU2tyQzRNR0RzV2pSSXR4eXl5M28wNmVQNDkvdzBwdytmUm83ZCs0c2RmK09IVHNRRWhJQ0FCZ3dZQURxMTYrUGlSTW5JaUVoQVlNSEQ4YkNoUXNSRmhhR1NaTW1ZZHUyYlpnNGNTTDY5dTNyMW1zanFsV3JGaFl2WG96WnMyZmpmLy83SDNidTNJbTR1RGlzWExuUzBhWjU4K2I0OHNzdlhlN3poeDkrd0xoeDQwcHM5L1B6dzV0dnZva25uM3dTSzFhc1FJY09IZEN4WTBlbmZmejExMThZTTJhTTQ0SGlxVk9uY09yVXFUTFBhMTg1RXdEcTE2K1A1Y3VYWTh5WU1majk5OTh4WmNvVUhEdDJEQ05IanNUUm8wZngyR09Qb1Y2OWV0aXlaWXZMcjR0OEg1TXBSR1ZJVEV6RW5EbHpvS29xUHYzMDB5bzU1N2x6NTdCNTgyWUFRTStlUGQwNjFsNjB0bEdqUm9CdHp2VDA2ZE9oMCtrd2FkSWt0L3VyQ0o2NGhrUTNnck5uejJMVXFGRzRmUGt5VWxOVE1XYk1HRWU5b29wMDZOQWhEQmt5cE1MN0xXN05talZvMkxCaGtXMFdpd1Z2dlBFR1VsSlNvQ2dLbm52dXVVcVBnMjQ4TVRFeGVPKzk5ekJ5NUVqMDY5ZXZ5Sk5ublU3bkdQRlJFZlI2UFpZdlg0NlJJMGNpTURDd1JISXdORFRVN1NrNXAwK2ZkcnI5dnZ2dVEzQndNTWFNR1lQczdHd295dldWU3JSWUxEaDU4aVNhTjI5K1hmMlE5OU5vTkJnM2JoeWFObTJLK2ZQblk4aVFJWTZwUGhXdFZhdFdHRHAwS041OTkxMU1tVElGYTlhc0tkRW1QVDBkdzRjUHgvbno1L0h3d3c5ajh1VEpUdVBKenM3R3lKRWpZVGFiMGJWcjF4S0xQQVFIQjJQUm9rVVlOMjRjZnY3NTUrc2VuUVlBNTgrZmgxYXI1WU1BSDhWa0NsRWhVa3FjUDM4ZXNNMlgvdTIzM3dBQXQ5eHlTNUYyVnF1MVNEYmJtV3VkYWpOdjNqems1T1NnWWNPRzZOeTVjNm50N0hPdC8vNzdiOEEyYk5kc05nTzJKd0t3RFExKzRJRUhzSFhyVmt5ZVBObnhqMDFscWc3WGtPaEdVSzllUGZ3ZmUzY2Uza1MxL2dIOGV5WnBtN1lVQzdLcElDQkxXZHNrNWNxaWdoc3VLRjZFSDZBRnVRb3FvbDZCSzRnaUtDb29paUM0SU1naTRzSWkyMFVVM0tpS0xJSnQwb1cxQllvZ2k1UlNvWHVUT2I4L1NITFROa21Ua2paZHZwL244YUdaNWN5YjJzbGszam5uUGFOSGo4YWNPWE93YXRVcS9Qbm5uNWc1YzZiZlorQlFWZFV2WHlpOU9ZNno3T3hzVEpreXhUSHQrdWpSbzltN2pTcE41ODZkc1diTm1oSXowRldXdG0zYll1blNwUWdMQzBPREJnMUtySHYzM1hkOUd0NXJzVmpRdlh0M3QrdDc5T2lCK2ZQbkl6UTAxT2NrU0VGQkFWSlNVbUF5bVdBeW1aQ2NuSXlvcUNnc1hiclVwM2FvOWhvMmJCaHV1T0VHdEdyVnFsS1A4L0RERCtPMzMzN0QvZmZmNytoOVpaZVNrb0x4NDhmai9Qbnp1UDMyMnpGcDBpUnMyTEFCLy96blAwc2tFUFB6OC9ITU04OGdPVGtaQm9NQk0yYk1jSmxnREE0T3hxeFpzL0RWVjE5aHdJQUJQc2Q2NHNRSnh6bGpNcG53eHg5L1lQNzgrUjdQVTZxNW1Fd2hjdkxkZDk4aEp5Y0hBTEJyMXk1RVJrWmkyTEJoWllwcHJWMjcxbVZtL0hKdDJMREIwWDN3cWFlZTh2aDBxbVhMbGdDQTFOUlVEQm8wQ0xtNXVjak96a2FqUm8wY2lZdWdvQ0RNbURFRFRaczJ4ZkxseS9IUlJ4OGhNek1UTDd6d3dtVS9vWEluMEw5RHF2MjZkdTBhbTVLU1lnWmc5V0x6V2kwdUxnNU5temJGbENsVDhPdXZ2K0tKSjU3QXUrKys2OWNuWUMxYnRzVDgrZlA5MXA0Nzl0b1JzSDJPekpvMXl6RWQ4aU9QUElKSEgzMjAwbU1nOTdwMjdkcEFvOUUwTXB2TjZRQmtvT1B4aDRLQ2doTERiNTBUS1owNmRVSmVYbDZGYmhKNzkrNk53c0pDajdVVmZLa25jYmxpWW1LODJpNHpNOVB4RU9QNTU1L0g4ZVBIeTh5dUVod2NYQ2t4MWpaMTZUcFYyWWtVMkdxd0xGcTB5UEZheXY5OUJLV21wdUw4K2ZNWU9IQWdubi8rZWJ6MTFsdFlzMllONHVQajhmcnJyNk5ldlhySXlNakFpeSsraUFNSERxQk5telo0NTUxM1BCYUExbXExWGcyQkt5NHVkZ3pQUzB4TXhKMTMzdW15OWd2UG05cUx5UlFpSjZHaG9WQVVCZlhyMThlLy92VXZEQjQ4Mk9WVDNzaklTTWRRR25jS0N3c2QweHQ3dzJReVljYU1HWUJ0RFBmZGQ5L3RjZnR1M2JxaFQ1OCsrUG5ubngzVElldDBPa3llUExsRTEwWWhCTWFPSFl1d3NEQXNXTEFBNjlhdGcxYXJkVGsyMVI4QytUdWt1a0dyMVg1bk5CcFBxcXI2aGFJb0c0cUxpMCtucEtSY3FBdGZXbDI1N2JiYkVCNGVqdkhqeHlNMU5kVXhkdDFmczNlRWg0ZFg2Uk8xWjU1NUJ0dTNid2RzbnlkVHBrekJYWGZkVldYSEo5ZTBXbTBISWNRV285RzRIOERIUlVWRlA0U0VoR1FtSkNSY0JGRDU4d3I3V1g1K1BoNTk5RkcwYmRzV3p6Ly9mSm5yVkZ4Y0hPTGk0Z0RidGNpNW1LdzdPcDBPaXFMZ2pUZmVLTE51MXF4WmpvY1o5b0tYenE2NTVocUVoSVQ0Zk5NbGhIQU1qeE5DUUZWVlRKbzBDWHE5SHNPR0RmTzQ3K0hEaDdGOCtYS2twcVlpTlRYVk1WUVlBSTRlUFlwNjllckJZREFnTmpZV09UazVXTHg0c2RlMTMrbzY1K3VVcXFycnBKUi8xWWJyMU04Ly80eU5HemRpNHNTSlpZWmxPaXNxS2tKNmVyclg3VHIvN1hseS92eDVyRml4QXF0WHIzWXNlL0RCQjlHdVhUdDA2OVlOQURCcTFDZ2tKU1ZoKy9idGVQVFJSM0h2dmZmaXd3OC9SRUZCQVc2NjZhWXl4WEpoK3c3Ky92dnY0OVZYWC9XWTZDd3VMc2FXTFZzYzU4eUJBd2NjQ2NqczdHd0FRSnMyYlJBYkc0dHUzYnBoenB3NU9IMzZOTStiV296SkZDSW52WHYzeGp2dnZJT3VYYnQ2ZkxKN3h4MTNsSnVNeU1qSXdLQkJnN3crZHBjdVhkQ3RXemRrWm1iaWxWZGU4V3JzNlp3NWMzRHMyREZrWm1aQ3E5V1FobDFrQUFBZ0FFbEVRVlNpZGV2V3FGKy92c3R0SDN2c01WaXRWcXhZc1FMMzNYZWYxM0g1S3BDL1E2b3pCSUF1aXFLOExxV2NvdFZxVFFhRDRUY3A1UzZOUnZOYlFrTENINEVPc0tyMTZORURzMmZQeG9RSkV6QjA2TkFhUFEzcVF3ODloRjI3ZHFGbno1NTQ3cm5ucXZRSlBua21wZFFJSWJwTEthOFBDZ282TDZVMEd3eUdIVUtJM1JhTDViZms1T1MvQWgyanQwd21FOUxUMDNIZ3dBR2twcVppOXV6WmJwK3dqeDA3Rm52MjdDbTN6VldyVnJtY3Vqc2pJd01iTjI1RVhsNGVFaElTOE5KTEw2RjM3OTRsdGxteVpFbUYzb2RHbzhIWFgzL3RlUDNqano5aTY5YXQyTHAxS3hJU0V2REtLNjhnSWlJQ1JVVkZpSStQUjNKeU1wS1NrZ0FBSzFhc0tORldreVpOa0pXVkJZdkZncmZmZmh0OSt2Ung5R0xkdUhFandDZnN2bkJjcDRRUWt3RWsxZlRyVkY1ZUhsNTk5VlZrWjJkajE2NWRlT0tKSnpCczJEQ1hQWjFQbkRoeFdWTWtsM2JreUJHc1dMRUNtelp0UWxGUlVabjE5a1FLbkFySmpodzVFbWxwYVhqbm5YY2doTURvMGFQeDJHT1BsZmwrTGFYRW0yKytpYlMwTk1URnhXSGF0R200NVpaYkFBQnBhV25ZdVhNbmR1L2VEZGdTSmkrKytLSmozNkNnSURScDBnUi8vZlVYakVZalpzMmFWU0paT21mT0hJRG5UYTFXYzc5dEVWV1NHMis4MGUwNjV5ZFY1V25WcWhVU0VoSThidVBjWlJFQTNuNzdiUlFVRlBqVVJiOWx5NWFPSVQvbGVlS0pKekJ3NEVBMGFkTEU2L1lyb2lwL2gxUzNDU0hDQU54Zyt5OWJWZFd6UnFQUkRPQlRpOFd5TlRrNU9UZlFNVmFWWHIxNlljT0dEWlYrZmxlMmYvempIMWl6WnMxbEZibjA1c2FYS2s1Y3VodHBDT0JXSVVRZkFObGFyZmFzd1dEWW9hcnFaMGxKU2RzQVdMeG9LbUI2OWVxRkR6LzhFQk1tVEVCR1JnWkdqQmlCR1RObTRLYWJibks3ajBhamNYbmpXRjU5cjFhdFd1R3p6ejdEYzg4OWgvVDBkSXdmUHg1eGNYRVlPM2FzSS9IcHFVYWF0NTU5OWxuY2Q5OTltRFJwRXQ1KysyMzgvUFBQZU9paGh6Qm56aHhjZmZYVmVQSEZGMHNNajJqVHBnMXV1T0VHZE8zYUZWMjdka1hqeG8xeDExMTM0ZXpaczJqUm9rV0o5Mm9mN3VOcGFBUzVKb1NvVi9vNlpUQVlmaGRDcktoSjE2bXdzRERNbVRQSFVZTnY3dHk1K1BISEh6RnQyclF5aWNpd3NEQVlqVWF2Mno1MzdoejI3OTlmWWxsUlVSRzJidDJLOWV2WDQvZmZmd2RzZjM5RGhneEI2OWF0SFZNZ095c3NMTVIzMzMySFZhdFc0ZkRodzRDdGdPMkVDUk5LSkZ5Y0NTSHczbnZ2WWZ6NDhkaS9mejhtVEppQVVhTkdZY3lZTWRpOGVUTSsrZVFUeDdaYXJSYTMzWGFiNDV5SmlvckNwazJiTUgzNmRFUkdScGJwZGNienB2WmpNb1dvR2drUEQwZDRlSGlsSHFPbTMyZ1IyZXMxT044VTJFUUtJU0lCdEFNd1dLUFJuREVZREt1a2xLdUZFSWN1WHJ4NElUMDkzWFBWNHhxdXRwemZuQzJrZWl0MTdta0FYQ21FdUZJSTBVR2owWXcwR0F6SEFYeGh0VnBYRnhVVkhWTVU1ZUsrZmZ2S1BrNE9NS1BSaUdYTGx1SGYvLzQzVHB3NGdmLzg1ejlZdTNhdDI3Ky9LVk9tdU96WjJhZFBIMGV0TUhkYXRteUpUejc1QkZPbVRFRjhmRHpXckZtRHUrNjZ5MUZVT1M4dnorUCs5Z0xObnVxZDJXL2NoZ3daZ2hZdFd1QzU1NTdEOGVQSDhjZ2pqMkQ5K3ZVWU1tUUltamR2amg5KytBRkpTVWw0OE1FSHZaNGEyWjR3NG5BRnIzbHpuWHJRK1RxbDBXZ08vdjMzM3hlcjgzVXFKaVlHSzFldXhKdHZ2b212dnZvS0tTa3BtRFJwRWxhdVhGbWl4OGRWVjEzbG1OTGVHNGNQSDhhV0xWdlFzV05IeDdLOHZEeTg5dHByS0Nnb1FMMTY5VEI0OEdERXhjV2hZY09HSmFZSUx5b3F3azgvL1lUNCtIajgrdXV2am5PcFVhTkdlUExKSjlHL2YvOXk2d1EyYnR3WWl4Y3ZkcHlmUzVZc2dhcXE2TjY5T3l3V0N4bzFhb1I1OCthaFFZTUdlUDMxMTcxK1h6eHZhajhtVTRpSUFBQVN3UnExblY2dkQzUWdWQTRoUkpEVHowQ3BMNnhPUHpjVlFqd0Q0QWtoeEtHSWlJaGRlcjArVlVyNVMxSlNrcm5LQTZkYVNhb1NRUnJyZGJYOXMwTksyVmxSRk1mYzIrV2NleTJFRUpPMFd1MHpXcTEybjVSeWoxNnZUeTB1TG83ZnUzZnYvaktOQjlDMTExNkxqei8rR0dQSGpzVmRkOTFWcVlrOG5VNkhXYk5tWWNHQ0JlallzV09KMmFrODlhWTZlUEFnNHVMaTBLNWRPNnhjdWRLclkvWHMyUk5MbGl6QnYvLzlid3dmUGh3Tkd6YkVjODg5QjlpR09QbktQdnRlOWJvcGxBald5TGJWOGR5cnlIVktTbmtnSWlKaWQzVy9Ub1dHaG1MYXRHbUlqbzdHTysrOGc1ZGZmdG54SHUzSkErZWhwdDkvL3ozV3JsMkxlKys5Ri9mZWU2L0xOdHUwYVlPbm5ucXF4TExJeUVoSDRmSEJnd2U3TGVpc0tBbysvZlJUN051M0Q3QU5tNy92dnZ0d3p6MzMrUFQzcXRQcDhOWmJiMkhXckZuWXNXT0hJM0hUdlh0M3BLZW4rNVFjc3F1ZTU0MWRqZnJlcTVkU1ZzdXhVa3ltRUJFQkVGSW9vVnJOU0VVUmxWK1duaTZMbERLODlKaG5keldHYkY5WWd3RjBBZEJaQ0ZHa0tNb1pnOEdRWG1TUlNia1dXWDV4SWlJUEJJQ3dvS0E0UlJHMWZkN21JQ2xsaUkvblhxZ1FJaGFBVVZHVXd1RGc0Rk1HZzJGL1hwR2FVcWlpMnB4N0RSczJ4TktsU3hFVUZPVEYxcGRIQ0lFeFk4WlUrbkVBb0gzNzlsaXpaazJacVdRcklqZjMwa2lVNm5SVEtLUVF1aUR4a0tJbzdRTWRTMmtWdkU1RkEranFmSjNLTDdUK1ZxQ2ljcVpmdkV3REJ3N0ViYmZkVm1Kb3VqMlo0bHdqNU5TcFU5aXpadzhNQm9QYnR1dzEvZTY5OTk0U1EyVWVlZVNSY3VQUWFyV1lQbjA2NXMrZmo2dXZ2aHE5ZS9mMmVDeFBGRVhCcEVtVGNQSGl4Y3MrYjZ4V0t3b0tDb0JxZHQ3WTJiNzNqaFlDYlFJZGl4ZTBBTUlBWEFoMElLVXhtVUpFOUQ5QlVzcnFkOFdqeTJaL0NpaUUwRW9wNndGb3BpaElGOUtMU3M5RTVSRXlTRXJVNnM4T0lZVEdpODNLY0hvQ3J4VkMxSmRTTmhNQzNrL3pVVVc4U2FTVU4xVGdjczJaTXdkYnRtekJ1SEhqMEs5ZlA3KzA2WTlFQ2dBY1AzNGNBUHc2N2JvL0tFTFVtdXUyNit1VUNLL09jMldWL252NCsrKy9BVnZORkcrZE9uVUtVNmRPaGNsa3dwWXRXL0R4eHgrWGV6NGFEQVo4OGNVWGp0NHFMVnUyUk4rK2ZURnAwaVNjUFh2V2JUTGwzTGx6U0V4TVJOKytmVDIyNzQvejVzU0pFNER0ZDFHTmk4SVhDeUVLQWgyRWwzSUFuSkpTL2hub1FKeFYyLyt6UkVSVlNRcXA1bHNzQzhPQ05HbUJqb1hLdFZFSVVlS2JqdE9YMEJJYjJsNWJwWlFaQUg1VFZUVUp3SzltczNsM3F3NzZHeUZRZVZOYlVaMGdBZVFWV1Q2cEY2eXQxZk80MjRiNXpBSVFXbW81NE9iY2sxSVdBMGdEc01kcXRTYXJxdnB6U2twSzBxVnpUdzZwMm5mZzJkZGZmdzJqMFlpcnJycXF6RHI3MDJWL3pjaXhZc1VLOU8zYkY0MGFOU3F4L055NWN6aDM3cHpIRzBuN3NJSFNOQnFOeXh1MlE0Y09vWDM3aW5YY1dMTm1EWUtEZ3gwMUtRRGd1dXV1cTFCYmxVRUtLZk9LMUtWaFFVcTFTODVWOERwMUJNQ2VFdGVwdHRIZG9CWFY4anAxNGNJRkhEdDJERjI3ZG5Vc08zLytQQUNnUVlNRzVlNHZwY1RhdFdzeGI5NDg1T1hsb1ZHalJoZzllclJYaWMxNjllb2hLaXJLNWJwdDI3WWhNek96elBtMWMrZE9USjA2RmVmUG4wZHhjYkhiaE9YcDA2Y1JHaHBhb2NUaHdZTUhrWlNVaE1qSVNIenp6VGRBTlR0bm5ObSs5eTRORXpYbmU2K3FxcG5KeWNtSEF4MkhNeVpUaUlnQUFBSkZWaVh0MEY3elQ0R09oRHd6R0F3Vy9POW1yY3g2cHkrcUY2U1VYNnVxdXNacXRTWVZGQlNjVFU5UHIzWmRSS2xtRTRxQVJkVWVNWnRyOTJlSHdXQW9sRktxcnVvLzJEbXR5MUpWOWIrcXFxNVdGT1ZBVVZGUjVyNTkrenhYYUEwZ2k4V0NtVE5uSWo4L0grKzk5eDU2OXV4WllyMDltUklhR3VxbUJlOWxabWJpN2JmZmRzeUU0bHdINHM4L0x6MXdiZGFzbWN0OTA5TFMwS3RYTDVmcmV2YnNpZmZmZjcvRXN2ejhmRHowMEVQbzJMRWpKazJhVktLNHB6YzJiZHFFbEpRVXgrdkdqUnNqTmpiV3B6WXFsMENSVmFSWHgrdDJSYTVUcXFxYTgvUHpNMnZLZFdyWHJsMTQ0WVVYWURBWXNHREJBbWkxV3NmZmNPbEVSbWtIRGh6QXpKa3pIWDlmOTk5L1A1NTU1aG5VcjErL3hIYng4ZkdZTW1XS3g3WWVldWdoUFBIRUU0N1hPVGs1bUQ1OXVtTks1UHo4Zk15ZlB4OWZmUEVGQU9DMjIyN0Q5ZGRmNzdhOU5XdldZTldxVlJnNmRDaWVmdnBwTDM0VC81T1ZsVlZtbGlGLzlUTHpQMzd2OVFjbVU0aUlxS1pSWWJ1WksvV0VMMDlLZVJIQUlTbmxFZ0QvTlp2TjJRR0xrcWoyY2R3Vk9pVk9WQUI1QUM0Q1NMUmFyVXR5YzNPL3FjNHprcFNXa3BLQ3ZMdzhDQ0hRb1VPSE11dFBuejROZUhHRDZBMnorVkpOMGViTm01Y3BxSG5zMkRFQVFPdldyVjN1cTlWcTNUN3hkN1Y4OSs3ZHNGZ3NTRWxKY2N6MDQ0czc3cmdEa1pHUlVCUUZWMTk5TlI1NDRBRVVGQlJ3bWxmdmxIZWQyaXVsWEY2VHIxTy8vZlliWUp0Tng5NHJ5djQzM0xKbFM1ZjdaR1ptWXVIQ2hkaXdZUU5VVlVWVVZCUmVlT0dGRXIxYm5PbDBPalJ0MnRUbHVwTW5UNks0dU5qbDFPVGJ0bTNEdSsrK2l4NDllbUQ2OU9rNGVmSWttalZyaHVlZmY5N2o5T2NBc0dQSER1VGw1ZUhBZ1FQbC9BYkthdCsrdmFQOTBOQlE5T2pSQTMzNzlrVnhjWEdWMUdTaXFzZGtDbEUxc1hidFdzVEh4K1BHRzIvRUF3ODg0SGE3RXlkT1lPYk1tVkFVQmUrKysyNlZ4a2hVVFNqNDM4MWNQZ0N6bEhJUGdGMUNpRDJKaVluVnNjdDNwZHE5ZXpjaUlpSzhmdklzcGNUcTFhc0JBSU1HRGFyd2VPN2s1R1I4OU5GSGFOcTBLYVpPbmVweDI0a1RKeUkvUHgvang0OUhtelkxb2Q0ZHVTRHd2NmZ0MlFETXR2TnV0OFZpMlpPY25Id2kwQUZXaFAybXNGT25UbVdTRWxsWldiaDQ4U0lBNEpwcnJybnNZOW1US2FWN2VCdzdkZ3dYTGx4QWl4WXQzTTVhMHJwMWE2OW44NEh0cGhDMkFydGR1blR4T2RhNHVEakV4Y1dWV1BiZ2d3OUNxOVZpL1BqeE1CcU5QcmRaaHppdVUxTEtYQ0ZFY20yN1R1M2F0UXNBY1B2dHR6dVdwYWFtQW00U2d2SHg4VmkrZkRrS0NncThucmE0WjgrZVdMZHVYWm5sMzMvL1BWNTQ0UVhVcTFjUEF3WU1LTFBQeVpNbnNYejVjaXhmdmh5S29pQXVMZzVQUHZsa3ViM0xzckt5Y1BEZ1FjQTI1Ym12cnJ6eVNzeWRPN2ZFc3A5Kytna3Z2L3d5N3JqakRyejQ0b3MrdDBuVkc1TXBSTlhFMGFOSHNYUG5UcGZqdFozbDV1Wmk1ODZkNVJiQ1UxWFYwVFc1c21nMEdqNmhva0NRcXFvZUJMRFdhclZ1MG1xMXh3b0xDelAzN2R0WEZPakFBdVhOTjk5RVJrWUdwaytmanJ2dnZydmM3YTFXSzk1NjZ5MEFRUC8rL1N1Y1REbDM3aHgyN3R6cDlpbWtzOTI3ZHlNbkp3ZWpSbzJxMExFbzhJUVFxcXFxSmdBclZGWDlVVlhWUDFOVFU4OEI4TDNiUXpYeTY2Ky9BZ0J1dlBIR011dCsvLzEzQUVDTEZpM0tERUh3WlBQbXpmajIyMi94d0FNUG9FZVBIbzdsN3BJcDlxbVJjM0p5OFBmZmYvdWwwT3ZPblRzQkFMMTc5M1k3azR5di92cnJMMlJuWnlNek05TXY3ZFZpanV1VXFxcGZhVFNhUDJyVGRTb3RMYzNSWSt1V1cyNEJBSnc1Y3dhblRwMkNWcXQxbWRoUFMwdERlSGc0bm5qaUNRd2ZQdHhsWXVQVFR6OUZ0MjdkUEQ0WStPV1hYekIxNmxSSUtURjkrblMwYU5HaXhQckl5RWhNbmp3Wi8vclh2NUNWbFlXb3FDZ01HemJNcTJGNjlnUWtiT2VOUC96MTExL0l5Y2xCWW1LaVg5cWo2b1hKRktKYUtpMHRyY3dUSlgrNzhjWWJNVy9ldkVvOUJsRnBxcXJlblpTVWxGalRiK0Q4WmYvKy9jakl5TUFWVjF6aCtGSkw1RzlGUlVVSEZVVzVQaVVsNWFEemNKK2E3dHk1YzlpL2Z6OEE0SVliYmlpejN2NVUzTlU2VDdLeXNyQnQyelpIVjMvWWFwZ2NPblFJQU1yMDZ2amhoeDhBV3dIUHQ5NTZDek5tektqZ083b2tJeVBEVWIvaTVwdHY5bnEvME5CUTZIUTZhRFJsSjIvS3o4OUhkdmFsRVNuWFhudnRaY1ZYMjlYMjY5UzJiZHNBQUczYXRIRWtNK3hGaWp0MjdPaHlLdUFiYnJnQnI3NzZhb21wajB0YnRtd1o1czZkaTIrLy9iYk1zRHBWVmJGNDhXSXNYTGdRR28wR3I3NzZxdHNoTzFkZmZUVSsrdWdqUFB2c3M5aS9meitHREJtQ2tTTkhZdWpRb1I2VEt0dTNiM2U4QjNmRGkwclRhclhRNlhSdXB6OCtlZklrd0hPbTFtSXloYWlXMHVsMGJqUDc1OCtmZHp4UjZOQ2hRNFdmV1BIQ1FJR1FsSlMwTzlBeFZDZHIxcXdCQUF3Y09ORHRsem1peTdWMzc5NHNBRm1CanNQZmZ2bmxGOEJXYzZSVHAwNGwxc1hIeDJQUG5qMFFRbURnd0lFK3RXdFBPalJwMHNTeGJNK2VQYkJhcldqUm9nVWFOMjdzV0o2UmtZRTllL1lnS0NnSTRlSGgyTEpsQzVvMGFZS3hZOGRXK0gxdDJiSUZzSDBYY0ZkczAxVmgxUFhyMTd0dDg0OC8vZ0JzdlZLcjZ3d2wxVVZ0djA3WmszL09pVHI3N0RYdWt2cWRPM2YybUVpeEordkN3OFBMSkZKTUpoUGVmdnR0SERod0FEcWREak5ueml5MzlrbnIxcTN4NmFlZll0cTBhZGk2ZFN2ZWUrODlmUHJwcC9pLy8vcy8zSC8vL1dVS1BlZmw1VGsrRDl3TjhYRjF6dlR2M3gvOSsvZDNHNGY5dktub3JGcFV2VEdaUWxSTHRXelpFcDk5OWxtWjVXZlBuc1hJa1NNQkFFOC8vVFFlZWVTUkFFUkhSUDZRbloyTnpaczNBN2E2Q1BZdnVNNjZkdTNxOVJNMm9yb21QajRlc05WWmNINndrSmFXaG1uVHBnRzJSS1d2ZFg3Ky92dHZBQ2d4ZE5jK25LajBFQi83TER4OSsvWkZ2Mzc5TUhic1dDeGZ2aHdaR1JrVnJyRmcvMXpvMGFOSG1lRzRFUkdYWnV5MTkxenhscjIyVEpzMmJmdzJUVFRWUE1lT0hTdFRWeVFsSlFXcHFha1FRdUNPTys0b3NiMzl2TEphclI3YlBYejQwb3kzOW5OTlNva2RPM1pnNWNxVmp1RTMwZEhSZU9XVlYxdyt6TE1QYlhjK2o4UER3ekZyMWl6RXg4ZmovZmZmUjBaR0JoWXZYb3dsUzVaQXI5ZWpUNTgrNk4rL1B5SWpJeEVmSCs5b28zUXl4WDdPbkQ5L0hubDVlUWdMQy9QcWQxVlVWT1FZMnVmcmJGcFVNekNaUWxTSFpHWm00c2tubjhUSmt5Y3hlUEJnSmxLSWFyaFBQLzBVaFlXWEprMlpQWHUyeTIxZWYvMTEzSG5ublc3YnlNL1BkN3RPVVJUMmRxRmFLeWNuQjd0M1grcEE0Rnd2SlRFeEVjOCsreXh5Y25MUXJsMDdqQjgvM21NN09wME9PVGs1Mkw5L1AxcTFhbFdpWGVjZUhQWWhCTTVEZkw3NzdqdkV4OGREQ0lFUkkwYWdYYnQyZVAzMTEvSFNTeS9obDE5K3dZNGRPeEFkSFEzWWJzelMwdElnaElDcXFyQmFyU2dxS2tKUlVSRUtDZ3Bnc1Zod3l5MjNJQ1VsQlNkT1hLb0Y3T29KdTcwNDZPclZxOUdrU1JPMGE5Zk9ZdzlWcTlXS1E0Y080YU9QUGdJODlEeWd1c0hlNjZsUm8wYU8zbHoyQ1JGdXV1bW1NclgvN1BWL2twT1RvYXFxeTVwL1Zxc1ZxMWF0QWdCSHNlU1BQLzRZSDN6d0FXQkxab3dhTlFyRGhnMkRvaWdvTEN4RVptWW1ycmppQ29TRWhPRGN1WFBZc0dFRDRHWm1xMXR1dVFVMzNYUVRObTdjaUMrLy9CS0hEaDJDeVdTQ3hXTEIwS0ZEQWFjRVpMTm16Y3IwSW1uU3BBbkN3OE9SbTV1TDU1OS9Ia09HREVGNGVMakgzOVBGaXhleGF0VXEvUDMzM3dnTEMvTTRIVFBWWEV5bUVGV3hxVk9uT3I1UU9iUGYwR3phdEFrLy92aWoyLzN0bVgxVlZYSHJyYmVXV2QrL2YzK1hYL3d5TWpMdzlOTlA0OVNwVXdDQTlQUjBQUGJZWXo3SEh4VVZoUWtUSnZpOEh4SDVWMlptSmxhdVhJbVFrQkFNSFRyVTdjMVFlZDN4U3o5RmRHWTBHckZvMFNLc1hidlc4YVhXbVgxS3l1UEhqN3Y4UEhLV2s1TURBQmczYmx5WmVnelhYbnN0bGkxYjVuRi9Jbi9idW5VcmlvdUxJWVJBang0OVlMRllzR2pSSW56ODhjZU80VGh6NTg0dHQzQmxtelp0a0ptWmlXblRwamw2czhCV0NGT3Yxd08ycCs3MjRiWDJuaWxKU1VsNDVaVlhBQUFEQmd4QXUzYnRBTnZzS0czYXRNSHMyYk94YytkT1IrSEtZOGVPZVp6dDc0WWJic0F0dDl6aUdHNGhoSEE1Rk9MKysrL0g1NTkvanJObnp6b0tVWHVyZWZQbWpwdFBxbnRVVmNYR2pSc0JXd0pTQ0lFMWE5WTQva1lmZi96eE12c1lEQVpvTkJyczJiTUgvZnYzZHpuRitPblRwNUdabVFtdFZ1c1lVamRpeEFqODl0dHZpSW1Kd1lnUkkwck1jbFZZV0lqNzdydlBaWXp1Nmh2WjJ4NDRjQ0RTMHRMdzlkZGY0NEVISGtCd2NEQ3lzckljUGE5Y0ZaNFZRdUN4eHg3RDNMbHpzWDM3ZHBmZjR6MTU4c2tudmU3TlFqVUxreWxFVlN3M045ZlIvZGNWKzFNbWI3aHFKeTh2cjh5eTc3Ly9IdE9uVDNmY3pNQTIvcFNJYXE0NWMrYWdvS0FBVHozMWxHUG9Ya1ZFUlVXNW5SMnNWYXRXZ08yTHE2ZlBMVlZWUGE1MzV2dzVaSGZod2dXdjR5WHlseU5IamtBSWdTNWR1dUNLSzY2QXhXTEJIMy84QWF2VmlpNWR1bUQyN05rdWIveEtHenQyTEtaTW1ZS2pSNDlDU2dsRlVkQ3FWU3M4Ly96emp1RXcrL2J0QTJ6RGZ1eTFHcTY0NGdwWXJWWmNlKzIxK005Ly9sT2l6ZGF0VytQOTk5L0gwYU5IOGROUFAySHYzcjA0ZmZvMGNuTnpvYW9xaEJCUUZBV0tva0NqMFVCUkZNZE42RFhYWElQSXlFaGNlKzIxTHAvUzE2dFhEeXRYcnNUbm4zK090TFEwcjg2Lyt2WHJvMlBIamhnNmRLaGZaaHFpbWlrckt3c1JFUkU0ZmZxMEkxRm5IeHJ6ejMvKzArVlFsaFl0V3VEVlYxL0Z3b1VMY2VMRUNVZFMwWmxPcDBQWHJsMHhac3dZUjg4cHJWYUxoUXNYdW95amZ2MzZhTmV1SGRMUzBoemJObS9lSENOR2pFRDM3dDNMZlIvdDJyWER1SEhqSEsvejh2TFFyVnMzN042OTIyMjlsSWNlZWdndFc3YkVqei8raUpNblQ1WTdiRW1qMGFCWnMyYm8xNjhmZXZic1dXNU1WRE14bVVKVXhTWlBudXl5NThqaXhZdXhhZE1tM0hubm5SZ3pab3piL1k4ZVBZcng0OGREVVJUSExBUE9uRFAzNTgrZng3eDU4L0RWVjE4QnRnOTJxOVdLanovK0dHM2J0dlVwN29NSEQrTFJSeC8xYVI4aXFoeEpTVW40OXR0dmNkMTExMkhFaUJHWDFkYml4WXZMZldKMjMzMzN1WHpDdld2WExzeWNPUlBYWEhPTnk1NHJ6dUxpNHBDWGw0YzMzbmlqekJmdW9LQ2dDa1pQVkhIanhvM0RzR0hEOE5kZmZ3RzJHN0xwMDZmait1dXY5Mm5LOEtpb0tIejU1WmNldCtuZnZ6K01SaU15TWpJY3krd0psKzdkdTdzOUIxdTNidTI0dWZUVzhPSERNWGp3WU1jc0lxNUVSa2JpcWFlZThxbGRva2FOR21IbHlwWFl0V3NYWW1KaUFOdmZXNzE2OWRDM2IxKzMrOTExMTEyNDY2NjcvQnJMeXBVckFWdVBiVVZSTG12NjcrYk5tK1BERHo5RWVucTY0eUdDSzcxNzkvYmJsTWxVT3pDWlFsVEYzRDNsc2lkQjZ0V3I1NWhtemhYbm5pZWV0dHUrZlRzbVQ1Nk1uSndjNkhRNlRKdzRFVjkvL1RVU0V4TVJFaExpYzNmRDBnWHNpQ2h3MnJkdmowYU5HaUV5TWhLREJnMXl1VTFNVEF4ZWZmVlZ2eHl2WHIxNkpSSzFkdW5wNllBdEdlTHA4d2kyK2lzQTBMaHg0M0szSmFvcWpSczNMakd6amthandmMzMzMThweDdybW1tdHd6VFhYbEZnMllNQ0FTamxXU0VpSXowa1lJbS9acC91MnE2eS9ZMis0bXNhN29ueDkwRWprdWw4dkVRWE01V1RXblhYczJCRkJRVUhvMEtFRHZ2amlpNEJlNklqSXYwSkRRL0hCQng4Z0tpb0ttWm1aT0hYcUZFNmNPSUV6Wjg0Z016TVRtWm1aSERwRFJFUkVWSW5ZTTRXb21yRFBYZSt2WkVyRGhnMnhZTUVDdEd6WnNrd1grcmx6NTdwOHl1ekp4WXNYL1JJWEVmbEgyN1p0TVdIQ0JFeVlNQUV6WnN6QXVuWHI4TkpMTDZGZnYzNVZGb08vUDdlSWlJaUlhZ29tVTRpcUdYL2VsTGpycm1pZnNwR0l5QitZVENFaUlxSzZoc2tVb21yQy9vVFgzYXdhL2pSdjNyd3kwNlZ1M3J3WjgrZlB4MDAzM1lUbm5udXV6RDdwNmVrdUMrY1NVZlYyN3R3NXJGKy92c1F5VlZVZFAzL3l5U2N1QzhBKytPQ0RDQThQOTlpMi9YUExuMlBXaVlpSWlHb0NKbE9JcWxCK2ZyN2JPZ2E1dWJtQWJRclNNMmZPdUcwakt5dkw4Yk83N1NJaUlsd1dtRjIwYUpIYmR1MVRIWjQ2ZFFwTm1qUXBNNHZCMVZkZmpZU0VCTUIyQThVbjBVU0JjK3JVS2N5WU1jUHgrc2lSSXdDQTVjdVg0NXR2dm5Fc2o0Mk5SYTlldmZEaGh4KzZiV3Z4NHNVdWwvZnYzeC9oNGVHd1dDdzRkKzZjeTIzT256OFAySkl6bmo2MzRKUjR5YzdPZHJsdFNFZ0lJaU1qUGJaQlJFUkVWRjB3bVVKVWhUWnUzSWkzM25yTDR6YnIxNjh2OHhUWkZWVlYzZFpHZVBiWlp4RVhGMWVoR05QVDA3RnMyVEtYMHlCYnJWWjgvdm5uK082Nzc3QjQ4V0xvZExvS0hZT0lMazl1Ymk1Mjd0eFpabmxhV2hyUzB0SWNyeU1pSXRDclZ5OEFRTE5temZEaWl5K1cyL2JreVpOTDFFakt5TWpBMEtGRFBlNXorUEJocjJ1MVRKZ3d3ZVh5UG4zNllNNmNPVjYxUVVSRVJCUm9US1lRVmFHZ29DQzNDWWpDd2tKSUtSRVVGT1N4eTd5VUVvV0ZoUURndGkxN3I1SU5HemJnODg4Lzl4alRtREZqY091dHQ1Wll0bWpSSXZUczJST2RPM2QyTEV0TFM4TnJyNzJHdlh2M0FnQysrT0lMakJ3NTBtUGJSRlE1V3JWcWhXKy8vZGJ4K3QxMzM4WFhYMytOU1pNbWxUaWZkVG9kL3Z6elR3QkFXRmlZSTdIaVNla2hQeHFOeHUxbmpjVmlnY1ZpZ1VhamNUbFV5RmxCUVFGZzY0SGlxbWNicDE4bklpS2ltb1RKRktJcU5IRGdRQXdjT05EbHVudnV1UWVuVDUvR2pCa3pjTnR0dDdsdDQrREJnNGlMaTRPaUtOaStmYnZINCtYazVPRGt5Wk11MTlsdmJFb1BPN3J1dXV0dzRzUUpqQnMzRHA5ODhnbkN3c0t3WU1FQ3JGMjdGcXFxb21YTGxoZ3paZ3h1di8xMkw5NHhFVlVHclZhTFJvMGFPVjdiRXhIMTZ0VXJzZHdmV3JkdTdmYXo1dVdYWDhhbVRac3dhTkFnVEpvMHlXTTdmZnIwUVU1T0RqNzQ0QU1ZREFhL3hraEVSRVJVMVpoTUlhb0dzck96Y2ZyMGFRQkFtelp0L05idThPSERNWHo0OERMTHYvNzZhN3owMGt0bzFLZ1IrdlRwVTJKZDI3WnQ4Y2dqajJEcTFLa1lQWG8wTGw2OGlJc1hMNkpaczJaNC9QSEhjZSs5OTdMWUpCRUJBUGJ2M3c5NG1EbU1pSWlJcUxaaU1vV29Hb2lQandjQVJFWkdvbVhMbHBWNnJLMWJ0K0tWVjE2Qm9paDQvZlhYMGFCQmd6TGI5T3ZYRDhlT0hYTVVwcnpqamp2d3lpdXZJRGc0dUZKakk2S2E0L2p4NHpoOCtEQUFRSy9YQnpvY0lpSWlvaXBWK1hPd0VwRkhGb3NGcTFhdEFnRGNmdnZ0bFRaTGpwUVNIMzMwRVNaT25BZ0FlT1dWVnhBYkcrdDIrekZqeG1EaXhJa1FRdUM3Nzc3RDIyKy9qZXpzN0VxSmpZajhMeVVscFZMYi8reXp6d0JiL1JaLzlxZ2pJaUlpcWdtWVRDRUtzSG56NWlFdExRMUJRVUV1aCtUNFEzcDZPaDU3N0RFc1hMZ1FRVUZCZU91dHQ3eWFlZU9CQng3QW5EbHpFQkVSZ2JWcjE2Si8vLzc0NElNUGtKbVpXU2x4RXRIbE8zMzZOQ1pQbm95SEgzNFllWGw1bFhLTStQaDRyRm16QmdBd2F0U29TamtHRVJFUlVYWEdZVDVFQVZKY1hJelpzMmZqeXkrL0JBQTgrZVNUYU5HaWhWK1BjZkxrU1N4ZnZoenIxcTJEMVdwRjY5YXQ4ZnJycjZOOSsvWmx0bFZWMVdVYnZYdjN4cnAxNnpCNzlteHMyYklGUzVjdXhmTGx5M0h6elRmajdydnZ4ZzAzM0ZEdUxCNUVWTG5PbmowTEFGaTNiaDFlZSswMUZCVVZRYXZWSWpjMzE3R044MHhnbDJQanhvMllNV01HQU9ER0cyLzBla3BrSWlJaW90cUV5UlNpQU5pL2Z6OWVlKzAxSER4NEVBRHcwRU1QWWNTSUVYNDl4dHk1Yy9INTU1OURWVlVvaW1BNmZGa0FBQ0FBU1VSQlZJS2hRNGZpbVdlZWdVNm5nNnFxeU0zTlJXaG9LTFJhTFlxTGk3Rmp4dzRBUUhoNGVKbTJHalpzaUJrelpxQi8vLzVZdUhBaGtwT1Q4Y01QUDhCa01tSDU4dVZvMXF5WlgyTW5JdThkUDM0Y2UvYnNBUUNZVENab3RWb01IRGdRSTBlT1JPUEdqWkdWbFFVQU9IcjBxRmRUSTd1VG1abUoyYk5uNDd2dnZnTUFHSTFHdlBubW0zNTZGMFJFUkVRMUM1TXBSRlZzd1lJRldMUm9FUUFnS0NnSXp6MzNuTnZwa2kvSHpUZmZqTTgrK3d3MzNYUVRubm5tR1Z4MzNYV09kUmFMQmJmZmZqc3NGZ3VDZzRPaHFpb3NGZ3NBSURvNjJtMmJQWHIwUUk4ZVBaQ2NuSXpseTVkajZOQ2hUS1FRQlpnUUF1SGg0YkJZTEJnNGNDQWVmdmhoTkczYXRNeDJ3Y0hCWHRVMk9YVG9FS3hXYTRsbDI3WnR3d3N2dklEOC9Id0F3S0JCZ3pCeDRrVDJTaU1pSXFJNmk4a1VvaXAyOTkxM1k5V3FWYmp1dXVzd2VmTGtTaXZjcU5mcnNXN2RPbHg3N2JWbDFnVUhCNk5WcTFaSVQwOUhVVkVSWU90OWN0ZGRkK0dlZSs0cHQrM282R2k4L2ZiYmxSSTNFZm1tZWZQbStPQ0REd0FBN2RxMTg3aWR2V2lzSjMzNzluWDBackg3eHovK2dkYXRXeU1yS3d1VEprMUM3OTY5L1JBNUVSRVJVYzNGWkFwUkZXdlpzaVZXckZpQnBrMmJWbWptbnFpb0tDUWtKSGkxcmF0RWlwMTlCaUVpcXZrOEpWRjgrY3dBZ08rLy83N01NcDFPaC9mZWV3ODZuUTQ2bmE1Q01mNzg4ODhWMm8rSWlJaW9PbUl5aFNnQU9EU0dpR3FheU1qSVFJZEFSRVJFVkcxd2FtUWlJaUlpSWlJaUloOHdtVUpFUkVSRVJFUkU1QU1tVTRpSWlJaUlpSWlJZk1Ca0NoRVJFUkVSRVJHUkQ1aE1JU0lpSWlJaUlpTHlBWk1wUkVSRVJFUkVSRVErNE5USVZHTklWY1grZzJrSUNRa0pkQ2hVaSt6YmZ4QldpelhRWVZBQVdTMVc3TnQvTU5CaFVBMnpiLzlCRkJjWEJ6cU1HbzNuSGxWRVhUejMrQjJZL0lYZmUvMkx5UlNxTVlvdEZpeFl2QlRCUWNHQkRvVnFrZUxpWXVRWEZBUTZEQXFnL0lJQ3ZQZmhSd2dLQ2dwMEtGU0RGQmNYNDhMRmk0RU9vMGJqdVVjVlVSZlBQWDRISm4vaDkxNy9ZaktGcWoxVnlMODBrSDlLaU1pL0w5U3RpeWRWcVZORlVqMFY2Q0NvNmhSSjlWU3dFS2RVS1hYWkZ5NEVPcHhxUjZvU3d2NHpBS0dJY3Zhb25pcjlmVWg1cGtoS2ZuYjRnT2NlK1VVZE9QZjRIWmdxRWIvMytrSE4vR1pFZFkzU09pcTZuUlRLVllFT2hHb3ZhYldjT1phV2VoQ0FHdWhZcU1vbzE3YnQzRUhSQmpVSmRDRFZVWWhXYlJPaVZVWW9RZ1RsRjF1WEZGcVV3NEdPcVNLQ05XcGJYWkR5a0NKRVVGNlJkV21SVlVuM1ovdFdvV1llMzUrOGo1OGRQdUc1UjVldGpweDcvQTVNbFlMZmUvMkR5UlFpSWlJcXcyQXc5QkZDckpSUzZnQU1NSmxNUHdjNnBvclE2L1UzSzRxeVFrcXBrMUxlYnphYmZ3cDBURVJFUkZUemNUWWZJaUlpSWlJaUlpSWZNSmxDUkVSRVJFUkVST1FESmxPSWlJaUlpSWlJaUh6QVpBb1JFUkVSRVJFUmtRK1lUQ0VpSWlJaUlpSWk4Z0dUS1VSRVJFUkVSRVJFUG1BeWhZaUlpSWlJaUlqSUIweW1FQkVSRVJFUkVSSDVnTWtVSWlJaUlpSWlJaUlmYUFNZEFCRVJFVkZsVVZVMUhjQkxRZ2l0N1djaUlpS2l5OFprQ2hFUkVkVmF5Y25KSndBc0NuUWNSRVJFVkx0d21BOFJFUkVSRVJFUmtRK1lUQ0VpSWlJaUlpSWk4Z0dIK1JBUkVWR3RwZGZySXdGMGtsSXFRb2hVczltY0hlaVlpSWlJcU9aanp4UWlJaUtxelRvcGl2S2hScU5aREtCVG9JTWhJaUtpMm9FOVU0aUlpS2cyQ3diUVJFcXBzLzFNUkVSRWRObllNNFdJaUlpSWlJaUl5QWRNcGhBUkVSRVJFUkVSK1lESkZDSWlJaUlpSWlJaUh6Q1pRa1JFUkVSRVJFVGtBeVpUaUlpSWlJaUlpSWg4d0dRS0VSRVJFUkVSRVpFUG1Fd2hJaUlpSWlJaUl2SUJreWxFUkVSRVJFUkVSRDdRQmpvQUlpSWlvc29pcGJRQStCdEFvZTFuTkcvZVBMUlJvMFlqRlVWcDYwMGJ4Y1hGRzFKU1VuNjJ2KzdjdVhQYjRPRGdFVUtJQ0MrT24xOVVWTFIwNzk2OTZmWmxlcjIrbDZJb2c3MDV0cXFxNmZuNStjc1BIang0MFduL0FZcWk5UEZ5L3gxbXMvbEwrMnUrOThDOWR5SWlxbDJZVENFaUlxSmFTd2lScXFycVNDbWxJb1JJQllCR2pScUZDQ0grRDhETjNyU2gwV2lPQVhEY1ZBY0ZCVFVYUWp3R29Ka1h1MmNIQlFWOUI4QnhVeTJFaUFZd3pzdjRmOUpvTkdzQk9CSUt0bVNDdC92ckFEZ1NDbnp2Z1h2dlJFUlV1ekNaUWtSRVJMV1cyV3pPQnJERGVWbG1abVpoa3laTk5rb3BEM2pUaHFxcXljNnZwWlFuVlZWZExvU29YOTYrVXNwOEtlVko1MlZXcTNXdlJxTlo0TTJ4aFJDSGlvcUs4a3JGczhPV0tDaVhsSEtiODJ1Kzk4QzlkeUlpcWwxRW9BTWdJaUtpNnNkZ01QUVJRcXlVVXVvQUREQ1pURDk3c1JzUi9ZKzJiZHUyWWFxcWlpTkhqdVFDc0FRNklDSWk4aDhXb0NVaUlpSWk4ak85WHQ4bElpTGk0OGpJeU0vMGVuMlhRTWREUkVUK3hXRStSRVJFUkVUK0Z5bUU2R1hyM1JVWjZHQ0lpTWkvMkRPRmlJaUlpSWlJaU1nSFRLWVFFUkVSRVJFUkVmbUF5UlFpSWlJaUlpSWlJaCt3WmdvUkVWRWRGeHNiRzZhcWFtUG5aVUtJWmxKS2pSQkNBZERNWURDMGRGNXZ0Vm96azVPVGM2czhXS0pxeU0wNTFOUitEZ2tobXZJY0lpS3FYWmhNSVNJaXF1TXNGa3VVUnFOSkxMMWNDR0gvY2FYVHp3QUFSVkd1QjdDbmlrSWtxdFo0RGhFUjFUMGM1a05FUkZUSEpTVWxKVXNwVTd6ZFhrcTUzMncybDdseEpLcXJlQTRSRWRVOVRLWVFFUkdSVlVyNUdTN2Q1RUZLV1dZRDUrVlN5dFVBckZVZkpsRzF4WE9JaUtpT1lUS0ZpSWlJb0tycWZ3RmM4R0xUQ3hhTFpWTVZoRVJVby9BY0lpS3FXNWhNSVNJaUlpaUtjZ1pBVXVtNkRzNXM2NUtzVnV1ZlZSa2JVVTNBYzRpSXFHNWhNb1dJaUloZ05wc3ZBdGdscFZSaEc1Smc1elEwUVFMWXRYLy8vc3pBUlVwVVBmRWNJaUtxVzVoTUlTSWlJdGhxUHZ3RzRHOFAyK1RadGltdXdyaUlhZ3FlUTBSRWRRaVRLVVJFUkFRQXNGcXR2d0U0YTM5ZHVwQ21FT0pDY1hIeDdrREZSMVRkOFJ3aUlxbzdtRXdoSWlJaUFFQnljdklKQUltdWFqN1lsaVdtcHFZZUQwUnNSRFVCenlFaW9ycUR5UlFpSWlKeXNGZ3N5OTJ0VTFWMWNkVkdRMVR6OEJ3aUlxb2JtRXdoSWlJaWgvejgvSzFTeWpPbGwwc3B6MlpuWjI4SlRGUkVOUWZQSVNLaXVvSEpGQ0lpSW5KSVQwOHZGRUtzc0E5VEVFSkFDQUVwNWZxTWpJeUNRTWRIVk4zeEhDSWlxaHVZVENFaUlxSVNyRmJyQ2lsbGtmMjE3ZWMxZ1kyS3FPYmdPVVJFVlBzeG1VSkVSRVFsNU9mbkh3R3czK25KK2dHTlJuTXcwSEVSMVJROGg0aUlhajhtVTRpSWlLZ0VWVlV2QXRnai8yZFBjWEh4dVVESFJWUlQ4QndpSXFyOW1Fd2hJaUtpRXRMVDB3dWxsTDhCeUFOUUpLWDhMVGs1T1RmUWNSSFZGRHlIaUlocVAyMmdBeUFpSXFMcVJ3aXhBOEJaQU9HcXF1NE1kRHhFTlEzUElTSWlJaUlpb3JwSEdBeUdId3dHd3g3MlpDV3FFSjVEUkVTMUdIdW1FQkZSblhWMW15NHRnb08wYlFJZFIzVlZVQ3dUSldSSXF3NzYzb0dPcGJvcUxDdzhldXJvL21PQmpvT3FKUWxnaFJBaUZJQWE2R0NJaU1pL1JLQURJQ0lpQ29SV3JmU3RvSk1mUTZCRG9HT3B4dXpmRTJTQTQ2ak8va0MrR0pxUlljNElkQ0JVL1hUbzBPRktBRGh3NEFDTHp4SVIxVExzbVVKRVJIV1REcTBnMEVGQU5Bc0xEWVZHcXdsMFJGU0RXQzFXNUJjVVFKVlNCeDFhQVdBeWhjcGdFb1dJcVBaaU1vV0lpT3Ewc05CUS9PZVpwOUNwWTFTZ1E2RWFaTi8rZzNqdnc0K1FmZUZDb0VNaElpS2lBR0F5aFlpSTZqU05Wb05PSGFQUTQvcHVnUTZGYXBpZ29LQkFoMEJFUkVRQndzcmlSRVJFUkVSRVJFUStZREtGaUlpSWlJaUlpTWdIVEtZUUVSRVJFUkVSRWZtQXlSUWlJaUlpSWlJaUloOHdtVUpFUkVSRVJFUkU1QU1tVTRpSWlJaUlpSWlJZk1Ca0NoRVJFUkVSRVJHUkQ1aE1JU0lpSWlJaUlpTHlBWk1wUkVSRVJFUkVSRVErWURLRmlJaUlpSWlJaU1nSFRLWVFFUkVSRVJFUkVmbUF5UlFpSWlJaUlpSWlJaDh3bVVKRVJFUkVSRVJFNUFNbVU0aUlpSWlJaUlpSWZLQU5kQUJFUkVSRVJGVWhOamIyQ292RjBsVUlVV2cybS9jRU9wNmFxa3VYTGsxRFFrTHFKU1FrSEE1MExFUkVnY0prQ2hFUkVSRUZoTUZnNkFSZ2hMZmJDeUZPSkNZbXZsL1I0MW10Vm9OR280bVhVdjRKb0hsRjI2a3FuVHAxcWxkWmJlL2J0eStuSXZzWkRJWStBRGFwcW5xeWJkdTIvMGhQVDcvZy8raUlpS28vSmxPSWlJaUlLQ0NrbE8wVlJabmt3eTRKQUNxY1RLbGh0RHFkN21KbE5kNnBVNmVJaWlSVUxsNjh1S3QrL2ZvWkFMclVyMTkvUG9EaGxSTWhFVkgxeG1RS0VSRVJFZm1Wd1dCb0RPQU5WK3RNSnRPanBaZEpLZDhvTEN4ODNWT2JyaElMblRwMUNnNEpDZG5xYlZ4Q2lDdHNQelkyR0F5LytyRGZpc1RFeEErODNkN2ZwSlRIL05oY0N5R0V5N3FKc2JHeEhZcUxpOHU5UDFCVjlRMGh4R2NBQmhpTnhsc3RGc3RmNWUwVEZCUjBQQ0VoNGUrS0JrMUVWTjB3bVVKRVJFUkVmbVZMV294eXM3cE1Na1VJVVZSZUx3bWowVmhtV1Y1ZW5xTFQ2VzZvUUh6QkFMemVUMHE1eTlkaitKSFZaREsxOHJTQjBXaWNDQ0RHYXJXK21wU1VkS2ljYlRNQlhPbHFuWlR5VjYxVzYzS2RHK0VBZnRScXk3K2xVRlgxUVFBcmZXaWJpS2hhWXpLRmlJaUlpQ3FGbEhKdFlXSGgwd0FRRWhLeVJRZ1I0OC8yTXpJeUNzTEN3aUs4M1Q0a0pPUW1JY1EzVXNxVGhZV0ZVVDRjcXFoaUVWYVoyd0RjQ1dBQkFJL0pGRzlJS1ZjQ0tQUlBhSmRZcmRhai9teVBpQ2pRbUV3aElpSWlva29oaENqWXQyL2ZhVnpxRVdIeHNPbGtnOEV3b1NMSDhLWHVoMTZ2enhkQ0FJQ3NhQUhXdWtCUmxIOG5KQ1JrQWhDeHNiSGFoSVNFWXZ1Nm1KaVl6aHFONWc1VlZYZWJ6ZWJ0enZzWmpjWnhBTklURXhNM0JTUndJcUlxeEdRS0VSRVJFUVdVbEhJZkFITTVtLzNMMDhybXpadUgxcTlmWCtOcEd5RkVxUDFIYjJiSzJiZHZYd0VBVDBtZ0t0T3BVNmRtT3AzT1hjeGhBS0RSYUs0eEdvMXRYVzF3NGNLRjQrbnA2VDcxTm9tSmlla3JwZHhnTUJnK041bE1qK0ZTb3FVL2dEY1VSZmtBZ0NPWllqQVlZcVNVTTRVUUlVYWpjYXZGWWhtYm5KeWM2dHU3SkNLcU9aaE1JU0lpSXFKQU1Vc3B4d0Q0M1dReS9lNXBRNFBCc0VzSTRiYlFhZVBHalhkNk80eElDSEcxTnpQbEdBeUdNU2FUYVlFM2JWYTJrSkNRQlFEK1djNW1ibXVTMUs5ZnZ5Y0FuMnEvS0lyeU5JQlFLZVZ1K3pJaGhCR1hFbUFtNTIxTkpsTlNURXhNdEtJb0M0VVF0MnExV3BOZXIzL1NiRFl2OHVXWVJFUTFCWk1wUkVSRVJGU2xvcU9qd3pVYXpXeW5SWHFEd2ZBb0x0MnMvNXFZbVBoWmh3NGRyZ3dORFozaHZKK1VFZ2FENFE0cDVSYXoyYnloVkxQSkFBcjhHYWNRNG93LzI3dE0yenk4dno0QW1ra3BmeFJDWkxyWnh0MXlsNktqbzFzRHVFZEtlYXlvcU9nVCszSXBwVUVJQVZWVkUwdnZZeXQrZTZ2UmFId2N3RkNOUnJQYWwyTVNFZFVrVEtZUUVSRlZNM3YzN3NYKy9mc1JGUldGcmwyN0JqcWN5MVpRVUlBZmZ2Z0JOOTk4TStyVkszZGtCUUFnSlNVRisvYnRRMVJVRlBSNmZhWEhTRlVyS0Nnb1ZFbzVXa29waFJDcTB5cU5sRklMNERPZFRoY2hoSEM1RFlCc0FDV1NLU2FUYVVUVnZZT3FaektaWnJ0Ylp6UWF0d0JvcHFycXRLU2tKSytuZlBaRXE5VStDa0NSVWdhRmhJUjhaekFZN0t2YTRGS3ZsZmNNQm9QTElWQlNTdnUvLzdYdmQvYnMyYnRQbkRpUjc0L1lpSWlxQXlaVGlJaUlxcG1mZnZvSlM1Y3V4ZkRodzJ0Rk11V1hYMzdCeXkrL2pCWXRXbUREaHRLZENkenZZLzhkTUpsU3F5MU5URXg4RkFCaVkyTWJTU25QbHQ1QUNQRnVZbUxpT05zMkhhU1UrOTAxRmgwZEhXNnhXSVNmWWl2YXQyOWZkWi9GcDlKSUthOFJRa0FJY1RXQXEwdXZGMEw0TkNWMWVmVnNpSWhxR2laVGlJaUlhcGhiYjcwVlZxdTEzTzMwZWozbXpadm5lUDNubjM4aUt5dXJrcU1EdW5UcEF0dU1LUUNBYjc3NUJnQXdjT0RBU2o4MjFXMGFqZWFjVnFzTjhVZGJVc3JaQUNvMHcxQmxNaGdNM1FBOFdtcHhKMXpxTFRMQllEQU1kMXArM21ReXZlRHJNWEp6YzZYRlloa2RIQno4dFBOeW5VNzNIb0NIcFpSVEN3c0w1L3JTSm1kUElxTGFoc2tVSWlLaUd1YktLNi8wbUV3cEtDakFtVE5ua0plWFYyTDVzbVhMc0c3ZHVrcVBiOGVPSFFnSnVYUS9lL3IwYVd6ZnZoMDZuUTREQmd5bzlHTlR6U0tFK0lmQllKZ0pBS3FxaGpvbjRleWtsRGZZdDVGU052U21YU25sVDBLSU1qUFhTQ2tiQ2lIK0FlQWlnQjF1ZG04SDREcWYzMHpWYVN1RUdPMXFoUkNpUklGYUtlV2ZBSHhKcG9RQ1FIaDRlSDVDUWtJaEFNZnZNRFkyTmtoSzJkOTJuTFZNamhCUlhjZGtDaEVSVVlEZGM4ODlKVjduNUZ5NlIxbS9majErK09FSHgvTGc0R0NzWDc4ZVgzNzVwY2YyZnYvOWQ0d2VYZlplS3lRa0JEcWRydHg0cEpRb0xDeDA3T1BxQnRjVDUrMVhyVm9GVlZYUnZuMTc3TjY5dTh5MjRlSGg2Tm16cDAvdFU2MFNMWVNJOXJTQkVLSWJnRzYrTkdxMVdoOUtUazQrVVhxNVhxKy9XUWdSTDZVOFlqS1o3bksxcjE2dm42NG95b3UrSEM5QWxnR1k0V0Y5bW8vdEtRRENwSlJxWW1KaVh1bVZVc283QVZ3SndDS2xmTmFwaG9wYlFvanRpWW1KSC9zWUJ4RlJqY0JrQ2hFUlVZQ2RQbjNhNWZMYzNGems1dVk2WGdjRkJWM1djU1pNbUlBSkU4b2Z0WER3NEVIRXhjVUJBQll1WEZqaHVpM1oyZGxZczJZTkFDQTVPUm5KeWNsbHRtblpzcVhIM2pJV2k2Vk1EeHRuSVNFaDBHaFlpcUdta2xKK1VsaFkrRFF1L1gxZm9TaksxMEtJQXFQUk9GeEtXU0NsVEJKQ3JDNG9LSGdYbDRxaXR0ZHF0UW1CanJ1YStEc3hNVEhkM1VxajBlaFRZMjNidHEySFN3a1FkMU5HMjRjUGFZVVFvN3hzVmdPQXlSUWlxcFdZVENFaUlncXdiZHUybFhpOWFORWlMRisrSEE4ODhBQ2VldW9weDNKZmU0Z0UycElsUzVDWGw0ZnJyNzhlSFR0MmRMbE53NGFlUjIyc1hMa1NLMWV1ZEx0KzRjS0Y2TmJOcDA0TFZBMGtKQ1JrZHVyVUthS29xS2c0UFQzZFBwUWtCNEErSmlibVJvMUdzMDBJOFhsaVltTHA2c09tVHAwNlJRQndXUmhXQ01ITVdnVmRjY1VWa2JaWmVDNlVYbWMwR3RzQytEOEFGZ0JGVXNwc1JWRnVzMXF0WmFacUZrS0VBZmhlQ0hHMXFxcmVWWndtSXFxQm1Fd2hJaUlLc0xDd3NCS3Z0VnF0NDkvUzYycUt3NGNQWS9YcTFXallzQ0hlZXVzdFJFUkVWS2lkaGcwYm9tblRwbTdYaDRlSFgwYVVGQ2hHby9GZUFKRTZuYTVNRHdvcFpYdmJ2NjJOUnVOd2QyMUVSMGViazVPVFUrMnZZMk5qcjdCTnF3eU5Sdk9wMFdoMFdUTUZsMjc0cjdOTkoreEt1OHQ0YXpXVzFXcU5VaFFGVXNvL1NxK1RVcjRraE5CSUtUOEJjRm9JTVVsS09jcHNOazhzdmEzQllGZ3NoTGhhU3ZtTjJXeitiNVc5QVNLaUtzWmtDaEVSRVhra3BmUzVWOHpzMmJOaHNWanc3TFBQVmppUkFnRDkrdlhEK1BIaks3dy9CVnk0WHE5dlpmczUyTDVRU2psVENOSFoxUTcydnpVaFJDOEF2ZHcxck5Gb3BnSndKRk9rbEkyZDJyalpVOXNBSWdEYzZmdmJxVDZrbFBmWmVvejRTeWZidnlYRzQwVkhSMGNKSWVLa2xLcWlLRE1CbkZKVmRSaUEveGlOeHMySmlZbGI3ZHNhRElZUlFvaFJVc296eGNYRkkvMFlHeEZSdGNOa0NoRVJVUTJ6ZXZWcXpKbzF5KzE2VzFkOXY4ak96c2Jnd1lNeGNPQkFEQmt5eE5GcnBqeTlldlZDVmxZV1B2endRM3o0NFljdXQ1azVjNmJiNFQ5VWF3eFFGS1hNTkU1U3lnMEFmaSsxdUtFUW9yK0xiVGNEK0t2MGNpRkVVcWxGSFczYkp4VVdGdDVZMFlDRGc0T25Lb3J5WEVYM3J5cENpTllBV3Z1eHZTNjJIMU9jRmlzYWpXYUpyZmJKcHdrSkNRZHdLV255aUJCaUM0Q3ZEQWJEZlNhVDZVZWowVGhhU2prZlFMNlVjbEJxYXVvWmY4VkdSRlFkTVpsQ1JFUVVRUGZjY3creXM3TkxMTE5ZTElDdFhvaTlnS3ZkcUZHakVCNGVEbFZWb1NpS3krS3JVa3BIRzVmcm5YZmV3YkZqeHpCNzlteXNYNzhla3laTjhxcEd5WkFoUTlDbFN4ZEh6WmVDZ2t1bEZaeG5FeW91THZaTGpGU3RIWkZTYml1OTBHdzJUM0YrcmRmcit3b2hsdGxxY3F3RU1GeEt1UWRBR3dBZFZGV2RtSlNVdE5mVGdhU1UvV3c5VDNaZHpyUzlScU14WGtxcEVVTDg1R3A5ZEhSMGQwVlJvczFtODZLS0h1TXlGVXNwYzZXVUh4VVZGYjNrYnFPUWtKRFRBSExkclM5RkFMZ2JsNGI3Sk5vWEdvM0c1d0hjSUtYTXRscXRqdXJWSnBQcEI2UFJPQTdBZTBLSVRVYWpjUVdBUjRRUUJhcXFEamFiemRzdjh6MFNFVlY3VEtZUUVSRUZrTlZxaGRWcUxiRk1DQUVoaENNaDRqekVSbFZWeDg4REJnekFpeStXbmNFMUpTVUZVNlpNUVpNbVRTNDd2dkhqeDJQcjFxM1l1SEVqamh3NWd0R2pSK1B1dSsvR3VISGowS2hSSTdmN0JRY0hRNi9YWS92Mjdjak16TVNkZDk2SjVzMmI0Ny8vWlFtRk9tYW55V1I2Mk4zS3JsMjdYcWZWYXQ4VVF2eWZsUEtNMVdxOUEwQ3hScU1aTG9RNHBLcnFVMEtJN3hSRlNUQVlERFBPbno4L0t5TWpvMHpSMDA2ZE9nVUQ2STlMNTh1M2x4TndZbUxpRmdBdTY2a1lESWFyQVd3UlFrUWFESWF1SnBOcFBBQ3JxMjByaThsa1dndGdyUmViMXZPMlRiMWUzMU1JY1kyVThzL2s1T1Rkc0NXTkFFekRwVVRWeE9UazVCSzlneElURTk4M0dvM1hBcGdJNEJIYjRzRm1zL2xyMzk0UkVWSE54R1FLRVJGUkFHM1o0cm9HNXRpeFkvSHJyNy9pblhmZVFhOWVKY3RHckZxMXltT2JYYnQyOVZ2U0lqSXlFaSsvL0RJR0RCaUE2ZE9uNDhpUkk5aThlVE8yYmR1R3A1NTZDb01IRDY1eHN3eFI1VXRNVER6YXFWT25xMEpEUS9OZHJUY2FqZEZTeWdsQ2lBY0FCRWtwUHkwcUtocTNkKy9lckppWUdNY1FIYlBadk1kb05QNER3SG9BcnpabzBPQ3B5TWpJZVJxTlpsbENRc0lwKzNZaElTSGo3Y2tBazhuMFZXVzlMNVBKZEZLdjEwOERNRWNJOFcrajBYaWR4V0labXB5YzdHMFBrR3BKQ0RFQ2w1SW1xd0ZJMi8rZmJ3QUVBZmpjYkRZdmR0NCtOamIyV2xWVkp3QjR3cmJJYWhzS3RNeGdNTHlkbjUrLzZNQ0JBK2NDOG1hSWlLb0lreWxFUkVUVndJWU5HNkRSYU5Ddlh6K1hRM2Nxd2o0VXlCOWlZbUx3eFJkZllPblNwVmk2ZENseWNuTHc1cHR2WXZQbXpaZ3laUXJhdEdsVDRiYS8vLzU3SER0MnJNUXlzOWtNMkhyWkxGNjh1TXcrVVZGUnVPbW1teXA4VEtwMDFuMzc5cDEyWGhBYkd4dG10Vm9mVmhSbEJJRHVRZ2hJS1hjQ2VONWtNdjNpcnFIRXhNVDAyTmpZN3FxcVRoVkNQQ3VFZUYxVjFlbEdvM0ZKWW1MaTQ3R3hzUjJrbEMvaVVqTGdkZHRRb1Vwak5wdm5HUXlHRXdBK0EzQ1BWcXY5c1hQbnp2MzI3dDJiVlVtSDFOaU81eGRTeWdiT0NWRGI3MjhVTGlWVnZvaU9qbzZTVW40dmhHZ0l3Q1NFZUJ3QW1qZHZIdHE0Y2VOK0FPS2tsUCswemU2VExZU1lZckZZdnRScXRUT2xsQThMSWQ0SURRMmRaalFhTjZxcStsK05Sdk50UWtKQ3ByL2lKeUtxTHBoTUlTSWlxZ1ptejU2Ti9QeDgzSHZ2dlg1cmM5YXNXVGgzN2h3ZWYveHh0RzE3K1pOK0JBVUZZZlRvMGJqdHR0dncwa3N2NGVEQmcwaE9Ua1pjWEJ3ZWYveHgvT3RmLzNJVXFGMnlaQWxNSmhQZ1ZCc2xNek1UVHovOWRJazJwMDZkaXMyYk4rUG5uMzkyZWN5a3BDUWtKWld1TXdyODg1Ly9aREtsaGtsSVNDZ3dHbzIzQStnT0lCN0FISlBKdE1uTGZmTUF2QkFURS9PeG9paVRBQXdGc05DV0NJZ0hFQ0dsM0c0Mm0xMVhPL1l6azhtMFZxL1hYMUFVWlNPQTdzSEJ3VC9HeHNaZW41Q1FVQ21GZ0lRUTExUkd1N2lVWEJsdnV5ZllZREtaZm8rT2ptNXRLeUtibEorZjN6Y2tKT1JHZzhFdzBUYTdVcGh0bi9NQTNyTllMSE5UVWxMTzI1b2FHUk1UTTF0UmxNbENpTUVBQml1S01saEtDYVBSZUtDZ29PQ1cwZ2sySXFLYWpNa1VJaUtpQUZOVkZYbDVlYWhYcjU1Zmg4eWNPM2NPUC83NEkyNisrV2EvSkZQczJyWnRpK1hMbDJQUm9rVll1blFwTEJZTDVzK2ZqL2J0MnpzU0hBY09ITURPblR0TDdGZFFVRkJtV1g3Ky8wYUJqQnc1RWdhRHdlT3hmLzMxMTNLSE9WRzFwV1psWmNYVnIxKy9iWEp5Y3FvWDI1ZVJsSlIwQ01DbzJOallmeWNrSk9RWmpjWWVVc3FHQUU0Q0dBYkFmMU5abGNOc05uOXZOQnJ2QjdBT3dQdVZsVWdCWUMwb0tJajBWMk02blM0RHdKWDIxMFZGUmRPRGdvTHVWQlJsQWdBa0p5Y2YxZXYxZlFzS0NySU9IRGh3cm5QbnpyOEhCd2Qzc0UxdHZWVksrY241OCtkWHU2cGRZeXNTUE14Z01Jd1RRZ3lYVWc0U1F2UUFzSXFKRkNLcWJaaE1JU0lpQ3JEYzNFdmxGdXJYcjE5bTNiUFBQbHRpcU02Y09YTzhidGMrUzVBL0N0R1dwdFZxTVdiTUdQVG8wUU5UcGt4Qno1NDlTL1FVZWVtbGx6QnAwaVFBd1BuejUvSEFBdy9ncXF1dXdySmx5MHEwMDZCQkE4ZlBVVkZSWmVyRGxIYnk1RW0vdnhlcU9yWWJjSStKbEtTa3BGOXRzOHU0WmV1cGdzVEV4RjBHZytGUmk4VmlUa2xKT2VacG44cVFtSmk0SlNZbXBsMVNVdEtmbGRDOEpTc3JLMVNyMWNyMDlQUkNQN1pib25KMGFtcnFjYjFlcjA5SVNIQk1LMlkybTlQc1ArL2R1emNyTmpiMjVvS0NndlBlRG1VeW1VeG5BYndENEozT25UczMzTHQzNzk5K2pKK0lxRnBnTW9XSWlDakF6cHc1QS9pUTlMRDNYaWs5QzVDN2RxKzY2cXJManRFZGc4R0FGU3RXSURnNHVNVHlpSWdJUkVSRWxGaW0wV2c4emdCRVZCRW1rK25UUUI2L2toSXB3UCtTVDVYT2JEWm5lMXFma0pCd3VLSnRWMkl0R1NLaWdHSXloWWlJS01DT0h6OE8yR3FTbERaNzl1d3l2VFV1WHJ3SUFOaXpadzh5TWpMS0pHR3NWaXQrL3Zsbm5EaHhBbUZoWVpXYVRJR2JIalZFUkVSRXRSbVRLVVJFUkFIMnh4OS9BTGJraU5sc2hsNnY5N2g5Ykd3c3dzUERjZkxrU1F3YU5Namp0dmZlZTYvZlp2UWhJaUlpb2t1WVRDRWlJZ293K3pUQUFQREdHMjlnNmRLbEhyZHYwS0FCUHZqZ0F5eFpzZ1RIangrSHhWSjJKdGdHRFJxZ1Y2OWVlT1NSUnlvbDVzdFZVRkNBRXlkTytMVXdMaEVSRVZGVllUS0ZpSWdvZ0t4V0t4SVRFd0VBM2J0M3gyKy8vWWF4WThlVzI1dWthOWV1bUR0M2JoVkY2VDlTU256enpUZDQ3NzMzY09lZGQyTDgrUEdCRG9tSWlJaklaMHltRUJFUkJkRHZ2LytPbkp3Y05HN2NHRE5uenNUL3MzZnY4VDNYL1IvSG41L3ZEb2JSMGtraHkybFJ1V3dVMXlWSkxxZUtpcFJJcnFJSVZ6bGxKZWRVU0E2aEU0MzhjcmhFWEx2S3VTaGxXTnFCeURFaDFCeDJZdC81SGo2L1A2N3RlNWtkN0RQYnZyTTk3cmZiYnRmMitidy9uOC9ycyt2VDdQUGMrOUN6WjAvRnhNUjR1NnhDbFpDUUlFbEtUazVXejU0OXRXZlBIdW0vUzdKbWFlZDBPcFdlbnZlaUpaZWJkQmNBQUtBNEVLWUFBT0JGaXhjdmxpVGRkOTk5cWx5NXNtYlBucTBCQXdibzJMRmprcVRwMDZjckxpNU9qUm8xMHZYWFg2K2dvQ0RQYWo2WE1rMVRMcGRMVHFkVExwZkw4Mkd6MlZTN2R1MWl2YStMZmZIRkYxSkdtSktjbkt4YXRXcXBkKy9lYXR1MmJaWjJyNy8rdXBjcUJBQUFzSVl3QlFBQUx6Rk5Vei8vL0xNa3FVT0hEcEtrNnRXcmE5R2lSZnJvbzQrMGZQbHliUDlURlFBQUlBQkpSRUZVSFR4NFVBY1BGbmhWVXMrNUoweVlVQ2cxRjBSZ1lLQWtxWGJ0Mm5yaGhSZlV1blhySEFPaGF0V3FYWFpsb0xObnorcmt5Wk5GVmlzQUFFQitFS1lBQU9BbGhtR29hOWV1MnJScGswSkRRejNiSzFhc3FDRkRodWlGRjE3UWxpMWJGQjhmcnlOSGppZzVPVm5wNmVsWmVwMjQzVzZacGltMzIrMDUzalJOei9rbDZhR0hIdkxDM2YzUHl5Ky9yUHIxNit1QkJ4NlFyMi91djNxODlOSkwrdnZmLzU3bnVaWXRXNmEzMzM2N0NLb0VBQURJdjV6N0NRTUFVTW9GMzk3b2Zobm00c3FWS2xYOWFPWTBOYnVuaVZmcVNFcEswdjc5KzlXa2lYZXVqNExadXYxSHZUVDBWU1djUHAwb1U0OGQvaVYyazdkckFnQUF4U2Z2cFFJQUFFQ1J1dWFhYXdoU0FBQUFyaktFS1FBQUFBQUFBQllRcGdBQUFBQUFBRmhBbUFJQUFBQUFBR0FCWVFvQUFBQUFBSUFGaENrQUFBQUFBQUFXRUtZQUFBQUFBQUJZUUpnQ0FBQUFBQUJnQVdFS0FBQUFBQUNBQllRcEFBQUFBQUFBRmhDbUFBQUFBQUFBV0VDWUFnQUFBQUFBWUFGaENnQUFBQUFBZ0FXRUtRQUFBQUFBQUJZUXBnQUFBQUFBQUZoQW1BSUFBQUFBQUdBQllRb0FBQUFBQUlBRmhDa0FBQUFBQUFBV0VLWUFBQUFBQUFCWVFKZ0NBQUFBQUFCZ0FXRUtBQUFBQUFDQUJZUXBBQUFBQUFBQUZoQ21BQUFBQUFBQVdFQ1lBZ0FBQUFBQVlBRmhDZ0FBQUFBQWdBVyszaTRBQUFCdmNqbGQycjFucjdmTHdGVm05NTY5Y2pnYzNpNERBQUI0Q1dFS0FLQk1TN1BiTmZPRGorWG41K2Z0VW5BVmNUZ2NTazVKOFhZWkFBREFTd2hUQUFCbDBnWFRmY0xmTUU2NFRUTWdNVG5aMitYZ2FtV2FmMXd3elJQZUxnTUFBQlF2dzlzRkFBRGdKYlpiNjl4eHU4M1g3MFp2RjFJUytkbGN3Ulg5Zlo5d1MzNXBGNXdMSFc2Znc5NnVxU1J5R2U1VFIvZkU3NWJrOW5ZdEFBQ2crQkNtQUFDQWJFSkRRMXNhaHJIRU5NMEFTWS9HeE1SODYrMmFBQUFBU2dwVzh3RUFBQUFBQUxDQU1BVUFBQUFBQU1BQ3doUUFBQUFBQUFBTENGTUFBQUFBQUFBc0lFd0JBQUFBQUFDd2dEQUZBQUFBQUFEQUFzSVVBQUFBQUFBQUN3aFRBQUFBQUFBQUxDQk1BUUFBQUFBQXNJQXdCUUFBQUFBQXdBTENGQUFBQUFBQUFBc0lVd0FBQUFBQUFDd2dUQUVBQUFBQUFMQ0FNQVVBQUFBQUFNQUN3aFFBQUFBQUFBQUxDRk1BQUFBQUFBQXNJRXdCQUFBQUFBQ3dnREFGQUFBQUFBREFBc0lVQUFBQUFBQUFDd2hUQUFBQUFBQUFMQ0JNQVFBQUFBQUFzSUF3QlFBQUFBQUF3QUxDRkFBQUFBQUFBQXNJVXdBQUFBQUFBQ3dnVEFFQUFBQUFBTENBTUFVQUFBQUFBTUFDd2hRQUFBQUFBQUFMQ0ZNQUFBQUFBQUFzSUV3QkFBQUFBQUN3Z0RBRkFBQUFBQURBQXNJVUFBQUFBQUFBQ3doVEFBQUFBQUFBTENCTUFRQUFBQUFBc0lBd0JRQUFBQUFBd0FMQ0ZBQUFBQUFBQUFzSVV3QUFBQUFBQUN3Z1RBRUFBQUFBQUxDQU1BVUFBQUFBQU1BQ3doUUFBQUFBQUFBTENGTUFBQUFBQUFBc0lFd0JBQUFBQUFDd2dEQUZBQUFBQUFEQUFzSVVBQUFBQUFBQUN3aFRBQUFBQUFBQUxQRDFkZ0VBQU1DN1FrTkRhNXFtZWY4bG0yK1hWTjR3REQvVE5OczNhdFFvK09LZGJyZjd1L2o0K0YrTHQxSUFBSUNTZ1RBRkFJQXl6alJOZjV2Tk5qKzMvWVpodkdvWVJwWnRicmY3OXVLb0RRQUFvQ1JpbUE4QUFHVmNiR3pzZnJmYnZTMi83VTNUM0JFZkg3KzNhS3NDQUFBb3VRaFRBQUNBRE1PWW8vOEdKVEpOTTl2K1M3WXZLT2J5QUFBQVNoVENGQUFBSUpmTDlZMmswL2xvZXRyaGNHd3FocElBQUFCS0xNSVVBQUNnOCtmUG56Wk44NmRMNTBhNW1HRVlNazN6SjV2TmRySllpd01BQUNoaENGTUFBSUFPSERpUUttbXJKSmN5aHZWa3l2emNORTIzcEszeDhmSDU2Y0VDQUFCUWFoR21BQUFBU1hLYnBybE4wdG5jR2hpR2NTNmpqYXQ0U3dNQUFDaFpDRk1BQUlEMDM3Qmt1NlJUbVY5Zk9obXRhWnJKR1cwQUFBREtOTUlVQUFBZ1NZcUppVWx3dTkyYmM1bzNKV1BiNXBpWW1BUnYxQVlBQUZDU0VLWUFBQUFQMHpRWDU3YlBNSXo1eFZzTkFBQkF5WlQ3bFAwQUFLQk1hdFNvMFZHYnpWWTljNGhQeGlvK3gyTmlZcXA1dXpZQUFJQ1NnSjRwQUFBZ0M4TXdJaTc2UFBQVEpWNHJDQUFBb0lRaFRBRUFBRm1ZcHJsQ2t2MmlUWFpKa1Y0c0NRQUFvRVFoVEFFQUFGblk3ZmFqcG1udXVxaFh5czh1bCt1Z2Q2c0NBQUFvT1FoVEFBQkFGamFiTFVWU3RQay8wV2ZPbkRudDdib0FBQUJLQ3NJVUFBQ1F4ZTdkdXk5STJtb1lScXBoR0hiVE5MY2VPM1lzemR0MUFRQUFsQlNFS1FBQUlCdlROS01rSlppbW1lSjJ1N2Q2dXg0QUFBQUFBSUNTemdnTEMvdXlVYU5HbS9uakN3QUFRRlpHUHRvQUFGQXEzVkw3emhyK2ZyNjF2VjFIU1JYZ1k3YXoyV3orNXgzbWY3eGRTMG1WbnA3KzY0bGY5L3ptN1RvQUFFRHhJa3dCQUpSSndjR05naFZnenBPaDI3MWRTd21XK1h1QzZlVTZTcklqU2pPZVBIdzQ5ckMzQ3dFQUFNWEgxOXNGQUFEZ0ZRRUtscUhiRFJsVks1UXZMeDlmSDI5WGhLdUl5K2xTbXQwdXQya0dLRURCa2doVEFBQW9Rd2hUQUFCbFdvWHk1VFhrcFFGcVVEL0UyNlhnS3JKN3oxN04vT0JqSlNZbmU3c1VBQURnQllRcEFJQXl6Y2ZYUnczcWg2alpQVTI4WFFxdU1uNStmdDR1QVFBQWVBbXo4d01BQUFBQUFGaEFtQUlBQUFBQUFHQUJZUW9BQUFBQUFJQUZoQ2tBQUFBQUFBQVdFS1lBQUFBQUFBQllRSmdDQUFBQUFBQmdBV0VLQUFBQUFBQ0FCWVFwQUFBQUFBQUFGaENtQUFBQUFBQUFXRUNZQWdBQUFBQUFZQUZoQ2dBQUFBQUFnQVdFS1FBQUFBQUFBQllRcGdBQUFBQUFBRmhBbUFJQUFBQUFBR0FCWVFvQUFBQUFBSUFGaENrQUFBQUFBQUFXRUtZQUFBQUFBQUJZUUpnQ0FBQUFBQUJnQVdFS0FBQUFBQUNBQllRcEFBQUFBQUFBRmhDbUFBQUFBQUFBV0VDWUFnQUFBQUFBWUFGaENnQUFBQUFBZ0FXRUtRQUFBQUFBQUJiNGVyc0FBQUJROGt5Yk5rMXV0MXNkTzNaVXZYcjFydmg4VHFkVGMrZk8xWVVMRjlTcFV5Y0ZCd2ZuMmY3Z3dZUDY2cXV2RkJBUW9PZWZmMTZHWVZ4eERRQUFBSVdGbmlrQUFDQ0xZOGVPYWVIQ2hWcThlTEhLbFN0WEtPZGN2SGl4NXN5Wm8yKy8vVmJWcTFlL2JQc1pNMmJvMDA4L1ZWSlNFa0VLQUFBb2NlaVpBZ0NBRi8zKysrODZjK1pNa1YvbnpqdnZ6SGNvTVgzNmRKbW1xWGJ0MnFsbXpacFhmTzBqUjQ3b280OCtraVQxNzk5ZkZ5NWMwSVVMRjdLMXM5bHNDZ2dJME04Ly82d2ZmdmhCUGo0K2V2enh4M1grL1BsY3orM241eWMvUDc4cnJoRUFBTUFLd2hRQUFMeG8vdno1K3VLTEw0cjhPbHUyYk5IWnMyYzFlZkxrUE5zNUhBNXQyYkpGa25UMDZGRU5HVExFMG5YKytjOS82cmJiYnZOOGJiZmJOWHo0Y0tXbHBVbVNoZzhmbnV1eFlXRmgrdWlqanpSdDJqUkprc3ZsMHVPUFA1N245WjU3N2prTkdEREFVbzBBQUFCWGlqQUZBQUF2S2xldW5BSUNBaTdiempSTnBhZW5lNDZ4T3ZURk1BeWxwcWJxMjIrL3pmY3h1M2Z2dG5RTlNlclpzNmZuYzZmVHFWZGZmVlg3OSs5WDllclZkYzg5OXlncEtVa0hEeDVVV0ZoWXRtTnIxcXlwT1hQbUtDWW1Sa0ZCUVhyZ2dRZVVtcHFxbUpnWXRXalJJc2ZyM1hubm5aWnJCQUFBQUFBQUJSQjhlNlA3Zyt2LzVVVERlKzQxbzdaRm15WGRMNy84WW9hRmhabGhZV0ZtZkh4OGdjN2hjcm5NYytmTzVmaXhiZHMyODc3NzdqUER3c0xNc1dQSFp0di95eSsvbU0yYk56ZWJOR2xpTGx1MkxOZnp1Rnd1MHpSTjAyNjNtME9IRGpYRHdzTE1ObTNhbU1lT0hUUGRicmZaclZzMzgrNjc3elkzYmRxVXBiWS8vL3pUM0wxN3Q5bThlWE16TEN6TTNMeDVzMm1hcGpsZ3dBQXpMQ3pNbkR0M2JpRjhGd3RQMUxabzgrNTdXNXZCOVJ1ZERiNjkwZjNlZnA0QkFFRHhZZ0phQUFES0NKdk5wZ29WS21UN2lJcUswdURCZzVXYW1xcS8vZTF2ZXYzMTE3TzFDUWtKMFpneFkrUjJ1L1hXVzI5cHlaSWxDZ2dJeU5iT1p2dnZyeGJ2dlBPT05tN2NxQ3BWcW1qV3JGbXFWcTJhRE1QUThPSERaUmlHd3NQRHRYWHJWa25TMnJWcjlmREREMnZHakJtYU4yK2UrdmZ2cjN2dnZWZVM5TnBycnlrb0tFanZ2LysrbGl4WjR0WHZId0FBUUNiQ0ZBQUF5cWprNUdTTkdqVkt3NGNQbDkxdTE0TVBQcWhwMDZiSjF6Zm5VY0J0MnJUUm1ERmpaQmlHWnMrZXJWNjlldW1YWDM3SnNXMy8vdjMxMTcvK1ZmUG16Y3V5dEhKb2FLaGVmZlZWaFlTRWVKWkhidDY4dVlLQ2doUWRIYTFmZi8xVnZYdjM5clN2VnEyYUprNmNxTnExYTZ0Smt5YUYvajBBQUFBb0NPWk1BUURnS21TYVpvR1hERTVMUzlQaXhZdjE2YWVmS2pVMVZaTGs2K3VyaElRRURSdzQ4TExIVjY1Y1dhbXBxZHE5ZTdkNjlPaWhwazJicW12WHJtcmV2TG44L2YwbFNWV3FWTkhOTjkrczBhTkg1M2dPd3pBMFlzU0liTnN6ZTcxY3FrS0ZDbnJycmJleWJIdm1tV2QwLy8yTXNBRUFBTVdQTUFVQWdLdE1ZbUtpdW5idHFzNmRPK3VKSjU3SXRTZkpwWTRmUDY3bHk1ZHI1Y3FWU2t4TWxDUlZyVnBWSjArZWxDVHQzTGt6M3pWTW1USkZhOWFzMGRxMWE3VnQyelp0MjdaTmZuNSt1dlBPT3pWMjdGaFZyMTVkKy9idDA2NWR1K1R2Nys4Wi9wT1hnSUFBT1J3TzdkMjdOODkyRG9kRExwZExwMDZkeW5lOUFBQUFoWWt3QlFDQXE4eTBhZFAwMjIrLzZkMTMzOVdLRlNzVUhoNSsyU0V3aHc4ZlZ0ZXVYZVYydXlWSndjSEJHanAwcUU2ZE9xVng0OGJwbVdlZXNiekU4SDMzM2FkSEgzMVVIMy84c1dKaVl1UndPT1RyNjZ2cTFhdG5hVGR6NXN4Q0hhSXpac3dZZmZubGw0VjJQZ0FBQUtzSVV3QUF1TW9NSGp4WTMzenpqU0lqSTNYbzBDSDE3ZHRYSFRwMDBLQkJnM1Q5OWRmbmVFeHdjTEE2ZGVxa3JWdTNxaytmUHVyWXNhTjhmWDBWR1JrcFNVcFBUL2YwVnJFaUxDeE1jK2ZPMWFGRGgvVDU1NStyUzVjdU9iYXoyKzJlSUtjZy9QMzk4OTBEQndBQW9LanhXd2tBQUZlWm9LQWdqUmt6Um84KytxZ21USmlnUTRjT2FmWHExZHE4ZWJNR0RCaWdybDI3NWppZnlyQmh3K1RyNnlzL1A3OXMreFl1WEtpRkN4ZGFybVh1M0xrS0RRMVZyVnExRkI0ZW5tVmYvLzc5bFppWXFGcTFhcWxQbno3YXMyZVA1Zk5uR2pwMHFMcDM3eTVKZXZMSko5V2lSUXZkZnZ2dEJUNGZBQURBbFNCTUFRRGdLdldYdi94Rml4WXRVa1JFaENJaUlwU2FtcXBKa3lacDllclZHamx5cEdyWHJwMmxmZm55NVhNOVY3MTY5VlMvZm4zTE5lVFdFMGFTbWpadG1tMWJodzRkZE9PTk4rYjcvTnUzYjg4V3dqUm8wRUFOR2pTd1dDa0FBRURoSVV3QkFPQXE1dWZucDc1OSs2cDE2OVlhUFhxMDl1N2RxL2o0ZUhYdjNsMHZ2UENDZXZYcWxhL2hNZmZlZTYvbE9WTUtva3VYTGdvTkRjMTMreWxUcGx4Ump4WUFBSUNpUUpnQ0FFQXBVS2RPSFMxWXNFQno1c3hSUkVTRW5FNm4zbi8vZmRXclYwOHRXclM0N1BHclY2KzJ0SnBQcHA0OWU2cDU4K1lGckJvQUFPRHFSSmdDQUVBcDRldnJxeGRmZkZITm1qWFR5SkVqOWRlLy9qVmZRWW9rSlNRazZPelpzNWF2ZWViTUdVdnQrL1RwWS9rYUFBQUFKUTFoQ2dBQXBVeG9hS2dXTDE0c2YzLy9mQjlUa0tXUkM2SlZxMWE2NFlZYjh0MCtKaVpHKy9mdkw5S2FBQUFBckNKTUFRQ2dGS3BjdVhLMmJZbUppVXBKU2NteUxiTTNTa3BLaW80ZVBYckYxdzBNRE5TMTExNmI2LzRlUFhwWW1qUGwwS0ZEK3YzMzMxV3JWcTBycmcwQUFLQ3dFS1lBQUZCR3pKczNUNTk5OWxtTyt6Ny8vSE45L3ZublYzeU5SeDU1UktOSGo4NTEvOUtsUzdWcDB5Ykw1LzN4eHgrbGpOV0RldmJzZVVVMUFnQUFYQ25DRkFBQXlvaUdEUnVxYytmT09lN2J1WE9uWnpoTml4WXQ4aHlLczNQblR0MTExMTA1N3J0Y3I1TjE2OVpacXZsU3RXclZJa3dCQUFCZVI1Z0NBRUFaMGJwMWE3VnUzVHJiOXFWTGwrcmYvLzYzL1AzOTlkcHJyNmxUcDA2NW5tUDgrUEhhdjMrLy92NzN2eGRvTXRuWnMyZXJZY09HbG8vYnRHbVRSbzBhWmZrNEFBQ0Fva0NZQWdCQUdYWDI3RmxObWpSSjY5ZXZWKzNhdGZYbW0yK3FidDI2ZVI3VHZYdDNiZDI2VlI5ODhJRk9uejZ0VjE1NVJUYWJMZC9YTEZldW5DcFVxR0M1Vml1VDZRSUFBQlExd2hRQUFNcWdTWk1tNlQvLytZL1MwdEpVc1dKRk5XdldURjk5OVpVY0RvY3VYTGdnaDhPaDlQUjB6NGZkYmxkYVdwck9ueit2YytmT1NSazlXbEpUVXpWMjdGajUrUGprNjdycDZlazZmLzY4NVhvdlhMaGcrUmdBQUlDaVFwZ0NBRUFaZE9USUVhV2xwVW1TenAwN3A0VUxGK2JZenMvUFQrWEtsVk5BUUlEbkl6ZzRXT1hLbGRQKy9mdTFhdFVxcGFlbjY2MjMzcEt2NytWL3JTaU81WmNCQUFDS0dtRUtBQUJsMExQUFBxdkdqUnZydXV1dVU2VktsVlNoUWdWVnJGalI4NytabitmVjQyVFhybDNxMjdldmR1M2FwZVBIait2V1cyKzk3SFViTjI2c2E2NjV4bks5Q1FrSjJybHpwK1hqQUFBQWlnSmhDZ0FBVjRHUWtCRHQyTEdqME03WHBFa1ROV25TNUlyT2NlZWRkK3E5OTk3VGJiZmRwaXBWcXVUWmR0NjhlWEs3M2ZMMzk1ZGhHRmQwWFFBQUFHOGpUQUVBQUFYV3VISGpmTFh6OC9Ncjhsb0FBQUNLUy82bjN3Y0FBQUFBQUFCaENnQUFBQUFBZ0JXRUtRQUFBQUFBQUJZUXBnQUFBQUFBQUZoQW1BSUFBQUFBQUdBQllRb0FBQUFBQUlBRmhDa0FBQUFBQUFBV0VLWUFBQUFBQUFCWVFKZ0NBQUFBQUFCZ0FXRUtBQUFBQUFDQUJZUXBBQUFBQUFBQUZoQ21BQUFBQUFBQVdFQ1lBZ0FBQUFBQVlBRmhDZ0FBQUFBQWdBV0VLUUFBQUFBQUFCWVFwZ0FBQUFBQUFGaEFtQUlBQUFBQUFHQUJZUW9BQUFBQUFJQUZoQ2tBQUFBQUFBQVdFS1lBQUFBQUFBQllRSmdDQUFBQUFBQmdBV0VLQUFBQUFBQ0FCWVFwQUFBQUFBQUFGaENtQUFBQUFBQUFXT0RyN1FJQUFQQW1sOU9sM1h2MmVyc01YR1YyNzlrcmg4UGg3VElBQUlDWEVLWUFBTXEwTkx0ZE16LzRXSDUrZnQ0dUJWY1JoOE9oNUpRVWI1Y0JBQUM4aERBRkFGQW1YVERkSi93TjQ0VGJOQU1TazVPOVhVNkpZN3BOR1ptZlN6SnN4bVdPS0tOTTg0OExwbm5DMjJVQUFJRGl4VzlHQUlDeXluWnJuVHR1dC9uNjNlanRRa3FpY3I3dTJ1VjhiYy9ZRE1NdnplSDZKTjFwTytqdG1rb2lsK0UrZFhSUC9HNUpibS9YQWdBQWlnOWhDZ0FBeUNZME5MU2xZUmhMVE5NTWtQUm9URXpNdDk2dUNRQUFvS1JnTlI4QUFBQUFBQUFMQ0ZNQUFBQUFBQUFzSUV3QkFBQUFBQUN3Z0RBRkFBQUFBQURBQXNJVUFBQUFBQUFBQ3doVEFBQUFBQUFBTENCTUFRQUFBQUFBc0lBd0JRQUFBQUFBd0FMQ0ZBQUFBQUFBQUFzSVV3QUFBQUFBQUN3Z1RBRUFBQUFBQUxDQU1BVUFBQUFBQU1BQ3doUUFBQUFBQUFBTENGTUFBQUFBQUFBc0lFd0JBQUFBQUFDd2dEQUZBQUFBQUFEQUFzSVVBQUFBQUFBQUN3aFRBQUFBQUFBQUxDQk1BUUFBQUFBQXNJQXdCUUFBQUFBQXdBTENGQUFBQUFBQUFBc0lVd0FBQUFBQUFDd2dUQUVBQUFBQUFMQ0FNQVVBQUFBQUFNQUN3aFFBQUFBQUFBQUxDRk1BQUFBQUFBQXNJRXdCQUFBQUFBQ3dnREFGQUFBQUFBREFBc0lVQUFBQUFBQUFDd2hUQUFBQUFBQUFMQ0JNQVFBQUFBQUFzSUF3QlFBQUFBQUF3QUxDRkFBQUFBQUFBQXNJVXdBQUFBQUFBQ3dnVEFFQUFBQUFBTENBTUFVQUFBQUFBTUFDWDI4WEFBQUF2S3R4NDhZVjNHNzNEUmR2TXd5anFtbWFQb1poMkNSVkRRME5yWG54ZnBmTGRTbytQdjVjc1JjTEFBQlFBaENtQUFCUXhqbWR6aEFmSDUrZkx0MXVHRWJtcDBzdStseVNaTFBaN3BFVVhVd2xBZ0FBbENnTTh3RUFvSXlMaTR1TE4wMXpaMzdibTZhNUp6WTJObHY0QWdBQVVGWVFwZ0FBQUpkcG1wL3B2MEdKVE5QTTF1RGk3YVpwTHBYa0t2NHlBUUFBU2diQ0ZBQUFJTGZiL1c5SnlmbG9tdXgwT3I4c2hwSUFBQUJLTE1JVUFBQWdtODMyaDZTNFMrZEd1VmpHdmppWHkvVjdjZFlHQUFCUTBoQ21BQUFBeGNiR3BramFhcHFtV3huRGVqSmROTHpIbExSMXo1NDlwN3hYS1FBQWdQY1JwZ0FBQUdYTW03Sk5VbEllYmM1bnRIRVVZMTBBQUFBbERtRUtBQUNRSkxsY3JtMlNFaksvdm5ReVdzTXdraDBPeDNadjFRY0FBRkJTRUtZQUFBQkpVbng4L0RGSlArVTBiMHJHdHA5MjdkcDExQnUxQVFBQWxDU0VLUUFBd01QcGRDN0liWi9iN1o1YnZOVUFBQUNVVElRcEFBREFJeTB0N1J2VE5QKzRkTHRwbWdtSmlZbHJ2Rk1WQUFCQXlVS1lBZ0FBUEE0Y09KQnVHTWJpektFK2htSElNQXlacHJuaThPSERkbS9YQndBQVVCSVFwZ0FBZ0N4Y0x0ZGkwelF2Wkg2ZDhma3k3MVlGQUFCUWNoQ21BQUNBTE5MUzBnNUoybk5SNzVSZmZIeDg5bnE3TGdBQWdKS0NNQVVBQUdUaGRydFRKRVdiL3hQdGNEaE9lN3N1QUFDQWtvSXdCUUFBWkhIZ3dJRjAwelMzU1RvdjZZSnBtdHZpNCtQUGVic3VBQUNBa3NMWDJ3VUFBSUNTeHpDTUxaSVNKRlYwdTkxUjNxNEhBQUFBQUFDZ3BETkNRME0zaElhR1J0T1RGUUFBSUN2RDJ3WGs1SmJhZDlidzkvT3Q3ZTA2QUpRZDZlbnB2NTc0ZGM5djNxNER4WXQvYi9KVzNsY1BtakxMMlozR0NtL1hVbEx4c3dNQWdMS3B4SVVwd2NHTmdoVmd6cE9oMjcxZEM0QXk1WWpTakNjUEg0NDk3TzFDVUR6NDl5WmZNbjlQTUwxY1Iwbkd6dzRBQU1xZ2tqZG5Tb0NDWmVoMlEwYlZDdVhMeThmWHg5c1ZBU2pGWEU2WDB1eDJ1VTB6UUFFS2xzUUxVVm5CdnplNEF2enNBQUNnYkN0NVlVcUdDdVhMYThoTEE5U2dmb2kzU3dGUWl1M2VzMWN6UC9oWWljbkozaTRGWHNLL055Z0lmbllBQUZDMmxkZ3d4Y2ZYUnczcWg2alpQVTI4WFFxQVVzN1B6OC9iSmNDTCtQY0dCY1hQRGdBQXlpNW01d2NBQUFBQUFMQ0FNQVVBQUFBQUFNQUN3aFFBQUFBQUFBQUxDRk1BQUFBQUFBQXNJRXdCQUFBQUFBQ3dnREFGQUFBQUFBREFBc0lVQUFBQUFBQUFDOHA4bUxKcDB5YWxwcVpldHAzZGJsZEVSSVJPblRwVkxIVmRqU1pPbktpQkF3ZHF4NDRkZWJiYnVIR2pCZzRjcUpreloxcStSa3BLaWthT0hLbU5HemZLNlhUbTJHYnYzcjJhTzNldTVYTjdFODloN2s2ZE9xVUZDeFpvNDhhTjNpNEZBQUFBQUtTeUhxWWNQSGhRUTRjT1ZidDI3ZlRubjMvbTJYYmN1SEdhUFh1MlhubmxsVnhmNGd0cTRjS0ZldVNSUi9USUk0OW96Wm8xaFhydTRoUWJHNnVvcUtqTHZ1aWZPSEZDVVZGUit2bm5ueTFmNCt1dnY5YnExYXMxZHV6WUhQOS9TRTVPMXJQUFBxc1BQdmhBbXpkdnRueCtieWhOejJGY1hKdysrT0FEbWFaWmFIV2RPSEZDTTJiTTBNcVZLd3Z0bkFBQUFBQndKWHk5WFlBM2ZmcnBwNUtrRmkxYTZNWWJiOHl6N2NzdnY2eHQyN1lwUGo1ZXMyYk4wcUJCZ3dxbGhzMmJOMnZhdEdtZWw4L3Z2LzllN2RxMWsyRVlCVHBmKy9idGxaS1NVaWkxYmR5NFVmNysvb1Z5cnNLUytaTGZ0bTFiQlFRRVpOdGZ1WEpsZGU3Y1dZc1hMOWJNbVRQVnZIbHoyV3haTThPalI0L3E1cHR2bHE5dnlYajhTOHR6YUxmYk5XellNSjA1YzBaSGpoelIrUEhqNWVmbnA2aW9LSTBiTis2eXgzZnExRW45Ky9lWDNXN1h5Wk1uVmFsU0pWMTMzWFZYZEY4QUFBQUFVQlRLYk0rVTQ4ZVBhKzNhdGZMMTlkV0FBUU95N0V0TFM5UDU4K2V6ZkZTdVhGbERoZ3lSajQrUERNUEl0ai96dytGdzVMdUdBd2NPYU1TSUVUSk5VNDBhTlpLZm41OVdyMTZ0MmJObkYvaStxbFdycGhvMWFselJSM3A2dXV4MmU2SDJMaWdNQ1FrSm5pRkVqejc2cUNRcElpSkN6ei8vdkZhdlh1MXAxNnRYTC9uNStlbmd3WVA2K3V1dnM1ekQ1WExwOGNjZlYvUG16Zlh0dDk4Vzh4MWtWNXFldzRDQUFFMmFORW5seTVmWHVuWHJOSGp3WU5udGR0bnRkaVVrSkZ6Mkl6TUVqSXVMVTVjdVhhNjZvVm9BQUFBQXlvNlM4YWQ1TC9qd3d3L2xkRHIxeEJOUHFFYU5HbG4ydFdyVktzK1gwUVVMRm1qQmdnVTU3bnY2NmFjMWVQRGd5MTcvbDE5KzBjQ0JBM1grL0huVnJWdFhzMmJOMG5mZmZhY1JJMFpvM3J4NXV1NjY2L1RVVTA5WnZxOVBQdm5FOGpHWGF0Njh1ZXgyK3hXZnA3QXRYYnBVYnJkYklTRWh1dU9PT3lSSjhmSHgrdW1ubjlTZ1FRTjE2TkJCa25URERUZW9RNGNPaW95TTFNS0ZDOVdtVFJ2UE9ZNGZQKzRaSG5QTExiZDQ2VTcrcDdROWgyRmhZWm81YzZZR0RCaWdxS2dvRFJnd1FFODg4WVFrNllrbm5sQjRlSGkyWXpaczJKRGpkZ0FBQUFBb3FjcGttSExvMENHdFhyMWE1Y3VYMS9QUFA1OWpHOE13MUx4NTgzeWY4K1RKa3pwdzRFQysya1pIUjJ2bzBLRTZkKzZjcWxldnJ2ZmVlMC9seTVkWHUzYnRkT3JVS1UyZE9sVlRwa3pSbjMvK3FaZGVlcW5BUTM1S0U3dmRydVhMbDBzWlFVR21hdFdxU1pKKysrMjNMTzI3ZGV1bXlNaEk3ZHk1VS9IeDhXcllzS0VrNmZEaHc1SWtYMTlmQlFjSEYrTWRaRmRhbjhQUTBGQzk4ODQ3R2pKa2lFSkRRMHZjVURFQUFBQUF1RkpsTWt4NTU1MTM1SGE3MWE5ZlAxV3BVa1dTTkd2V0xOMXd3dzE2N0xISHBJeVg3Umt6WnVUN25NdVdMZFBiYjc5OTJYYXJWcTNTK1BIajVYQTRWSzFhTlgzMDBVZFo1c25vMGFPSDNHNjNwaytmcmdVTEZ1allzV042NDQwM2Nwd2ZKQ2ZuejU4dnREbFRjdE9wVTZjY1Y1N0p2TzZFQ1JNMGFkS2tYSTlQVDArWEpNWEV4T2lCQng3SXRuL1VxRkZxMWFwVmxtMWZmdm1sa3BLU2ROTk5ONmx0MjdhZTdYWHExSkVrSFRseUpFdjdrSkFRaFlhR3FrS0ZDcXBVcVpKbmUyYm9Vck5tVGZuNStlWDdub3RDYVg0T216ZHZyb1VMRjZwT25UclpWdUg1OGNjZk5YZnVYTFZxMVVwUFB2bGt2dThOQUFBQUFFcUtNaGVtckYrL1h0dTNiMWZkdW5YVnJWczNLV1BPaVBuejU4czBUZFdzV2JOSXJwdWFtcXBKa3lacDFhcFZrcVQ2OWV0cnhvd1pPVTZ3MmJOblQxV3VYRmx2dnZtbXZ2bm1HKzNidDAralJvMVNreVpOTG51ZGxTdFg2dDEzM3kyU2U4aVVsSlNVNXpLKzU4K2Z6OWQ1bkU2bmtwS1NzbTIvY09GQ2xxL3RkcnRuK0ZMYnRtMnpUQnhidjM1OUtXTlMyWlNVbEN6QnlheFpzN0s5L0dmT3VWS3ZYcjE4MVZoVVN2dHpxSXVDcmt1ZFBuMWEwZEhSdXUyMjI2N3diZ0FBQUFEQU84cFVtSktZbUtncFU2Wklra2FNR09GNUtaOCtmYnBNMDFUSGpoM1ZyRmt6elpzM3ovSzVXN2R1clFZTkd1VDRVaG9YRjZlUkkwZnErUEhqa3FRMmJkcG83Tml4ZWY2Vi81RkhIdEZOTjkyazExNTdUY2VPSFZQZnZuMzE2S09QNnVXWFgxYmx5cFZ6UGE1ZXZYcWVPU29LNm9zdnZzaHoyZDFGaXhiSjdYWm4yejVvMENBZFBueFlRNGNPVllzV0xYSTlQakl5VWhFUkVXcllzS0hHangrZmJmK2wzOE5GaXhaNWxneSt0RGRKM2JwMUZSZ1lxTlRVVkVWRlJXWHB0WExwOXpjOVBWM2J0MitYTW5wT2VFdHBmUTRqSWlLVWtKQ2dZY09HeWNmSHgzTHRBQUFBQUhDMUtGTmh5dHR2djYxVHAwNnBUWnMycWxxMXFuNy8vWGY5L1BQUGlvcUswdlhYWDYraFE0ZEtHWCt0WDdac21YNzQ0UWRMNTcvLy92dDEwMDAzZWI1T1NFalFyRm16OU9XWFgwb1o4MS8wN2R0WDNicDFrOFBodU95S0szZmNjWWMrL3ZoampSbzFTdnYzNzlmS2xTdTFmdjE2ZGUzYVZkMjdkOC94aGJsSmt5YjU3am1RbThncWpYMG9BQUFnQUVsRVFWVEl5RHpEbE14NVNpNlZHWFJjZi8zMTJTWlR2ZGkxMTE0clNTcFhybHllN1NUcDdObXptajkvZnE3N2ZYeDgxS1JKRTIzYXRFbWJOMi9PRXFaY0tqbzZXbmE3WGI2K3ZubUdQVVd0TkQ2SHAwK2ZWa1JFaE5MUzBuVHMyREc5L2ZiYkNnd01MTWkzQndBQUFBQkt2RElWcHNUR3hrb1pReXpXcjErZlpkL28wYU96REJGWnRHaFJ0a2xOTCtlV1cyNVJuVHAxWkxmYnRXREJBbjM2NmFlZVZYRkNRa0owNk5BaGZmamhoL3J3d3c4dDE5NjJiVnR0M3J4WjU4NmQwL3o1ODdWbzBTS0ZoNGQ3bGdndXJTWk5tcVJ6NTg3bDJlYUJCeDdRcGsyYjlNTVBQOGpsY3VYYUt5SnpLZVM3Nzc3YnF5LzZwZlU1ZlAvOTkvWFNTeTlweTVZdGV1NjU1elJqeGd6ZGZQUE5scThCQUFBQUFDVmRtUXBUSG43NFllM1lzVU9WS2xWU3BVcVZGQk1Ub3ovLy9GT2RPM2ZPTnV4ajFLaFJTa3RMczNUK3pIazRVbE5UOWE5Ly9VdDJ1MTFCUVVIcTM3Ky9IbnZzTVQzLy9QT1hEUVp5MDcxN2R3MGFORWd6Wjg3VW1qVnI1Ty92cjJiTm1rbVM1czJicDdWcjF4Ym92RG5KbkNDMlY2OWVXYlpQblRvMXorV0VUZE9VTW5vK0ZJWjE2OVpwL2ZyMU1neEQ5OTU3cnpadjNweGp1MWF0V2lrZ0lFQkpTVWxhdDI2ZFo0bmtpNTA5ZTFaZmZmV1ZsQkcrZUZOcGZRNGJObXlvT1hQbXFGKy9manA0OEtENjlPbWpMNzc0b2tEWEFRQUFBSUNTckV5RktmLzg1ejg5bjhmRXhHajkrdldxV2JPbWhnd1prcTF0YUdob2dhOXovZlhYNi9YWFgxZDBkTFJlZlBGRno5d1NtWk9vWG9rSkV5Ym91ZWVlMHg5Ly9LR3FWYXRLR1VIQjBhTkg4MzJPOVBSMG1hWXBmMzkvMld5MmJQdkxsU3NuWlV6cWVySExEUWZKVkJoaFNucDZ1bWRGb0I0OWVxaFNwVXE1aGlrVktsUlFodzRkdEdMRkNzMmJOMC90MjdmUFZzUENoUXVWbnA2dW9LQWdQZmpnZzFkYzM1VW9yYytoTXVhd21UTm5qZ1lNR0tCaHc0WjVuaVVBQUFBQUtFM0tWSmlTNmZUcDAzcnR0ZGZrNCtPanQ5OStXK1hMbHkvMGF6end3QU5GMWdPaVZxMWFxbFdybHVmcklVT0dlRjdFanh3NW9obzFhdVFaYUhUdDJsV0hEaDNTeElrVDFiSmx5MXpicGFlblczb1p6dXlaVWhpVGo1WXJWMDVWcWxUUjlkZGZyeGRmZkZHZmZmWlpudTI3ZCsrdUZTdFc2T0RCZy9yMjIyOTEvLzMzZS9hbHBxWnE2ZEtsa3FSbm5ua20zOHY3RnJYUzloeGV2SDNGaWhXNWZwOHpWMnU2ZUZVbUFBQUFBTGlhbExtM0dZZkRvZUhEaHlzaElVSGg0ZUVLQ1FuSnN2Lzc3Nysvb3FFSlFVRkJHajE2ZEpadFRxY3oyM0svQldHejJmSU1BZzRmUHF4bm5ubEc5ZXJWMDhpUkl4VWNISnpuK1NJaUluVGZmZmZsR0x5c1c3ZE9reVpOMGx0dnZhV21UWnQ2dGljbEpYbm0zN2hVNWoybXBLVG9qei8reVBXNm1jc3FPeHlPWE50ZGQ5MTE2dEtsaTVvMWE1YXY4S05XclZwcTM3NjkxcXhabzVreloyWTVic2FNR1RwMzdweXV1ZVlhZGUzYTliTG5LZzZsK1RsVURpc3BYU3h6R05tbEt6TUJ5TjNYWDMrdDMzLy9YUTg5OUZDT2s0OWZMRDQrWGg5Ly9MRnV1dWttalJvMUtzKzJyN3p5aXRMUzBqUjQ4R0RWcmwyN2tLc3VYS1gxdmdBQXdOV3BUSVVwcG1scXpKZ3hpbzJOVmZ2MjdkV2hRd2ZGeDhmcjBLRkRPbmp3b0xwMDZhTGZmLy9kTTFGcFFkeHd3dzNadHYzblAvL1JoQWtUcnJCNjZTOS8rWXNpSWlKeTNaK1ltS2lLRlNzcUppWkczYnAxVTU4K2ZmU1BmL3dqMXg0QXUzYnQwdXJWcTdNTWV6bDM3cHltVEptaXlNaElTZEtiYjc2cFpjdVd5ZC9mWDhvWTN2SE5OOS9rV2VlNGNlUHlkVCt4c2JHNURybFp0R2lSdW5YcmxxL3paQm93WUlBMmJ0eW93NGNQYS9yMDZYcjExVmV6aEJMUFBmZWNLbFNvWU9tY1JhRzBQNGVTZE9EQUFkV3BVeWZIZlltSmlaS1U1eExmd05YSzZYUnF4b3daZXV5eHgzTHN1VlZRSzFhc1VGUlVsSm8wYVhMWk1PWDA2ZE9LaW9wU3pabzFMM3ZlN2R1M0t6VTFWYjE3OXk2MFdvdEthYjB2QUFCd2RTcFRZY3JNbVRNOUU3VisvLzMzV1lhQ1NOSVRUenloTGwyNnFHUEhqamtlNzNhNzFiSmxTOWxzdGx4ZmRIT2FneVNUbjUrZmdvS0NMTmVkbnA2dTVPVGt5N1pyMUtpUmxpNWRxa21USm1uMTZ0WDY0SU1QdEg3OWVvMGVQVnAzM0hGSGpzZE1uRGhSRFJvMFVIQndzS0tpb2pSaHdnU2RQSGxTa3ZUUVF3OXB5SkFobmlCRkdUME9jdXQxa05sajVYSzlGcHhPcDV4T3AydzJXNVp6WHl5djcyTnVicm5sRnZYcjEwOHpac3pRNTU5L3JqdnV1RU16Wjg2VUpJV0ZoYWw3OSs2V3oxa1VTdnR6bUpxYXFxZWVla3Fob2FGNjg4MDNzKzAvY2VLRUpLbEtsU3FXYXdCS3VpVkxsbWpSb2tXS2pJelV0R25URkJZV0ptV0V2UWNQSHJ6czhVdVhMbFhseXBWMTh1UkoyZTEyMWFoUm8xQ0dUaGFXcFV1WGFzYU1HWVZ5cnA0OWU2cGZ2MzZGY2k0QUFJRGlWcWJDRkpmTDVmbjgvUG56cWxHamhvS0RnM1hycmJmcTFsdHYxYzAzM3l4ZlgxOVBUNDZsUzVmcWdRY2UwUFhYWHk5bGhBQ1pNbnM0cEthbWF0T21UWHI0NFljdmUvMG1UWnBvMXF4Wmx1dGV1M2F0Um93WWthKzJsU3BWMG9RSkUzVC8vZmZycmJmZTBvRURCM1RtekpsYzYvbnh4eDgxYU5BZ2hZYUdlbnFqM0hiYmJYcnR0ZGZVdUhIamJNZTg4Y1liZXVPTk43SnRQMzc4dU9mbC82dXZ2c3J6WlgzUm9rVjY5OTEzMWJoeDR3SXR6NXVYSGoxNmFNdVdMWXFPanRiWXNXTWxTWUdCZ1hyampUY0tGTkFVaGRMK0hNYkh4OHZ0ZGlzdUxpN0xNcytaZnZubEYwbksxMStYZ2F0TnQyN2RGQnNicTQwYk4yckFnQUdhUEhteVdyUm9vZE9uVHlzaEllR3l4N3ZkYmtuU2lCRWpGQmNYcDYrLy9ycEE0V2RSQ1F3TVZJMGFOYTdvSEdmUG50V3BVNmNLWmRnaEFBQ0F0NVNwTUtWang0NnFVNmVPUWtKQ0ZCd2NuR3V2Q0VtS2lvclNwRW1UTkh2MmJLMVpzeWJIeVVFZERvZTZkdTJxUC8vOFV4VXJWbFNyVnEySytBN3k3KzkvLzdzYU5XcWtMVnUycUZtelp0cTBhWlBXckZtamYvempINTQyZmZyMFVmbnk1YlY1ODJZZFBYcFVGU3BVMFBQUFA2L3UzYnRibmh4MHo1NDlVc1pjSjk3OHhkL0h4MGRqeDQ3Vkk0ODg0Z2tkWG5qaGhTd3J6bmhiYVg4T1kySmlwSXllVWdFQkFRb01ERlN0V3JWMHd3MDNLQ2twU2Z2MjdaT1BqNDluQ2VlTDl3TlhPMTlmWDAyY09GSGg0ZUhhdEdtVGhnMGJwb2tUSjNyMjV4YU9aRTRNWHRJOStPQ0RWN3dpMm9JRkN3cXRkd3NBQUlDM2xJdy8xUmVUT25YcXFHUEhqcXBYcjE2ZUw3Q1NOR2ZPSEVuU3d3OC9uT3NxSzM1K2Zucjg4Y2NsU1pNblQ5YTVjK2VLb09xQ2NidmRPbno0c09MajQ5V21UUnNOSFRwVTY5ZXYxODgvLyt4cFl4aUdKa3lZNEhtcHRkbHNxbHk1Y29GV1dkbTRjYU9VOFFMdFRhbXBxUm85ZW5TVzNodWZmUEtKNXdXL0pDanR6MkhtOTdwWnMyYVNwTHZ2dmx1ZmYvNjVubnZ1T1VWR1JzcnRkc3ZQejAveDhmR2VkcG43Z2RMQTE5ZFhiNy85dHU2KysyNWRkOTExcWx1M3JyZExBZ0FBUUNFclV6MVQ4aXM2T2xweGNYSHk5L2ZQMHBNakp6MTc5dFMvLy8xdi9mNzc3L3I0NDQ4MWVQRGdZcXZ6VXBsREt6WnMyS0N2di80NlM1ZnlrSkFRdFcvZlhpMWJ0dFNTSlVzODJ3TURBL1hKSjU5b3hJZ1Iycng1czk1NDR3MUZSa2JxeFJkZjFOMTMzNTJ2NjU0OGVWSWJObXlRTW5yRWVNdWhRNGNVSGg3dStldnVZNDg5cG0rKytVWkpTVW5xMTYrZkJnNGNxQjQ5ZXVRNjNNZnRkbXZPbkRucTBxV0xaMGlOTjEyTnoyRjZlcnAyN2RvbFhSU21aRXBNVE5UOCtmT2xqUGwxQmd3WW9ONjllNnR2Mzc1Wi9qK3BXN2V1SmsyYWRNVkRDUUJ2OHZmMzE5U3BVNVdVbEtTYmI3NDUyLzV4NDhicHhJa1RtakpsaWdJREF3dDBqZVhMbDJ2MjdOblp0anNjRGtuUzBhTkhMN3MwZXVicWFvTUdEY28yTjh1dHQ5N3ErVy8yWWdrSkNaN2hTQVdSZWMzY2VPdStBQUFBckNpellVcEtTb29PSFRxa0F3Y082TUNCQTlxM2I1K2FObTJxM3IxNzY5MTMzNVVrUGY3NDQ1Y2RldUR2NzYrWFgzNVp3NGNQMTVJbFM5UzFhMWRWcjE2OW1PN2l2NktqbzdWaHd3WnQzTGhScDArZjlteXZVYU9HMnJkdnIvYnQyK2U1VEhLRkNoVTBkZXBVdmYvKysxcXdZSUhpNHVMVXIxOC8xYXRYVDUwNmRWS2JObTF5RFJmc2RydEdqQmdoaDhPaG1qVnJYdllYM0tKZ21xYVdMMSt1cVZPbktqMDlYWVpoS0R3OFhGMjdkdFhUVHordEFRTUc2T1RKazVvK2ZicSsrKzQ3dmZiYWF6bXVzakZ6NWt3dFdMQkFLMWV1MUxScDAzVDc3YmNYZWUybDZUbVVwSzFidDhyaGNPaWFhNjdKc3R5ejArblVtREZqbEppWXFMcDE2MnJnd0lFYU5XcVU1czZkcTlqWVdMMzU1cHVlWjZ4S2xTcGVEZVdBd2xLaFFvVmNWeENMaTR2VGI3LzlscVVYblZYcDZlbEtTa3JLZGIvYjdjNXovOFZ5Q2poeW0zRDY4Y2NmdjJ3Z2NpVzhkVjhBQUFCV2xKa3d4ZUZ3YVBMa3lUcHk1SWdPSHo2c1U2ZE9aV3ZUcWxVckxWMjZWUHYzNzFkZ1lHQzJKUlhUMDlPbGpPRXhGMnZkdXJYcTE2K3ZQWHYyNkwzMzN0UGt5Wk9MK0c2eSt2VFRUeFVWRlNWbHZJaTJiZHRXSFRwMDBKMTMzcGxqKzdTME5PbVMrN0RaYkJvNGNLQWVmUEJCVFowNlZWRlJVZHEzYjUrbVRKbWlLVk9tcUc3ZHVwbzVjMmFXbC9yVHAwOXIrUERoaW91TGs2K3ZyMGFQSGwyZ0lVSlhZcytlUFpvMGFaSjI3dHdwWmN6WjhzWWJiNmhwMDZhU3BPRGdZQzFjdUZBalI0NVVWRlNVZnZycEp6MzU1SlBxM0xtemV2ZnVyUnR2dk5GenJxZWVla3BSVVZIYXYzKy9ldmZ1cllrVEo2cEZpeGFGV205cGZnNTEwWEN2dSsrKzI5UGJ4T2wwYXR5NGNmcisrKy9sNStlblVhTkc2WTQ3N3RELy9kLy9hZkRnd2ZyeHh4L1ZvMGNQVFpvMEtjZGhZcGt2bTVmZUwxRFNuRHAxU3NPSEQ5Y3JyN3lpK3ZYckYvbjFPblhxbE9QUHFLMWJ0MnJpeEltcVZxMWFqajA4THRhOWUzZWRQMzllYjcvOWRyYWEvZno4Y2p5bWMrZk9udFhiQ21MdjNyMktpNHZMZGIrMzdnc0FBTUNLTWhPbStQbjVhZXZXclRwKy9MZ2s2Y1liYjFSSVNJanExYXVuZXZYcXFVNmRPcXBhdGFvNmQrNHNTZXJkdTNlMmxVaSsvUEpMS2VPRi9WSURCdzdVZ0FFRGRPTEVDZG50OWh5WEI0Nktpc3IzMEptTG1hYVo1LzV1M2JvcEtDaElIVHAwVUxObXpUeGRtdFBUMDdWMzcxNWRlKzIxcWxDaGdrelQxRGZmZk9OWm1qYW4rNmhWcTVabXpacWw3ZHUzYS9ueTVmcjIyMi9sY0RoMDExMTNaUWxTMXE5ZnI0a1RKeW94TWRFejRXSnh6cGV5Yjk4K1JVUkVhTU9HRFo3dnozMzMzYWRSbzBabFczSTNLQ2hJTTJmTzFHZWZmYVlQUC94UWRydGR5NVl0MDhxVks5VzJiVnVOR2pWSy92Nyt1dkhHR3pWMzdsd05HelpNMGRIUkdqcDBxRWFOR3BYckVzVUZVWnFmUTVmTHBjMmJOMHVTSjh3NmMrYU1YbjMxVmUzWXNVT1NOSDc4ZU04eTNkV3JWOWY4K2ZNMVlzUUlmZi85OStyYnQ2L0N3OFBWcWxVcnVWd3VCUVlHeXVWeWFmWHExWktreXBVclc2NFpwZE5kZDkzVmVPZk9uYkdTWFBsb1htdysrK3d6eGNYRnFVK2ZQcG93WVVLUlR3WWRHQmlZNHhDaEF3Y09TQmsvYnk0M1hDNHo5THpoaGh2eVBiVHU1WmRmTGxDOW1USjdRT2JHVy9jRkFBQmdSWmtKVXlScDJMQmg4dlB6VS8zNjlYWHR0ZGZtMkdiUm9rWDY0b3N2MUwxN2Q4K1FrTURBUURtZFRxV2twRWlTL3ZyWHYyWTdybG16WnBvOWU3YWFObTJhNjEvUS9mejhDclRTVFhwNmVwN2RrdSs5OTE3ZGUrKzkyYmJiYkRiMTZkTW55MUs4bVdyVXFKSG5NSkI3N3JsSDk5eHpqNUtTa3JSKy9YclA2ZzB1bDBzREJ3N1U5dTNicFl4ZlZDZFBucXlHRFJ0YXZxK0NPbno0c0o1KyttblBmVld2WGwzRGhnM0xzeGVKWVJqcTJiT25IbmpnQWIzenpqdmF2SG16bkU2bmJyenh4aXlUd0FZR0J1cTk5OTdUMEtGRHRXWExGbzBkTzFZQkFRRnEwNlpOb2RWZldwL0RtSmdZSlNZbVNoblB6N3AxNnpSeDRrUWxKU1dwWExseUdqOStmTGJoT3hVclZ0VFVxVk0xWmNvVUxWKytYRGZmZkxPKytlWWJ2ZlhXVzluT0h4b2FhcmxtbEU2K3ZyN3J3c0xDanJ2ZDdrVTJtMjJsdytFNHVYUG56bVJ2aHlzREJ3N1U2ZE9udFdyVktyM3l5aXQ2NmFXWDlNd3p6M2l6SkFBQUFCU1JNaFdtdEd6WjhySnRnb0tDUEt1SzFLOWZYdzZIUTJmUG52WHNhOTY4dVFZTkdwVGpzWmRPdUhtcEprMmFhTmFzV1piclhydDJyVWFNR0dINU9EOC9Qd1VIQit2Z3dZT2ViUUVCQWJycnJyczBiTml3ZkEzSnVlYWFhendyeFNoajZlSE9uVHNyT2pwYUhUdDIxS0JCZzNUTk5kZFlydTFLQkFjSHExZXZYbHEzYnAyZWZmWlpQZnp3dy9rZVhsU3RXalZObno1ZHNiR3hXcjkrdmZyMzc1K3RqYisvdjk1OTkxME5IanhZWjg2YzBUMzMzRk9vOVpmVzU3QjY5ZXJxM0xtemZ2cnBKMVd2WGwxYnQyNVZVbEtTZ29PRE5XSENoRnlIUGZqNCtDZzhQRnlQUHZxb1FrSkNGQnNiSzV2TjVwbmdNaWdvU0E4KytLQTZkZXBrdVdhVVdvYWtPMjAyMjF1bWFZNzA5ZldOQ1EwTjNXYWE1bFlmSDU5dE8zYnNPT0tOb254OWZUVisvSGlWTDE5ZXk1Y3YxNHdaTXhRUUVLQW5ubmlpV092STdFVldXRVBqVWxKUzlQenp6eGZLdVNSNWZwWkZSa1pxeTVZdG51MS8rOXZmOU5KTEwrVjZYR0hmRndBQXdKVW9VMkdLVlZXclZ0V09IVHRrbXFiY2JuZTJGUUh5cTJQSGptclhybDJCajIvWHJwM2F0V3RYb0dPWExsMHFaY3c3NFhhN0w3c1ViMzYwYWROR2Q5MTFsNnBXclZxZzQ3dDM3Njd1M2J0Yk9xWlBuejdxMDZlUDUrdStmZnVxWDc5K0JmNmVObXJVS005aFNaa3JjZGp0OW1JUGl5NTF0VHlIVmF0VzFldXZ2NjRMRnk1SUdaTlVWcXhZVWExYnQ4N1hjNWM1WVcyalJvMFVIUjE5eGZlTHNzRXdqQXFTbW1kOEpMcmQ3b1N3c0xCWVNmL25kRHEvaVkrUEw5YTF3ZzNEMElnUkkrVHY3Ni9kdTNkN05RUXNyTkRCNVhMcDZOR2orVzd2ZHJ0MTRjSUZHWWFoY3VYSzVkZ21JQ0JBYVdscFdjNTc4UVRxZVNGTUFRQUFKUUZoU2o0WWhuRkZMM1MrdnI3RlBqRnJUalVVcG9JR0tZV2xPTDZmNWNxVnkvVkZ3QnV1bHVmdzR1Q2tRNGNPQlQ3UGxkNHZTalZUT2MvakUyUVlScENrdXBLNit2ajQvQkVhR3ZvdjB6U1hHb2F4THlVbEpmbkFnUVBweFZIZ3NHSERjcDIzU0pJbmRDeUsveVl6dnkrRjlkOVBVRkNRZnZqaEJ5bGpFdTFUcDA3bHVOeHpwZzBiTmlnOFBGejE2dFhUb2tXTDhqejNoUXNYOGgzeUYvWjlBUUFBWEFuQ0ZBQ1FKSm55OTNIWExjNkpsRkV3aG1INFhmUzVkRW13Y3RIbk54bUc4WktrZm9aaDdLdFVxZExXUm8wYTdUSk44N3U0dUxqWW9xNHp0eUJGRjYzS1ZkQ1ZaWnhPWjY0OU9US0gwYmpkYnYzeHh4OTVuaWZ6ZTVXWW1KaGoyM0xseW1XWlkybnk1TWxhdFdxVlhuenhSVDMxMUZONUJodDc5KzdWRHovOG9PYk5tMmZibDVpWXFMRmp4K3JDaFF0Njc3MzNQS0dTdCs0TEFBREFLc0lVQUpCa21JWlIzdGYzT1p2TkNQWjJMY2liYVpvVkx4M3FrZHZRajR5WGFuOUpkMHE2d3pDTUN6YWI3WS9RME5BREY1eG0zRG1uV1NSalJrNmVQS2xLbFNxcFlzV0syZmE1M1c0bEp5ZkwzOSsvd0wzZkRoOCtyQ2VmZkRMUE5nY1BIdlJNSG40NXc0WU55M0Y3eTVZdE5YWHFWQ2xqdUk5cG1yTGI3Wm8yYlpyV3JsMnIwYU5IcTI3ZHVybWVkOXEwYVdyYXRHbVdIamhidDI3Vm1ERmpQRXZEUjBaR2VsWXc4OFo5QVFBQUZBUmhDZ0Q4ajU5cG1ybDNKOEJWNjZMSlMzMU4wd3lVVk5WbTB3SERMSm9KT0pZc1dhS1ZLMWZxeFJkZnpCWU9uRHAxU2s2bjg0cUdTL3I0K09UYTg4WHBkTXJwZE1ySHgrZXlQVi9zZHJ1VTBWTWpwMERxNHJESHg4ZEhJMGVPVk11V0xUVisvSGp0M3IxYlBYcjBVSzlldmZUQ0N5L2tlSzFmZi8xVkV5ZE8xTWlSSTVXYW1xcnAwNmRyeFlvVlVzYlM4TU9IRDgreWhMUTM3Z3NBQUtBZ0NGTUFRSkpwbUdhYTAvVlJCVCtmL2Q2dUJaY1ZhUmhHcFlzMzVMYlNTOGJYTHRNMEQwdmE1bmE3NHlSOUh4c2J1ejM0OWtiM3lsQ1J6QkFiRXhPamxKU1VISWVzL1BMTEw1S2ttalZyRnZqOHQ5MTJtMmNlazB1TkdUTkdYMzc1cGJwMDZhTHc4UEE4ejlPeVpVdWxwcVpxOXV6WitWNSt2RVdMRnZyODg4ODFZY0lFYmR5NFVkSFIwZXJidDIrMmRzSEJ3VXBKU2RHS0ZTdms2K3VyYjcvOVZuLysrYWQ4Zkh6VXJWczM5ZXZYVHhVcVZDZ3g5d1VBQUdBRllRb0FTSklNWFhENTdOLzNjK3dtYjFlQ3ZJV0doanFWRVpUa01BbnR4WUZLc21tYVg3bmQ3bVV1bHl2T2JyY25IRGh3SUxtbzY3UGI3WjdBSkhPcDhobzFhc2psY3NuSHgwZlIwZEdTcEFZTkduaU91ZlhXVzZWQ21seDF6NTQ5a3FRNmRlcGM4Ymx5RXhRVXBDbFRwbWpWcWxVS0N3dlR5Wk1udFdiTkdwMDVjMFpoWVdHU3BDcFZxbWowNk5GNjRZVVg5UG5ubjB1U0dqZHVyT0hEaHhlb3R1SzRMd0FBZ1B3aVRBRUFYRzNjeXVpTmNrbFBsUE9tYWFaSTJtZWE1aWVTL2gwYkc1dFkzTVh0M0xsVFRxZFQ1Y3VYVjhPR0RTVko3N3p6anBTeGVzMnFWYXVralBsQjB0TFNWTDU4ZWIzNzdydUZjdTJqUjQvcTRNR0RVc1l5NDBYcDlPblRTazVPVm5oNHVIYnQyaVZsQkNpWllZb2svZVV2ZjlIcnI3K3U4ZVBIeXpSTitmdjdLekF3MFBLMWl2TytBQUFBOG9Nd0JZVm00c1NKT25ic21KNTk5bGsxYnR3NDEzWWJOMjdVOHVYTEZSSVNvbi8rODUrV3JwR1NrcUpKa3lhcGRldldhdEdpUlk3TGl1N2R1MWViTjI5V256NTlDblFmeXBnZ2N1N2N1YkxiN2VyWXNhTnV1KzIyUE51dldyVktCdzRjMEYxMzNaVmwvRCtBSW1IVC8zcWdwRW1LTlUweld0Sld3ekNpZi9ycHB3UGVMRzdIamgyU3BDWk5tbVQ3R1RWdjNqd2xKdjQzMzltNGNhT2VmdnBwVFo0OFdiVnIxODdTcm4vLy9rcE1UTXh4QXR1OGZQYlpaMUxHRUp0THoxa1lUcDgrclUyYk5tbkRoZzM2OGNjZjVYYTdKVWtWSzFiVS9mZmZyL2J0Mit2OCtmTlpqdW5VcVpPdXZmWmFqUmd4UWxGUlVlcmF0YXVlZXVvcFBmMzAwNnBjdVhLSnVDOEFBQUNyQ0ZOUWFHSmpZN1YvLzM1MTdOZ3h6M1luVHB4UVZGU1VuRTZuNVd0OC9mWFhXcjE2dFRadjNxeTFhOWRtZTFGSlRrN1dzODgrcS9UMGRJV0VoS2hGaXhhV3J5RkpYMzc1cFQ3NjZDUGRjc3N0ZXZIRkYvTnNlK3JVS1UyWU1FSHA2ZW1hUDM5K2dhNEh3QkxUN1hidmxiVGM1WEo5NmV2cisxdDZldnFwM2J0M1gvQjJZWkwwM1hmZlNaS2FObTJhWmZ1T0hUc1VFUkVoU1JvN2RxeTJiTm1pZGV2VzZabG5ubEY0ZUxnNmRmcmY5QzFObWpTeGZOMk5HemRxMmJKbGtxVGV2WHRmMlUxYzVPelpzMXEzYnAwMmJOaWdtSmdZejlBcVB6OC90V3paVXUzYnQxZUxGaTA4azdwdTJMQWgyemxhdEdpaGlJZ0l2ZnJxcXpwOCtMQSsrZVFUTFZxMFNHM2F0TkZERHoya1JvMGE1UmlPRitWOUFRQUFYQW5DRkZ4VjFxeFpJMGxxMjdadGppcytWSzVjV1owN2Q5Yml4WXMxYytaTU5XL2VYRGFiTFV1Ym8wZVA2dWFiYjg3MUYvZVVsQlRObmoxYmt2VHNzOC9LNFhESTRYQmthMmV6MlJRUUVLQzVjK2NxUFQxZGpSczNWdTNhdGJQOVZUYVRZUmdxWDc1OGdlNGJ3UCs0M2U0T2NYRnhQMG15bnNnV3NSTW5UbWp2M3IzU0pXSEt6cDA3TldUSUVEbWRUclZxMVVvZE8zWlV4NDRkVmE5ZVBjMmVQVnZqeG8xVGZIeThoZzhmTG45Ly8yem56UXlmYzFzQ09qSXlVbSsrK2FZazZkNTc3ODMzMHNINWNlellNVTJlUE5sei9jYU5HNnREaHc1cTA2Wk5qa04yMHRMU2NxeTFidDI2K3RlLy9xV2xTNWZxNDQ4L1ZrcEtpaUlqSXhVWkdhbkF3RUQxNnRWTHp6MzNYTEhkRndBQXdKVWdUTUZWSXlFaHdkTjkvdEZISDVVa1JVUkVLQ29xU3AwN2QxYUhEaDBrU2IxNjlkS3laY3QwOE9CQmZmMzExMnJUcG8zbkhDNlhTNDgvL3Jna2FmTGt5V3Jac21XMjYvdy9lM2NlSDFWMTkzSDhPMHVTSVVRVEpVRFlKTExJb2lnUm9XcUJDaGEwaWxTd0JSbzJRUlJrTXhRd0FrcXJvQklFWkJFWFJBU1V0VlNVQjdTaVpiVmxDYklFSkNKYmtGMGdKQ0dRaEZudTg4ZVR6TU9ROWNLUUNmSjV2MTU5dldiT1BlZmMzODBmTkg1ejdqbHZ2UEdHVHA4K0xVbDYvZlhYdmIvSVgrN2VlKy9WeUpFanZjZDhmdi85OTBXdWhMRmFyZDZOSndGY3VSMDdkbXdPZEEyRldiMTZ0U1FwTWpKU3RXclZraVN0V0xGQ1k4ZU8xY1dMRjlXd1lVT05IVHZXMjc5WHIxNnFYYnUyUm93WW9hVkxsMnJQbmoyYU1tV0t6cDgvcjRpSUNJV0VoT2pnd1lQYXZYdTNsQnNZWCtyMDZkT2FPSEdpVnE1Y0tlWCt1NVNRa09EWFoyclVxSkhhdG0ycit2WHI2OUZISDFYbHlwVzkxMUpTVXVSME9uWHp6VGNySkNSRXAwNmQwcUpGaXlSSkZTcFV5RGVYM1c1WGJHeXNIbi84Y2Yzem4vL1VzbVhMZFBqd1libGNMcDkvcTB2anVRQUFBSzRHWVFxdUc0c1hMNWJINDFHOWV2VjA1NTEzU3BLU2twSzBkZXRXTld6WTBCdW1WS3hZVVgvNHd4KzBiTmt5elpzM3orY1g5R1BIam5uL3dsdTFhdFY4OTVnM2I1NVdybHlwaUlnSXRXN2RXc3I5aTNCQnExZ3FWYXFrNGNPSHkrVnlxVW1USnFwWnM2YjN0STZDK09PVURnQmxXMTZZMHF4Wk02V2xwWG1QRDg1cmUrdXR0L0t0cW12WnNxVSsrdWdqdmZEQ0N5cGZ2cnh1dnZsbWRlblNKZCt4eWxGUlVZcUtpdkorWDc5K3ZVYU1HT0ZkQ2ZMVVUwOXArUERoQ2dvSzh2dHp2Zm5tbXdXMmYvWFZWNW81YzJhQjF4NTg4TUZDNXdzUEQxZnYzcjNWdTNkdmJkdTJUZWZQbjFlTkdqV2tVbjR1QUFDQUswV1lndXRDZG5hMi92blBmMHFTdW5YcjVtMnZWcTJhSk9uUW9VTSsvYnQwNmFKbHk1WnA1ODZkU2twSzhwNm9rWktTSXVYK2RUUTZPdHBuekpkZmZxbEpreVlwS0NoSWt5Wk4wajMzM0tOWnMyWnB5WklsZXYvOTk3MUhsK1laT1hLa0RoNDhxRHAxNm1qcTFLbEtUMC9YMEtGRFZiOStmWTBhTmFyUTVmZ0FmcjA2ZE9pZzlQUjBOV3ZXVEhhN1hmdjI3WlBWYWxYMzd0M1Z2My8vUWw4dnJGKy92bWJQbnEzeTVjdkxicmZyamp2dTBJWU5HNlRjZjYvcTFxMnIrUGg0bjFDMmFkT211djMyMjVXYW1xcjQrSGkxYk5teTFKNHpUKzNhdGZNZFVWMnBVaVg5NlU5L1VydDI3VW8wUjB4TWpNLzNzdkJjQUFBQXhTRk1nV250MjdkWFptWm12dlp6NTg1SmtzYU9IVnZrY3V5Y25CeEowclp0Mjd5clB5NzF5aXV2NURzUlovbnk1VXBQVDFmbHlwWFZ0bTFiYjN1ZE9uVWtTVC8vL0xOUC8zcjE2aWttSmthaG9hRzY2YWFidk8xNW9Vdk5talY5L3NvNWYvNThUWnc0VVZhclZhKysrcXJ1dWVjZVNkSXR0OXlpa3lkUHFtL2Z2cG81YzZZM3ZEbHk1SWdxVjY2c0NoVXFLQ0VoUVE2SFExYXJWVUZCUVZxNmRLbUNnNFAxNG9zdkZ2T1RCUEJyODloamora1BmL2lEWEM2WGdvS0NOR0hDQk9YazVIaFgweFdsU3BVcTNzL3Z2UE9PbFB0cW90VnFMVENjZFRnY21qWnRtaHdPUjRGN1NKWEUyclZycjJoY25yWnQyNnB0MjdieWVEeHl1OTJ5V0N5RkJrWWxWUmFlQ3dBQW9EaUVLVEF0UFQyOXdEQWxUMkVic0Y3TzVYSXBQVDA5WC92Rmk3NEhjbVJuWit1amp6NlNjbjl4di9RWDlRWU5Ha2k1bThxZU8zZk9KeWpZWG5RQUFDQUFTVVJCVkRoNTU1MTM4djBpbnJmbnloMTMzSkh2bm5hN1hXUEdqUEVKYXpwMDZLQ2ZmdnBKaXhjdjF0cTFheFViRyt0dDkzZzgrdmJiYjNYTExiZElrb0tEZ3pWaHdnUjE3ZHBWR3pkdVZGcGFtaUlpSWtyMHN3RHc2Mkd4V0x4aGJWN2dlNldLZXoyd3JQd2JZN1ZhODIzMmZUWEt5bk1CQUFBVWhqQUZwczJmUDE4ZWp5ZGZlMXhjbkZKU1VqUjA2TkFpTjJKZHRteVpaczJhcGJ2dnZsdXZ2ZlphdnV1WGIxbzRmLzU4L2ZMTEwxTHVVWnlYcWx1M3JzTEN3cFNabWFrTkd6YjRCQ0dYQnlrNU9UbmF2UG4vOXEzODdXOS82M1B0NmFlZjFrTVBQYVNvcUtoOFlWRC8vdjNWc21WTDNYUFBQZm11T1oxT243Wnk1Y29wSVNGQjFhcFZVM0J3c1BkYWNIRHdWZisxRmdBQUFBQlFOdkJmZHpBdDcxV1h5K1VGSFpHUmtkNk5CQXVTdDVJakpDU2t5SDZTZFBic1djMmVQYnZRNnphYlRmZmRkNS9XckZtajlldlgrNFFwbDB0TVRGUjJkcmJzZG51QllVOTBkTFRhdEdtajFOVFVJbXU2Vk42bXQ4VVpNV0tFOXhRaEFBQUFBTUQxalRBRlpWcENRb0xPbno5ZlpKL1dyVnRyelpvMStzOS8vbFBrYVRwNTc5QTNiZHBVWVdGaEJmWnAyYktsTWpJeWlxMXIxYXBWM3Y0bFdYRlN2WHIxWXZzQUFBQUFBSzRQaENud203elRIUHgxaXMzS2xTdjF6VGZmeUdLeHFIbno1bHEvZm4yQi9WcTFhaVdIdzZIMDlIU3RYTG15d05VaVo4K2UxWW9WSzZUYzhLVXdyN3p5U29scWE5cTBxVHdlajE1NzdUV2ZmVm9BQUFBQUFMOSsvdHN0RHNqbGp6QWxKeWZIZXlKUTE2NWRkZGRkZHhYYU56UTAxQnVnZlB6eHh6NUhkT2FaTjIrZWNuSnlGQkVSb2NjZWUreXE2d01BQUFBQTNMaFltUUsveVFzeGlqdDlvaVJDUWtKMDY2MjNLakl5VXM4Ly83dysvZlRUSXZ2SHhzWnE2ZEtsMnI5L3Y5YXVYYXVISG5ySWV5MHpNMU9MRnkrV0pQWG8wYVBBb3phblRKbWl2WHYzbHJpK3ZBMTRodzhmYm1wajJSZGVlRUYxNjlZdGNYOEFBQUFBUU5sRG1BSlQwdFBUbFoyZFhlQzF2Q09OejUwN3A1TW5UeFk2Ujk2eHlrNm5zOUIrRlNwVTBGTlBQYVg3NzcrL3dQRGpjclZxMWRLamp6NnFmLzNyWDVvMmJaclB1Q2xUcHVqOCtmTUtEdy9Ybi8vODV3TEg3OXExUzF1M2JpMzJQcGRMVEV3MDFmL3BwNTgyZlE4QUFBQUFRTmxDbUFKVHhvNGQ2OTE4dFRDdnZ2cHFpZWJhdm4xN29hL2N6SjgvWDEyNmRERlYyNEFCQTdSNjlXcWxwS1JvOHVUSmV1bWxsL1RkZDkvcHM4OCtreVQxN3QxYm9hR2hCWTZkTm0xYWdjYzltN0ZqeHc3Tm16ZFBEUm8wVUs5ZXZRcnNFeElTY2xYM0FBQUFBQUFFSG1FS1RIRTRISVd1Rk1sYnNWTGNTaEtYeXlXWHl5V3IxYXJnNE9BQysxaXQ1cmZ6cVZxMXF2cjE2NmNwVTZib0gvLzRoKzY4ODA1Tm16Wk5rblR2dmZjcU5qYTIwTEVsV2YxU25JeU1ERzNZc0VFMm02M1EwQVlBQUFBQWNQMGpUSUVwWThhTTBaZ3hZL0sxSHp0MlRFODg4WVFrYWNXS0ZZcUlpQ2gwanZuejUydml4SWxxMHFTSjNuLy9mYi9XMTdWclYvMzN2LzlWWW1LaS92NzN2MHVTd3NMQ05HYk1tR0lEbWhNblRzanBkRjd4dmMrY09TUGxoa3FIRHgvT2Q3MUNoUXFFTEFBQUFBRHdLMENZQXI5SVRrNldjZ09Eb29LVWE4MW1zK252Zi8rNy92akhQOHJsY2ttU25udnVPVVZGUlJVN3RtL2Z2anB5NU1oVjE3Qmx5eFk5K2VTVCtkckhqQm5EU1VJQUFBQUE4Q3RBbUFLL1dMMTZ0U1NwY2VQR0FhMGpNek5UbzBlUDlnWXBrdlRSUngrcFljT0dpb21KS1hKczY5YXRsWnFhbXEvOXdvVUxKVnBSY3ZUb1VXM2J0azJWS2xWU3MyYk44bDJ2WHIxNmlaOERBQUFBQUZCMkVhYmdxcDA0Y1VMZmZ2dXRKT24zdi85OXdPbzRjT0NBNHVQamRlREFBVWxTaHc0ZHRHclZLcVducDZ0ZnYzNGFPSENndW5idFd1anJQaSs4OEVLK3RpKy8vRklKQ1FsNjZhV1g5SWMvL0tISSszLzk5ZGZhdG0yYjdyampqaEp2d2dzQUFBQUF1UDZZMytVVHVFUjJkclpHamh3cHA5T3BtalZycW5YcjFxVmVnMkVZV3JKa2licDE2NllEQnc3SVlySG9wWmRlMHNzdnY2eFpzMllwS2lwS0xwZExreWRQVnQrK2ZiMWhTMGxrWjJjckt5dExMNy84c3FaTW1YTFZKLzRBQUFBQUFLNS9oQ200WW1mT25OR0FBUU8wWThjTzJlMTJqUjQ5V25aNzZTNTJTazVPVnE5ZXZmVG1tMjhxSnlkSEZTcFUwUFRwMC9YblAvOVpraFFkSGExNTgrYnBnUWNla0NSdDNicFZuVHQzMXB0dnZxbGZmdm1sMlBrN2R1eW9kOTU1UjJGaFlabzdkNjdpNHVMa2Ryc0w3SnYzYXBIRll2SHJNd0lBQUFBQXloYkNGRnlSYjc3NVJwMDZkZEwyN2R0bHQ5czFidHk0VXQwdjVhZWZmdEpMTDcyazd0MjdhK2ZPblpLa2xpMWJhdUhDaGZyTmIzN2owemNpSWtMVHBrMVRYRnljSEE2SFBCNlBsaXhab2llZWVFS3Z2UEtLTGw2OFdPUzltalZycHBrelo2cGF0V3BxMzc2OVBCNlA5dXpab3hNblRpZ3RMVTJabVpsS1NVblJGMTk4SWVWdXdnc0FBQUFBK1BWaXp4U1k0bmE3TlhEZ1FHM2V2Rm1TVkxGaVJZMGZQMTUzMzMxM3FkV1FrcEtpYnQyNmVWZUlWSzllWGNPR0RWT0xGaTBLSFdPeFdOUzllM2UxYnQxYWI3MzFsdGF2WHkrWHk2VktsU29wT0RpNDJIdldyVnRYUzVjdWxjMW1rOVBwVkk4ZVBYdzJ1YjFVOCtiTnIrTHBBQUFBQUFCbEhXRUtUTEhaYk9yWXNhTVNFeFAxeEJOUEtDNHVUdUhoNGFWYVEzUjB0SHIyN0ttVksxZXFWNjllYXRldVhZbGZMNnBXclpvbVQ1NnM3ZHUzNjV0dnZsSC8vdjFMZkYrYnpTWkpDZ29LVW5SMHRQYnQyK2U5WnJmYlZiVnFWZjNsTDM5UnExYXRydUNwQUFBQUFBRFhDOElVbU5hbVRSczFhdFJJVVZGUlZ6UStOalpXc2JHeHBzYjA2ZE5IZmZyMDhYN3YyN2V2K3ZYcjV3MDR6R3JjdVBGVnZaYTBhTkVpNzJlMzJ5MnIxY3BlS1FBQUFBQndneUJNd1JXNTBpREZYMHA3bzl1aVhHbWdBd0FBQUFDNFByRUJMUUFBQUFBQWdBbGw1OC83QUFBRWdOdmwxdTdrUFlFdUE5ZVozY2w3NUhRNkExMEdBQUFJRU1JVUFNQU5MU3M3VzlQZW02R2dvS0JBbDRMcmlOUHBWTWE1YzRFdUF3QUFCQWhoQ2dEZ2huVFI4QndQdGxpT2V3ekRrWmFSRWVoeXloekRZeWh2VzIxRGtzWEtKdHNGTW95VEZ3M2plS0RMQUFBQXBZc3dCUUJ3UXpxMkoybnZiWFh1N0dhMUIxVUtkQzFsa1NQSXFCMWl0L2F3V2l4QldVNzNSemt1eS81QTExUVd1UzNHNldNL0p1ME5kQjBBQUtCMEVhWUFBRzVVbnAvMy9iQmIwdTVBRjFJV3hjVEVHQmFMNVE3RE1CeWhRYlo5ZTNadFd4dm9tZ0FBQU1vS1R2TUJBQUFBQUFBd29jeXVUT0YwQlFDbGdSTTVBQUFBQUpoVlpzTVVUbGNBVUJvNGtRTUFBQUNBV1dVdVRPRjBCUUFCd1lrY0FBQUFBRXFveklVcG5LNEFJQkE0a1FNQUFBQkFTWlc1TUlYVEZRQUFBQUFBUUZuR2FUNEFBQUFBQUFBbUVLWUFBQUFBQUFDWVFKZ0NBQUFBQUFCZ0FtRUtBQUFBQUFDQUNZUXBBQUFBQUFBQUpoQ21BQUFBQUFBQW1FQ1lBZ0FBQUFBQVlBSmhDZ0FBQUFBQWdBbUVLUUFBQUFBQUFDWVFwZ0FBQUFBQUFKaEFtQUlBQUFBQUFHQUNZUW9BQUFBQUFJQUpoQ2tBQUFBQUFBQW1FS1lBQUFBQUFBQ1lRSmdDQUFBQUFBQmdBbUVLQUFBQUFBQ0FDWVFwQUFBQUFBQUFKaENtQUFBQUFBQUFtRUNZQWdBQUFBQUFZQUpoQ2dBQUFBQUFnQW1FS1FBQUFBQUFBQ1lRcGdBQUFBQUFBSmhBbUFJQUFBQUFBR0FDWVFvQUFBQUFBSUFKaENrQUFBQUFBQUFtRUtZQUFBQUFBQUNZUUpnQ0FBQUFBQUJnQW1FS0FBQUFBQUNBQ1lRcEFBQUFBQUFBSmhDbUFBQUFBQUFBbUdBUGRBRUFBQ0N3bWpScEV1cnhlQ3BlMm1heFdLSU13N0JaTEJhcnBLaVltSmlhbDE1M3U5Mm5rNUtTenBkNnNRQUFBR1VBWVFvQUFEYzRsOHRWejJhemJiMjgzV0t4NUgxY2VNbG5TWkxWYW0wbUtiR1VTZ1FBQUNoVGVNMEhBSUFiM0k0ZE81SU13OWhaMHY2R1lTUnYzNzQ5WC9nQ0FBQndveUJNQVFBQWJzTXdQdFgvQlNVeURDTmZoMHZiRGNOWUxNbGQrbVVDQUFDVURZUXBBQUJBSG8vbkMwa1pKZWlhNFhLNWxwZENTUUFBQUdVV1lRb0FBSkRWYWowcGFjZmxlNk5jS3ZmYURyZmJmYlEwYXdNQUFDaHJDRk1BQUlDMmI5OStUdEpHd3pBOHluMnRKODhsci9jWWtqWW1KeWVmRGx5bEFBQUFnVWVZQWdBQWxMdHZ5aVpKNlVYMHVaRGJ4MW1LZFFFQUFKUTVoQ2tBQUVDUzVIYTdOMGs2bGZmOThzMW9MUlpMaHRQcDNCeW8rZ0FBQU1vS3doUUFBQ0JKU2twS09pSnBhMEg3cHVTMmJkMjFhOWZoUU5RR0FBQlFsaENtQUFBQUw1ZkxOYmV3YXg2UFoyYnBWZ01BQUZBMkVhWUFBQUN2ckt5c1ZZWmhuTHk4M1RDTVUybHBhZjhLVEZVQUFBQmxDMkVLQUFEdzJyZHZYNDdGWWxtUTk2cVB4V0tSeFdLUllSaExVMUpTc2dOZEh3QUFRRmxBbUFJQUFIeTQzZTRGaG1GY3pQdWUrM2xKWUtzQ0FBQW9Pd2hUQUFDQWo2eXNyQU9Ta2k5Wm5mS2p6V2JiRStpNkFBQUF5Z3JDRkFBQTRNUGo4WnlUbEdqOHYwU24wM2ttMEhVQkFBQ1VGWVFwQUFEQXg3NTkrM0lNdzlnazZZS2tpNFpoYkVwS1Nqb2Y2TG9BQUFES0NudWdDd0FBQUdXUHhXTDVyNlJUa3NwN1BKNE5nYTRIQUFBQUFBQ2dyTFBFeE1SOEd4TVRrOGhLVmdBQUFGK1dRQmNBQUVDZ1ZLMTlWNDNnSUh2dFFOZFJWcFd6NnpGRFJraTJ5N0kwMExXVVZUazVPUWVQSDB3K0ZPZzZBQUJBNlNKTUFRRGNrS0tqRzBmTFlYd3NpK29IdXBZeUxPLzNCQ1BBZFpSbFB5dkwwamtsWlh0S29Bc0JBQUNsaHoxVEFBQTNKb2VpWlZGOWl5eFJvZVhLeVdhM0Jib2lYRWZjTHJleXNyUGxNUXlISElxV1JKZ0NBTUFOaERBRkFIQkRDeTFYVG44ZFBFQU5HOVFMZENtNGp1eE8zcU5wNzgxUVdrWkdvRXNCQUFBQlFKZ0NBTGloMmV3Mk5XeFFUL2MzdXkvUXBlQTZFeFFVRk9nU0FBQkFnTEE3UHdBQUFBQUFnQW1FS1FBQUFBQUFBQ1lRcGdBQUFBQUFBSmhBbUFJQUFBQUFBR0FDWVFvQUFBQUFBSUFKaENrQUFBQUFBQUFtRUtZQUFBQUFBQUNZUUpnQ0FBQUFBQUJnQW1FS0FBQUFBQUNBQ1lRcEFBQUFBQUFBSmhDbUFBQUFBQUFBbUVDWUFnQUFBQUFBWUFKaENnQUFBQUFBZ0FtRUtRQUFBQUFBQUNZUXBnQUFBQUFBQUpoQW1BSUFBQUFBQUdBQ1lRb0FBQUFBQUlBSmhDa0FBQUFBQUFBbUVLWUFBQUFBQUFDWVFKZ0NBQUFBQUFCZ0FtRUtBQUFBQUFDQUNZUXBBQUFBQUFBQUpoQ21BQUFBQUFBQW1FQ1lBZ0FBQUFBQVlBSmhDZ0FBQVdBWWhnNGRPdVNYdVRadjNxems1R1JUOTE2MGFKRVdMVm9rbDh0MVJmZGN1M2F0cGs2ZHF1Ky8vOTcwMkxObnoycnExS242OE1NUFN6d21LU2xKQXdjTzFKZ3hZNHJ0TzN6NGNBMGNPRkQ3OSs4M1hSc0FBRUJKRUtZQUFGREs5dS9mcng0OWVxaFRwMDdhdW5YclZjK1hrSkNnYnQyNjZhdXZ2aXBSZjdmYnJmSGp4MnY4K1BHNmVQSGlGZDF6NDhhTm1qTm5qcEtTa2t5UFRVOVAxNXc1YzdSZ3dZSVNqemx6NW93MmJOaWdiZHUyRmR0MzgrYk4yckJoZ3pJeU1relhCZ0FBVUJLRUtRQUFsTEtLRlNzcU5UVlZMcGRMdzRjUDE5R2pSNjk0cnVUa1pLV2twQ2c4UEZ5dFdyWHlhNTBBQUFBb21EM1FCUUFBOEd0aEdJYXlzcktLN1dlMzIvVzN2LzFOQXdZTVVFNU9qaElURTNYTExiY1VPODdoY01ocTlmMDd5SklsU3lSSkhUdDJsTVBodUlycUFRQUFVRktFS1FBQStNbVpNMmYweUNPUG1CcVRsWldsTVdQR2xHZ3ZrSmt6WnlvbUpzYjdQUzB0emZ0cXo2MjMzcXB2di8wMjM1aEdqUnFwY3VYS3BtcTYzSzVkdS9URkYxLzR0RzNmdmwyU3RHYk5HaDA3ZHN6bld0ZXVYUlVkSFgxVjl3UUFBQ2pMQ0ZNQUFMZ0d3c0xDL0RiWCtmUG5aUmhHdnZaUFB2bEVPVGs1a3FTSkV5Y1dPUGFOTjk0b011QXBhaVdOMVdxVncrSFF6ei8vck04Kys2ekFQcnQyN2RLdVhidDgybjcvKzk4VHBnQUFnRjgxd2hRQUFQek1hclZxN2RxMWZwdnZqMy84bzQ0Y09lTFRkdnIwYVMxY3VGQWhJU0hxM0xtekxCWkxnV05yMWFwVjVOeHQyN1l0OU5xOTk5NnJEei84VUwvNXpXLzB3UWNmK0Z4YnNHQ0IxcXhab3c0ZE91alJSeC8xdVhiSEhYZG8xS2hSaFo1V2xCY0FaV1ptcWx1M2J0NzJPWFBtNlBQUFA5ZjA2ZFB6alhFNm5aS2t3NGNQcTNYcjFrVStVMlptcGlRcExpNU9OcHZONTlwdHQ5Mm0yYk5uRnprZUFBQ2dPSVFwQUFCY2h5Wk5tcVRzN0d3TkdEQkF2WHYzdnVKNTZ0V3JsMjhmbGp4NXEwc3FWS2lnQ2hVcStGejc5Ny8vTFVtcVZxMmE3cnZ2dm54ajkrL2ZyNzE3OXhaNWI3ZmI3WE9rczJFWXlzbkpVWHA2ZXFGalBCNVBrZGN2bFJlcVhJb1RmZ0FBZ0Q4UXBnQUE0Q2RXcTFWaFlXSDVWa05jcmFDZ0lBVUZCWGxEangwN2R1anJyNzlXclZxMTFLTkhqNnVhZStiTW1Rb05EZlZUcGY5djBxUkpoUjY3ZlBUb1VRMGVQRmhoWVdHYU0yZU90OTF1dDZ0OSsvWnEwYUpGdmpFYk4yN1V1SEhqVksxYXRRSlhybHdxTmpaV0Z5NWMwSnR2dnFrR0RScjRYQXNLQ3JyaVp3SUFBTWhEbUFJQWdKODRIQTd2aHJBWExsencyN3h6NTg3MStYN0hIWGNvTWpKU0VSRVJldXFwcHdvY2M4ODk5K2kxMTE3eld3MW1WYTFhdGRnK05wc3QzOTRxWVdGaEJlNDNzMi9mUGlrM0RLbFJvMGFSOCthRlRoVXJWaXkyTHdBQXdKVWdUQUVBd0E4dVhMaFE0SW9LZi92KysrOVZybHc1VFo4K1haOS8vcmwyNzk0dHA5TXB0OXV0b0tBZzc2b1lmNzNPY3VyVUtmWHYzejlmKytuVHB5Vko4K2ZQMTVkZmZ1bHpMU0lpUWg5KytLRk9uVHFsUTRjT0ZmZ2FFQUFBd1BXTU1BVUFBRCt3V0N3S0R3ODNOU1p2NzQ4cmVUV29UcDA2R2pac21JWU5HNmJYWDM5ZG4zMzJtVWFQSHEzSEhudk0xRHpGY1RxZE9uRGdRS0hYVTFOVGxacWE2dE4yNjYyMzZ1REJnK3JTcFl0Q1EwUDF4UmRmNk9hYmI3NnFPdkpPTXlwc28xMEFBSURTUkpnQ0FJQWZsQ3RYVHF0V3JUSTFwa21USnBLa0dUTm1xRjY5ZXRlb3NxdFRwVW9WclYrLzN0U1l2Q09WNjlhdHErVGtaSDMwMFVjYU1tU0lYK29oVEFFQUFHVUJZUW9BQU5mSWpoMDc1UEY0Vkx0MjdhdGVtWEdsenB3NW82VkxsL3EwZVR3ZTcrYzVjK1lVdUNuclgvN3lGNVV2WDE0V2k2WEFEV3JmZmZkZExWdTJUTDE3OTFhblRwMEt2SGZ2M3IwMWZQaHdMVnEwU0YyNmRGR1ZLbFd1K0RueVZxYjRlM05mQUFDQUswR1lBZ0RBTlRKOStuUjkvLzMzNnRXcmx3WU9IT2kzZVk4ZlA2N1hYMy9kK3ozdk5aeTVjK2Y2N0YvU3BFa1RQZmpnZzNydnZmY0tuV3ZtekprRnRqL3h4Qk1xWDc1OG9lUE9uVHVuVTZkTzZmejU4NFgyYWRXcWxhS2pvNVdTa3FKWnMyWnAxS2hSUlQ2WHkrWFNtVE5uQ3J4Mjl1eFpLVGNJT25ueVpKSHo1QVV2YVdscEJmWU5DUWxSUkVSRWtYTUFBQUFVaFRBRkFJQnJKQy9rcUZPbmpsL25QWC8rdkRaczJKQ3ZmZS9ldmRxN2Q2LzMrMDAzM2FRSEgzeFFraFFWRlZWc21DRkpJMGVPMUxsejUveFNwOFZpVVpjdVhUUnUzRGd0VzdaTWZmcjBVZVhLbFF2dG41S1NvczZkT3hjNTUvNzkrMHU4TDh5d1ljTUtiUC9kNzM2blNaTW1sV2dPQUFDQWdoQ21BQUJ3RGFTbHBYbFhVOVN2WDcvSXZzOC8vM3l4cjYrODlOSkxldmpoaHlWSjBkSFIrdnJycjczWHBrNmRxaFVyVmlnK1BsNnRXN2YydGpzY0RoMDllbFNTRkJvYTZnMVdpbExRS3orYk5tM1Nva1dMZk5yeVFwc1ZLMVpvNTg2ZFB0ZmF0Mit2aHg1NlNKTFVybDA3dmZQT084ck16TlNDQlFzVUZ4ZFg2TDF0TnBzY0RrZUIxMXd1bDF3dWwydzJXNEUxWGlvN08xdktYWUZTMEI0cklTRWhSWTRIQUFBb0RtRUtBQURYd0xadDJ5UkprWkdSaW82T0xySnYzcWsrUmNuSnlmRit0dHZ0aW95TTlIN1BDd2ZDd3NKODJ2M2wyTEZqV3J0MmJZSFhEaDQ4cUlNSEQvcTBOVzdjMlB1NVhMbHk2dHUzcnh3T1I3RXJTbTYvL1hiOTV6Ly9LZkRhMy83Mk55MWZ2bHhQUGZXVTR1UGppNXpuZDcvN25USXpNelY5K25URnhNUVUyUmNBQU9CS0VLWUFBSEFOckZ5NVVwSlV0V3JWWXZ0Ky9QSEh4YjRLRkJ3YzdMZmF6R3JkdXJVYU5tem8welo3OW15dFhMbFNYYnAwVWZ2MjdYMnVWYXBVeWVkN2JHenNWZGVRbkp3c1hZTlhwZ0FBQUs0RVlRb0FBSDZXbloydGRldldTWktTa3BLMGVmTm1OV3ZXck5EK0lTRWhCWjZZVTFhRWg0Y3JQRHpjcHkxdkE5Zkl5TWhyZnF6ejRjT0h0WC8vZnVteVZTOEFBQUNCWWcxMEFRQUEvTnA4OXRsbnlzN085dTdYa1pDUVVPU3BOOWZDNWZ1WVhNOCsvZlJUS1hldm1OcTFhd2U2SEFBQUFNSVVBQUQ4S1MwdFRSOTg4SUVrcVZldlhtclVxSkZTVWxJVUZ4Zm4zUmoxV2pweDRvUkdqaHlwcDU5K1doY3VYTGptOTd1Y3krWFM4ZVBIaTl3SHh1UHhsSGkrMWF0WGE4bVNKWktrWjU1NXhpODFBZ0FBWEMxZTh3RUF3SSttVFp1bXpNeE1oWWFHcW12WHJucnl5U2ZWbzBjUGJkMjZWVDE2OU5ESWtTUDkvcXJLcVZPbnBOd1ZNV1BHak5IRml4ZGx0OXQ5VnNNWWh1R3ppYTFaMmRuWlNrMU4xWmt6WjVTYW11cmRkSGJWcWxYYXVYT25mdm5sRjUwOGVWS3BxYW1TcEhIanhxbE5tellGem5YNDhHRXA5K2ptb2l4YnRreXZ2LzY2SktsNTgrWWxQaElaQUFEZ1dpTk1BUURBVCtiTm02ZlBQLzlja3RTdlh6OUZSRVFvSWlKQzc3Ly92Z1lPSEtqOSsvZnJtV2VlVWFOR2pkUzhlWFB2dUlNSEQ4b3dETmxzTmxrc0ZsbXRWbG10VmptZFRybGNMam1kVHUvL0tsZXVyTnR2djkwNzl2RGh3MHBNVEpSeVR4Q3kyKzNxMkxHamV2ZnVyWW9WSzNyRGpZTUhENWJvYU9UTDdkaXhRd01IRGl4MGxjdnUzYnQ5dmpzY0RsV3VYRmtWSzFhVXkrWFMxMTkvclZ0dnZWVTMzWFNUUWtKQ2RPTEVDVTJaTWtYS2ZXMm5JS2RQbjliRWlSTzltL2plZSsrOVNraElNRjA3QUFEQXRVS1lBZ0NBSDN6enpUZWFOR21TSk9udXUrOVc1ODZkdmRmcTFxMnJSWXNXYWVyVXFWcStmTGwyN3R6cHM2ZkpxRkdqU255ZmhJUUVuekRGWXJHb2ZQbnljcmxjNnRpeG81NSsrbWxWcmx3NTM3amc0T0FTN1RmeTAwOC95ZTEyZTcvWHJGblRHNlRrSGNsY3BVb1ZWYTVjV1pVclYxWlVWSlNpb3FLOG55L2ZxUGJ0dDkvVzJiTm5DN3hYOSs3ZDg3V3RYNzllSTBhTVVGWldsaVRwcWFlZTB2RGh3eFVVRkZSczdRQUFBS1dGTUFVQUFEK29YcjI2YkRhYndzUEQ5ZWFiYjhwdTkvMi8ySWlJQ0kwZVBWclBQLys4VnE5ZXJWMjdkdW5Zc1dPNmNPR0Njbkp5dkt0UTNHNjNQQjVQdm4xRmJEYWJ5cFVycHhZdFd1Uzc3L1RwMDZYYzBLYW8rdkkyY2kxS216WnR2S3RaOHVyKzVKTlBWTEZpUlZXb1VFRldxN250MXVyWHI2K05HemZLTUF4SlVtaG9xRzYvL1hZOSsreXp1dSsrKy9MMWI5cTBxVzYvL1hhbHBxWXFQajVlTFZ1Mk5IVS9BQUNBMG1BSmRBRUFBQVJDZFAzR0Q4bGlMTGo1cHB1aVBwajJ0dTV2bHY4LzdNMmFPM2V1SG5qZ2dTSkRqUnVaMisyV3pXWXJ0bDlhV3BvY0RvY2NEa2VwMUhVbE5tN2Vvc0ZEWDlLcE0yZlNaS2hEeW8vYjF3UzZKZ0FBVUhwWW1RSUFnSi8wNk5FajBDV1VhU1VKVXBTN0dnWUFBS0FzNDJoa0FBQUFBQUFBRXdoVEFBQUFBQUFBVENCTUFRQUFBQUFBTUlFd0JRQUFBQUFBd0FUQ0ZBQUFBQUFBQUJNSVV3QUFBQUFBQUV3Z1RBRUFBQUFBQURDQk1BVUFBQUFBQU1BRXdoUUFBQUFBQUFBVENGTUFBQUFBQUFCTUlFd0JBQUFBQUFBd2dUQUZBQUFBQUFEQUJNSVVBQUFBQUFBQUV3aFRBQUFBQUFBQVRDQk1BUUFBQUFBQU1JRXdCUUFBQUFBQXdBVENGQUFBQUFBQUFCTUlVd0FBQUFBQUFFd2dUQUVBQUFBQUFEQ0JNQVVBQUFBQUFNQUV3aFFBQUFBQUFBQVRDRk1BQUFBQUFBQk1JRXdCQUFBQUFBQXdnVEFGQUFBQUFBREFCSHVnQ3dBQUlKRGNMcmQySis4SmRCbTR6dXhPM2lPbjB4bm9NZ0FBUUlBUXBnQUFibWhaMmRtYTl0NE1CUVVGQmJvVVhFZWNUcWN5enAwTGRCa0FBQ0JBQ0ZNQUFEZWtpNGJuZUxERmN0eGpHSTYwakl4QWwxUG1HQjVEbHJ6UGtpeFdTekVqYmxDR2NmS2lZUndQZEJrQUFLQjA4WnNSQU9CR1piMnR6cDMxcmZhZ1NvRXVwQ3dLc1h0cWg5aXRQYXdXUzFDVzAvMVJqc3U2UDlBMWxVVnVpK2YwNGVTazNaSThnYTRGQUFDVUhzSVVBQUNRVDB4TXpPOHNGc3RDd3pBY2twN2N0bTNiMmtEWEJBQUFVRlp3bWc4QUFBQUFBSUFKaENrQUFBQUFBQUFtRUtZQUFBQUFBQUNZUUpnQ0FBQUFBQUJnQW1FS0FBQUFBQUNBQ1lRcEFBQUFBQUFBSmhDbUFBQUFBQUFBbUVDWUFnQUFBQUFBWUFKaENnQUFBQUFBZ0FtRUtRQUFBQUFBQUNZUXBnQUFBQUFBQUpoQW1BSUFBQUFBQUdBQ1lRb0FBQUFBQUlBSmhDa0FBQUFBQUFBbUVLWUFBQUFBQUFDWVFKZ0NBQUFBQUFCZ0FtRUtBQUFBQUFDQUNZUXBBQUFBQUFBQUpoQ21BQUFBQUFBQW1FQ1lBZ0FBQUFBQVlBSmhDZ0FBQUFBQWdBbUVLUUFBQUFBQUFDWVFwZ0FBQUFBQUFKaEFtQUlBQUFBQUFHQUNZUW9BQUFBQUFJQUpoQ2tBQUFBQUFBQW1FS1lBQUFBQUFBQ1lRSmdDQUFBQUFBQmdBbUVLQUFBQUFBQ0FDWVFwQUFBQUFBQUFKaENtQUFBQUFBQUFtRUNZQWdBQUFBQUFZQUpoQ2dBQUFBQUFnQW1FS1FBQUFBQUFBQ1lRcGdBQUFBQUFBSmhBbUFJQUFBQUFBR0FDWVFvQUFBQUFBSUFKaENrQUFBQUFBQUFtRUtZQUFBQUFBQUNZUUpnQ0FBQUFBQUJnQW1FS0FBQUFBQUNBQ1lRcEFBQUFBQUFBSmhDbUFBQUFBQUFBbUVDWUFnQUFBQUFBWUFKaENnQUFBQUFBZ0FtRUtRQUFBQUFBQUNZUXBnQUFBQUFBQUpoQW1BSUFBQUFBQUdBQ1lRb0FBQUFBQUlBSmhDa0FBQUFBQUFBbUVLWUFBQUFBQUFDWVFKZ0NBQUFBQUFCZ0FtRUtBQUFBQUFDQUNZUXBBQUFBQUFBQUp0Z0RYUUFBQUFpc0prMmFoSG84bm9xWHRsa3NsaWpETUd3V2k4VXFLU29tSnFibXBkZmRidmZwcEtTazg2VmVMQUFBUUJsQW1BSUF3QTNPNVhMVnM5bHNXeTl2dDFnc2VSOFhYdkpaa21TMVdwdEpTaXlsRWdFQUFNb1VYdk1CQU9BR3QyUEhqaVRETUhhV3RMOWhHTW5idDIvUEY3NEFBQURjS0FoVEFBQ0EyekNNVC9WL1FZa013OGpYNGRKMnd6QVdTM0tYZnBrQUFBQmxBMkVLQUFDUXgrUDVRbEpHQ2JwbXVGeXU1YVZRRWdBQVFKbEZtQUlBQUdTMVdrOUsybkg1M2lpWHlyMjJ3KzEySHkzTjJnQUFBTW9hd2hRQUFLRHQyN2VmazdUUk1BeVBjbC9yeVhQSjZ6MkdwSTNKeWNtbkExY3BBQUJBNEJHbUFBQUE1ZTZic2tsU2VoRjlMdVQyY1paaVhRQUFBR1VPWVFvQUFKQWt1ZDN1VFpKTzVYMi9mRE5haThXUzRYUTZOd2VxUGdBQWdMS0NNQVVBQUVpU2twS1Nqa2phV3RDK0tibHRXM2Z0Mm5VNEVMVUJBQUNVSllRcEFBREF5K1Z5elMzc21zZmptVm02MVFBQUFKUk5oQ2tBQU1Bckt5dHJsV0VZSnk5dk53empWRnBhMnI4Q1V4VUFBRURaUXBnQ0FBQzg5dTNibDJPeFdCYmt2ZXBqc1Zoa3NWaGtHTWJTbEpTVTdFRFhCd0FBVUJZUXBnQUFBQjl1dDN1QllSZ1g4NzduZmw0UzJLb0FBQURLRHNJVUFBRGdJeXNyNjRDazVFdFdwL3hvczluMkJMb3VBQUNBc29Jd0JRQUErUEI0UE9ja0pSci9MOUhwZEo0SkFTNkNQQUFBRksxSlJFRlVkRjBBQUFCbEJXRUtBQUR3c1cvZnZoekRNRFpKdWlEcG9tRVltNUtTa3M0SHVpNEFBSUN5d2g3b0FnQUFRTmxqc1ZqK0srbVVwUEllajJkRG9Pc0JBQUFBQUFBbzZ5d3hNVEhmeHNURUpMS1NGUUFBd0pjbDBBVUFBQkFvVld2ZlZTTTR5RjQ3MEhXVVZlWHNlc3lRRVpMdHNpd05kQzFsVlU1T3pzSGpCNU1QQmJvT0FBQlF1Z2hUQUFBM3BPam94dEZ5R0IvTG92cUJycVVNeS9zOXdRaHdIV1haejhxeWRFNUoyWjRTNkVJQUFFRHBZYzhVQU1DTnlhRm9XVlRmSWt0VWFMbHlzdGx0Z2E0STF4RzN5NjJzN0d4NURNTWhoNklsRWFZQUFIQURJVXdCQU56UVFzdVYwMThIRDFEREJ2VUNYUXF1STd1VDkyamFlek9VbHBFUjZGSUFBRUFBRUtZQUFHNW9OcnRORFJ2VTAvM043Z3QwS2JqT0JBVUZCYm9FQUFBUUlPek9Ed0FBQUFBQVlBSmhDZ0FBQUFBQWdBbUVLUUFBQUFBQUFDWVFwZ0FBQUFBQUFKaEFtQUlBQUFBQUFHQUNZUW9BQUFBQUFJQUpoQ2tBQUFBQUFBQW1FS1lBQUFBQUFBQ1lRSmdDQUFBQUFBQmdBbUVLQUFBQUFBQ0FDWVFwQUFBQUFBQUFKaENtQUFBQUFBQUFtRUNZQWdBQUFBQUFZQUpoQ2dBQUFBQUFnQW1FS1FBQUFBQUFBQ1lRcGdBQUFBQUFBSmhBbUFJQUFBQUFBR0FDWVFvQUFBQUFBSUFKaENrQUFBQUFBQUFtRUtZQUFBQUFBQUNZUUpnQ0FBQUFBQUJnQW1FS0FBQUFBQUNBQ1lRcEFBQUFBQUFBSmhDbUFBQUFBQUFBbUVDWUFnQkFBSGc4SGsyZlBsM1RwMC9YMGFOSHIrbTlmdnJwSjIzYXRFbnA2ZWxYTlU5MmRyYTZkZXVtZ1FNSEZuajloeDkrVU5PbVRkVzllL2VydXMvbDNucnJMZlhzMlZNZmZmU1JYK2NGQUFDNFVvUXBBQUJjUTJscGFUSU1JMSs3eCtQUnJGbXpOR3ZXTEIwL2Z2eWExakI1OG1UMTc5OWZQLzMwMDFYTjQvRjRsSnljckQxNzloUjQvZno1OC9KNFBISTRIRmQxbjB0dDJiSkZDeGN1MVA3OSs5V3VYVHUvelFzQUFIQTE3SUV1QUFDQVg3TStmZnJvN05temV2SEZGL1hJSTQ4RXBJYno1ODlMa2w5RGpxTHVFeG9hNnBmNW5FNm54bzhmTDBtS2lJalF0R25UL0RKdno1NDlWYmR1WGIvTUJRQUFia3lFS1FBQVhDTmJ0bXpSd1lNSEpVa05HellNV0IySER4K1dKRld0V3ZXYTNpY3JLMHZ5WTVneWRlcFU3ZCsvWDVKMC9QaHh2NjNnZWV5eHh3aFRBQURBVlNGTUFRRGdHbG04ZUxFazZjRUhIMVNOR2pYOE9uZGNYRnlKOTFySjJ5dWxYNzkrSlo3LzJXZWZWZHUyYlV0VXg0OC8vaWpsN3FraVNldldyZE9qano1YTRudEowb0lGQzNUTExiZDR2NjlidDA3ejU4L1hMYmZjb3JsejV5b2lJc0xVZkVVSkNRbngyMXdBQU9ER1JKZ0NBTUExc0cvZlBxMWF0VXFTMUxselo3L1AvL1BQUCt2UW9VT214aHc0Y0tERWZUTXlNb3E4N25RNkZSUVVwS3lzTEowN2Q4N2JKa2x1dDl2YlZsS1g3aXZ6d3c4L2FNU0lFWktrc1dQSFh2TVZOUUFBQUdZUnBnQUFjQTI4OTk1NzNvQWdQajYreUw2REJnMlMxVnI4bnZCang0NVZxMWF0SkVuejU4K1h4K01wc3IvSDQxSFhybDExNU1nUlNWSllXSmhtelpxbEtsV3FGSHV2NE9CZzcrZU1qQXlmL1ZheXNyTFVwVXNYeGNiRzZvTVBQdkMyOSt2WFQ0bUppWHJqalRmVXVuWHJZdTlSa0wxNzkycnc0TUhLenM1V2NIQ3doZzRkZWtYelhPNlJSeDdSNk5Hai9USVhBQUFBWVFvQUFINjJkZXRXclZtenh2czk3L1dYd2x5OGVMRkU4N3JkYnUvbmttd20rK21ubitySWtTT3FWcTJhSG5ua0VjMmFOVXVqUm8zU3h4OS9ySExseXBYb25zcmR1K1R6enovM0hrMXNzOW5rY3JtVWtKQ2cyMjY3VFUyYk5wVWs3K3MrZGVyVThSbS9hTkVpN2R1M1Q5MjZkVlBObWpVTHZjL1dyVnMxWk1nUVpXWm1xbHUzYnRxOWU3ZTJidDJxRmkxYUtDZ29xTVQxWHVyY3VYTktURXdzOGM4WUFBQ2dKQWhUQUFEd281eWNITDMyMm11U3BKaVlHRTJZTUtIQWZtNjMyN3NueWNTSkU5VzRjZU5pNXk1ZnZueUo2OWk4ZWJQMzlKdEJnd2FwVmF0V1NreE0xTTZkT3pWeTVFaU5IeisreEFGRlNrcUtETU5RdFdyVnBOeFZLMlBIanRVenp6eWprU05IYXNHQ0Jjck96dGE1YytjVUVoS2k2dFdyKzR4ZnMyYU5ObS9lck1jZmY3eklNT1hvMGFQS3pNelVrMDgrcVNGRGh1alpaNStWSlAzOTczKy80ajFUZHUvZXJlN2R1MS9SV0FBQWdNSVFwZ0FBNEVmdnZ2dXVEaDgrcktDZ0lMMzg4c3VGaGdBdWw4djdPU3dzeks4YnJLNWZ2MTd4OGZGeXVWenEyTEdqMnJScEkwbWFNR0dDdW5mdnJuWHIxdW01NTU3VGhBa1RWS0ZDaFdMbk8zandvQ0lqSTMxTzZXblVxSkdlZWVZWmJkbXlSVzYzVzhuSnlWTHVxVVdYdjdLVXQ1ZEtjUnUvUHZIRUUzSTZuWHJ5eVNkOTJyT3lzbnhlT3pJakp5Zm5pc1lCQUFBVWhUQUZBQUEvK2ZlLy82MVBQLzFVeWowTkp6bzZ1bFR2NzNRNk5XUEdETTJhTlV1U0ZCRVJvU0ZEaG5pdlIwWkc2djMzMzlkenp6Mm5wS1FrZGV2V1RlUEhqMWVqUm8wS25mUE1tVE5LUzB2enZzcHpxVDU5K3VqWlo1K1YxV3JWaGcwYkpFbk5talhMMXkvdkZadVNuS0xUc1dQSGZHM3QyclVyZGh3QUFFQnBJa3dCQU1BUERodzQ0TjNnOUw3NzdsUFBuajFMOWY3ZmZmZWQzbjc3YmFXa3BFaTVxMTNTMHRMVXAwOGZqUjgvM3Z2cVRjMmFOVFZyMWl6RnhjWHB3SUVEZXZycHAvWG9vNCtxZi8vKzN0ZDRMclZueng1SlVvTUdEZkpkczlsc1V1NHJTMnZYcnBVa0JRVUY2WC8rNTMvMHhCTlBlUHZsSGMxODZjb1dTVHA4K0xEbXpKbWpRWU1HS1R3OHZOQm42OUdqUjRuMmlDbklxVk9udEhUcDBpc2FDd0FBVUJqQ0ZBQUEvS0JpeFlxS2lvclN4WXNYbFpDUUlMdjkydjlmck1majBkcTFhelYzN2x3bEpTVkp1U0ZLZkh5OG1qZHZyaEVqUm1qanhvMktqWTNWNk5HajlmdmYvMTZTVksxYU5YMzg4Y2NhTjI2Y3Z2cnFLLzNyWC8vU3Q5OStxdzRkT3FoZHUzYTY2NjY3dlBmWXRXdVhWRWlZa3VmNzc3OVhXbHFheXBjdnIzZmZmVmQydTEweE1USGVBQ2Z2bU9WTGZ5WWVqMGQvKzl2ZnRHUEhEa25TeXkrL1hPajhQWHYydktvOVV3aFRBQUNBdnhHbUFBRGdCemZkZEpQR2pSc241YjVlY3kzOS9QUFBXcjU4dVZhc1dLRVRKMDU0Mjl1MWE2ZkJnd2Q3OTBHWk5tMmFwazZkcWs4KytVVHg4ZkVhTVdLRS92U25QMG01b2N2WXNXUDE4TU1QYStMRWlUcCsvTGorOFk5LzZCLy8rSWVxVmF1bWR1M2E2Ym5ubmxQejVzM2xkcnQxenozM0ZGclB5cFVySlVtUFAvNjRKR254NHNWNjQ0MDM5TzY3N3lvcks4c2JwaVFuSjZ0Rml4YVNwRGx6NW1qSGpoMktpb3JTQ3krOFVPVHp2djMyMjFlOFo4clpzMmV2YUJ3QUFFQlJDRk1BQVBDVHVuWHJTcmw3cCtTOThsTVNnd1lOeXJkcDYrVTZkT2lnWWNPR1NaSzJiTm5pUGFiWVlySG80WWNmVnA4K2ZiejN6Mk8xV2hVWEY2ZHExYXJwMDA4LzlhNU11VlNyVnEzMDRJTVBhc21TSlpvN2Q2NU9uejZ0bzBlUEtpd3NUTXJkVUxaaHc0YVNwQXNYTHVRYmYvcjBhYTFZc1VMS0RWTnV1KzAyZmYzMTE5cTBhWk5XclZybGM3TFA1czJiMWFKRkMyM1lzTUc3Z21YY3VIRzY2YWFiaW56MjVjdVhGM2tkQUFDZ3RCR21BQURnWnk2WFM5bloyU1h1bjdkQmExRXVQWldtUTRjTyt2TExMOVd3WVVQOStjOS9WbzBhTlFvZGw1NmVycVpObTZwOSsvYUZiZ0FiRWhLaXJsMjdxbE9uVGxxOWVyVzJiOSt1di96bEx5V3FmZDY4ZWJwNDhhSWFOR2pnZlQyb2YvLytldlBOTnpWdDJqUjE3ZHJWMjNmVnFsVjY5dGxuTlhMa1NIazhIbzBjT2JMSXpXL3pMRisrWE1IQndmcjY2NjhsU2ZmZmY3K2lvcUpLVk4vaHc0YzFZY0lFM1g3NzdTWHFEd0FBVUJLRUtRQUErTm5ERHorc05XdldGTm5IN1hicjRZY2ZsaVJObmp4WmpSczNMckovVUZDUTk3UEZZdEhNbVRNTDdMZDI3VnA1UEI2MWFORkMyZG5aNnR1M3I0NGZQNjd4NDhmck43LzVUYUh6bnoxN1ZnNkhRMjNidGxYYnRtMkxlY0wvazVHUm9TVkxsa2k1bThUbTZkaXhvL2J2MzYvT25UdnJuWGZla1NTRmg0ZnJ4SWtUMnJObmo0WU5HNlo5Ky9hcFE0Y09SYzcvL3Z2dnl6QU1HWWFoSVVPR2FNT0dEWHJ3d1FmVnVYTm43K2EzeGFsWHI1NCsvUERERXZVRkFBQW9LY0lVQUFEOHpHNjNGL3ZxaXN2bDhuNHVWNjVjc2YwTDRuYTdOV0RBQU4xMzMzM3ExcTJiSEE2SGhnMGJKby9Ib3pWcjFpZ3NMRXozM251dkZpMWFwRUdEQnVubGwxOVcrL2J0ODgzend3OC9hT2pRb2FwZnY3NG1UcHhZNHFCaTh1VEp1bkRoZ21yVnF1VU5ocFQ3ZWxGOGZMek9uajJyNzc3N1RpRWhJUm82ZEtoR2p4NnRlZlBtYWZMa3lTV2EzMmF6S1RzN1c2TkdqZklldmJ4bHl4YTFiTm15eEQralBMLzk3VzgxZnZ4NDArTUFBQUFLUXBnQ0FNQjFLakV4VVltSmlUcHc0SUI2OWVxVjc3ckZZdEdMTDc2bzhQQnd6Wmd4UTYrKytxb3lNakxVclZzM0tUZlFzZHZ0dXVXV1crUjBPclYrL1hwTm1EQkI4Zkh4eGQ1N3c0WU4rdUtMTHlSSmYvM3JYd3NNWUdiUG5pMm4wNm4yN2R2cmtVY2UwYVJKazdSKy9Yb2xKU1hwN3J2dkx2WWVxYW1wR2pKa2lQZEVvY2pJU0xWcDA2WkVQeHRKV3I5K3ZZNGNPU0xsSGdrTkFBRGdMNFFwQUFCY3A3Nzk5bHRKVXR1MmJZdGNUZEszYjE5WkxCWjk4TUVIU2sxTjliYjM2OWRQVVZGUkdqUm9rTWFORzZjQkF3Wm84ZUxGcWxtenBycDA2VkxvZkZsWldSbzdkcXlVdTRIdEF3ODhrSy9QbmoxN3RIRGhRbG10VnZYczJWTjJ1MTJkT25YU2pCa3psSkNRb0RsejVoUjVmUFM2ZGVzMFpzd1lwYWFtNnFHSEhwTEZZdEhxMWF0MTRzUUp4Y2ZIcTJMRmlvV09QWGJzbUNaTm1xUWpSNDRvT0RoWVE0WU1VYWRPblFydER3QUFZRmJSUndjQUFJQXl5ZWwwYXZYcTFaS2tSeDk5dE5qK3p6MzNuTjU5OTEwTkhqelkyM2JvMENGOTlkVlh5c3pNVk5PbVRSVVhGeWRKbWpScGtoSVRFd3VkcTF5NWN1clNwWXNxVktpZ2tTTkg1cnVla1pHaCtQaDR1Vnd1ZGVyVVNkSFIwWktrbmoxN3FuTGx5dnJ4eHgvMTdydnZGamozeVpNbjljb3JyMmpJa0NFNmUvYXNubi8rZVUyWU1FRVRKa3hRWEZ5YzFxMWJwNDRkTzJyR2pCbmVJNWZ6L1BMTEw1b3dZWUk2ZHV5bzFhdFhLeVltUmdzV0xDQklBUUFBZnNmS0ZBQUFya1BMbHk5WFdscWFhdGV1N1QxRnB6aVhia0I3NGNJRnBhYW15bXExZWs4RGlvMk4xZGF0VzdWNjlXckZ4OGRyM3J4NXFsS2xTb0Z6ZGUvZVhlM2J0MWQ0ZUxoUCs0VUxGeFFYRjZmRGh3K3JaczJhR2pSb2tQZWF3K0hRMEtGRDllS0xMMnJPbkRtcVVhT0d6eWEweTVZdDA3aHg0NVNUazZQcTFhdHIxS2hSYXRhc21jODk3Ny8vZmsyZVBGa2ZmUENCNXM2ZHE3WnQyK3FCQng3UTZ0V3I5ZTkvLzFzdWwwczFhOWJVODg4L2IrcVZJQUFBQURNSVV3QUE4QU8zMisxemZIRnhQQjZQOTNOT1RvNHVYTGhRb25GV3ExVWhJU0g2NUpOUEpDbmZxZ3U3M2E2TEZ5OFdlOXh5Y25LeUpLbEdqUm9LRGc3MnRvOGVQVnJKeWNscTJiS2xJaU1qaTV6ajhpQWxMUzFOY1hGeDJybHpwOExDd2pScDBpUTVIQTZmUGc4Ly9MQzZkKyt1VHo3NVJLKy8vcnF5czdPOXh6QTNiOTVjdDkxMm05cTBhYVB1M2J2NzFKV25idDI2bWpoeG9xWlBuNjc1OCtmcml5Kys4Tzdka2pmSDBLRkRkZHR0dHhWWk93QUF3TlVnVEFFQXdBKzJiZHVtdm4zN1h0SFlTMSs5S2M2OTk5NnJ2LzcxcnpwKy9MakN3c0wwK09PUCsxeXZVcVdLRGgwNnBQbno1eXMyTmpaZklHRVlobzRkTzZhcFU2ZEtrcG8yYmVwei9lYWJiOWJDaFF0Tm55NzA0NDgvYXZqdzRUcDI3SmhDUTBQMXpqdnZlRi92dWR6Z3dZTjE2TkFoclZ1M1RoTW1UTkR1M2J2MTRvc3Y2dFpiYjlYQ2hRdnoxWHZreUJFbEp5ZHI1ODZkMnJsenA1S1RrNzJuSVZXdlhsMTMzWFdYTm0vZXJOVFVWSDMzM1hmNjdydnZGQjRlcnJwMTY2cE9uVHFxVWFPR3FsV3JwcWlvS0VWR1JpbzhQRnhXSzI4NkF3Q0FLMGVZQWdDQUg5anQ5bndyTmE2RnNMQXdOV2pRUU45ODg0MzI3Tm1qY3VYSytWeC84c2tuTldYS0ZNMmVQVnV6Wjg4dWNxN3k1Y3Q3VjRWY3lteVFrcEdSb2Y3OSt5czlQVjBWS2xUUWxDbFQxS0JCZzBMN1c2MVd2ZlhXV3hvelpveVdMMSt1ZmZ2MnllMTJTN212Q2ExWXNVTDc5Ky9Ydm4zN3RIZnZYbVZtWm5ySDJtdzJOV3JVU0E4ODhJQmF0R2loZXZYcVNia3JnN1p1M2FydnZ2dE9telp0MHQ2OWU3Vmx5eFp0MmJJbDMvMmZmZlpaOWV2WHo5UXpBZ0FBWElvd0JRQUFQMmpjdUxGV3JWcFZhdmNMQ3d0VGt5Wk44clYzNzk1ZDRlSGhXcjE2dFg3NTVSZWYxNG55aElhR3FsYXRXb3FOalMxMDlZZ1pOOTk4c3hJU0VqUno1a3lOR1ROR2xTcFZLbmFNM1c3WHE2KytxanZ2dkZPUFBQS0lONGdLRFEzVnVuWHI5Ti8vL2xlU0ZCSVNvc2FOR3lzbUprWXhNVEZxM0xpeHlwY3ZuMjgrbTgybXBrMmJlbGZhcEtXbGFkZXVYZnJoaHgrVW5KeXNBd2NPNk5peFk2cFFvWUo2OXV4NTFjOE1BQUJ1YkpaQUZ3QUFRQ0JFMTIvOGtDekdncHR2dWlucWcybHY2LzVtOXdXNkpPUTZmZnEwMXE5ZnJ6dnZ2Rk8xYXRVcThnaGxNM0p5Y25UKy9IbmRldXV0VnozWHhzMWJOSGpvU3pwMTVreWFESFZJK1hIN0dyOFVDUUFBcmd1c1RBRUFBR1ZLWkdTa3p5ay8vaElTRXFLUWtCQy96d3NBQUc0ODdMNEdBQUFBQUFCZ0FtRUtBQUFBQUFDQUNZUXBBQUFBQUFBQUpoQ21BQUFBQUFBQW1FQ1lBZ0FBQUFBQVlBSmhDZ0FBQUFBQWdBbUVLUUFBQUFBQUFDWVFwZ0FBQUFBQUFKaEFtQUlBQUFBQUFHQUNZUW9BQUFBQUFJQUpoQ2tBQUFBQUFBQW1FS1lBQUFBQUFBQ1lRSmdDQUFBQUFBQmdBbUVLQUFBQUFBQ0FDWVFwQUFBQUFBQUFKaENtQUFBQUFBQUFtRUNZQWdBQUFBQUFZQUpoQ2dBQUFBQUFnQW1FS1FBQUFBQUFBQ1lRcGdBQUFBQUFBSmhBbUFJQUFBQUFBR0FDWVFvQUFBQUFBSUFKaENrQUFBQUFBQUFtRUtZQUFBQUFBQUNZWUE5MEFRQUFCSkxiNWRidTVEMkJMZ1BYbWQzSmUrUjBPZ05kQmdBQUNCRENGQURBRFMwck8xdlQzcHVob0tDZ1FKZUM2NGpUNlZUR3VYT0JMZ01BQUFRSVlRb0E0SVowMGZBY0Q3WllqbnNNdzVHV2tSSG9jbkM5TW95VEZ3M2plS0RMQUFBQXBjc1M2QUlBQUFnUTYyMTE3cXh2dFFkVkNuUWh1SDY1TFo3VGg1T1Rka3Z5QkxvV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NBLzIwUERna0FBQUFBQlAxLzdRZ3JBQUFBQUFBQUFBQUFBQUFBQUFBQUFBQUFBQUFBQUFBQUFBQUFBQUFBQUFBQUFBQUFBQUFBQURBRi9FaWs1VlhwWEFVQUFBQUFTVVZPUks1Q1lJST0iLAoJIlRoZW1lIiA6ICIiLAoJIlR5cGUiIDogImZsb3ciLAoJIlVzZXJJZCIgOiAiMjQzMjUwNzk4IiwKCSJWZXJzaW9uIiA6ICI0MiIKfQo="/>
    </extobj>
    <extobj name="ECB019B1-382A-4266-B25C-5B523AA43C14-2">
      <extobjdata type="ECB019B1-382A-4266-B25C-5B523AA43C14" data="ewoJIkZpbGVJZCIgOiAiNDM5NzI3OTA4OTc4IiwKCSJHcm91cElkIiA6ICIxNDA0ODkyMDgiLAoJIkltYWdlIiA6ICJpVkJPUncwS0dnb0FBQUFOU1VoRVVnQUFBemNBQUFNSENBWUFBQUFFcTZsM0FBQUFBWE5TUjBJQXJzNGM2UUFBSUFCSlJFRlVlSnpzM1hkMFZIWCsvL0hYWjBvYUNSMWtSUUVGQlNuSnpJRFlaWXV1SzZ1cnFHdEJWNFYxUFpZVit5cXJxRjkxOVd0anhkV2ZBamJzRlhYRmdxdWdvbUFobVFsQkVJaUtnaWdLUzRlVW1mdjUvWkdaZkZNbUlRbEpiakk4SCtkd21MbmxjOS9qY1laNXphZGNDU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THNucjlzRkFBQ1FNR0RBZ0k0ZE8zYk0zTGh4WTRuYnRRQUEyaCtQMndVQUFKRFFvVU9IRTdwMjdYcXEyM1VBQU5vbndnMEFvSzN3R1dOT2N4em43T0hEaC92ZExnWUEwUDRRYmdBQWJVSW9GTnJQR0RQWUdMTi9XVm5aSUxmckFRQzBQNFFiQUVDYjREak9NWko2RzJPNitIeStvOTJ1QndEUS9oQnVBQUN1R3p4NGNKcWt3Wkw4MWxxZnBDRzV1YmtkM0s0TEFOQytFRzRBQUs2TFJxTWRqVEVqVFFVWlkwWjZ2ZDd1YnRjRkFHaGZDRGNBQU5kbFpHVDBNY1lNdGRZcS9tZXdwQUZ1MXdVQWFGOElOd0FBMTNtOTNuT3EzbnZOR09PUk5OYmRxZ0FBN1EzaEJnRGdOcitrTTVKc1AwbFNtZ3YxQUFEYUtjSU5BTUJWZVhsNXh4aGplbGhySzdkWmEyV002UndJQkU1d3RUZ0FRTHRDdUFFQXVNbDR2ZDZ6NnR4cHpEaEpwblZMQWdDMFY0UWJBSUJyQW9GQVgydHRxR3F2alRFVldTYStMUzhRQ1BSMXIwSUFRSHRDdUFFQXVNYmo4WXlVMUNQeFBCRnNxdWhrclIzWjZvVUJBTm9sd2cwQXdDMStTWWRLNnFqa3dVYVNzb3d4aHd3WU1DQzkxYXNEQUxRN2hCc0FnQ3VHRFJ1V2JhMGRHVi8ydVpwRTBJbmYxSE5rVGs1T056ZHFCQUMwTDRRYkFJQXJqREU5alRIQnF2TnRhb3F2bWhZcUx5L2ZzMVdMQXdDMFM0UWJBSUFyUEI3UEdaSXlHbkJvaHMvbkc5TUtKUUVBMmpuQ0RRREFGZkZsbmhPUGsrMnYrampaVFQ0QkFLaUdjQU1BYUhYRGhnMGJMcW1qdFhhanBJM1cybzNXMnEzV1dzZFcyRnAxbjZRdWVYbDVRYmZyQmdDMGJUNjNDd0FBN0g2aTBlZ2FyOWRiYzZoWndCZ3pTVkthdFhhU3BFalZuU1VsSld0YnQwb0FRSHREdUFFQXRMcWxTNWYrSU9tSHF0c0NnWUNNTVdYV1dvK2tTQ1FTZWQrOUNnRUE3UkhEMGdBQUFBQ2tCTUlOQUFBQWdKUkF1QUVBQUFDUUVnZzNBQUFBQUZJQzRRWUFBQUJBU2lEY0FBQUFBRWdKTEFVTkFHMUFLQlE2WHRMRjF0cVFNU2JIV3J2S0dQT3E0emkzUlNLUmpRMXBJeGdNYmpYR2RHamdKUjhvS0NqNGErTEprQ0ZEdXFhbnA2K3Y3d1RIY2E2T1JDSjNON0I5QUFCYUhUMDNBT0N5VUNoMHI2Ui9TenJHR05QQldydmRHTE9mcEt1Tk1lSGh3NGYvb2lIdEdHT2lrbUk3K1NOVkJKWHZxNTdyOS91N0pSNWJhMHVUL2ZGNFBORm1mdWtBQURRcmVtNEF3RVhCWVBEUGtpNlZWQzdwa29LQ2dvY2x4Zkx5OG43bDlYcGZNTWIwY3h4bmhxVGY3cXl0Z29LQ3p2WHRENFZDUjBqNjBGcTdkc2VPSGZkWDNlZnhlQkxoNXV0d09OeC9WMTlYVTFocjF6aU84NFFrdjdWMmpSczFBQURhTjhJTkFMaGt3SUFCNmNhWVcrSlAvMUZRVURBMXNhK3dzSEJ1TUJpOHdCanprakhtNkx5OHZKR0ZoWVdmN2NMbGpMWDJIbU9NakRFM0xsdTJiRXZWblk3amRQTjRQTExXMWpzMHJTVVZGaFl1bDNTTlc5Y0hBTFIvREVzREFKZGtaMmNmSmVrWDF0clM4dkx5KzJydUQ0ZkRyMWhyVjZ1aVoyWE1ybHdyR0F5ZVpvdzVVTkpYQlFVRmo5VGNiNHhKOU55NEZtNEFBTmhWaEJzQWNJbkg0emxhRmNIaXM2S2lvZzFKRG5HTU1lL0hIeCt5QzVmeUdtTnVVc1hRci8rUlZHdnVUQ0xjR0dNSU53Q0Fkb3R3QXdBdXNkWU9pVDhzcXVld3Bhb0lIZnMzOVRxQlFPQXNTUU90dGNYaGNQaVpaTWM0anRNdFhwT2I0Y1kzWU1DQWp2dnV1MjhuaGswREFKcUNmendBd0QxOVZSRXNWdGQxZ09NNGF6d2VqeVQxYU9JMWpNZmp1VllWQWVtdXFpdW1WVHZvLzNwdUpvUkNvUW1TeXEyMVAwdkt0OVkrR1lsRVhwSmttMWhEZ3dRQ2dhSEdtRW5HbUxSQUlEQXBFb2xFV3ZKNkFJRFVRODhOQUxqRUdKTVQvM3RiWGNkWWE3ZkhIL29HRHg2YzF0aHJoRUtoRXlVTnN0Yit0SG56NWhuMTFOSk4wZzVyN1g4bHJZdHYyOU1ZYzd6SDQza2hGQXE5UFh6NDhLekdYcitST2h0akRyWFdIaTZwM3BYZkFBQklocDRiQUhDSnRUYk5HQ05yYlozM2ovRjRQSlU5TFV1V0xIR2FjSTNMNHRlWVhseGNYRnJYY1FVRkJXZlU2Tlh4NXVYbERmZDRQRmNiWTA2UjlGdHI3UU9TeGpXMkJnQUFXZ3M5TndEZ251MnE2Q0hKcU9lWUxNVnZySmxzSVlENjVPYm1EalhHSEdtdGRieGU3N1NkSEY1enVGcXNzTER3czNBNC9FZEowK00xbkIwTUJwczZQQTRBZ0JaSHVBRUE5NnhUUldqWW82NERqREc5NG4vWE9TK25MajZmNzgveGM5L1B6OC8vcnFsRk9vNXpXN3dkajZRUlRXMEhBSUNXUnJnQkFKY1lZNWJGL3g1VTF6SFcya0h4dnhjM3NubWZ0WFpzL1BGVHUxSm5KQkpaVmVWcGgxMXBDd0NBbGtTNEFRRDNmQlQvKzRnNkZnc3drbjZsaW5EelRtTWFEb1ZDUnhwamVscHJIV1BNNjd0U1pGNWVYdi9LZ3ByUWd3UUFRR3NoM0FDQVMyS3gyQ3VTeW8weFhUSXlNczZ0dVQ4UUNQekJHTE9QcE8yTzQ3elV5T2IvRVAvNzAvejgvSFc3VXFmWDY1Mmtpb0QxVTBGQndjSmRhUXNBZ0paRXVBRUFseFFXRm41dnJaMnFpdUJ3VHlnVUdwUFlGd2dFZm1tTW1SNS9ldWVpUll0K1N1d0xoVUs1d1dEd2kyQXcrRkZ1Ym03UFpHMWJhNCtLUDN5L0liVUVnOEYzUXFIUW1LckxQZWZtNWc0TUJvUFBTam9ydm1saVl4YzFBQUNnTmJFVU5BQzRhTU9HRFZkMzdkbzF6eGh6aEtTWndXQndnNlNvTVNheEt0bnpCUVVGdDlRNGJad3hackFxZWxXT2wvUkkxWjJCUUtDenBNSHhwNTgwc0pSREpSMXRyWTBHZzhHZkpHVWFZN3JFOThXc3RkZUh3K0ZIZCtuRkFnRFF3dWk1QVFBWHJWeTVzc1FZOHh0cjdWWFcya0pqVExva3Y2UjUxdHF6Q3dvS1RwZFU3ZjQyanVPOGFLMWRhNjFkR292Rlp0ZHMweGlUYTR3eDhjZExHbEtITVdhU3RYYSt0WGF6TVdhUGVCMWZXbXNmS2k4dkQ0YkQ0Zjl0eHBjTkFFQ0xNRzRYQUFDQUtvYkI3ZVh4ZUk0MXh2aGlzZGpyaXhZdFl2RUNBQUFBQUFBQUFBQUFBQUFBQUFBQUFHNWh6ZzBBb0UxSXJQSm1yZlVZWXhaSElwR05idGNFQUdoZldDME5BTkJXRFBaNFBBOTZ2ZDZIcXl4bERRQkFnM0dmR3dCQVc1RW1xYWUxTmlQK0dBQ0FSaUhjQUdnVlE0WU02WnFlbnI2K3ZtTWN4N2s2RW9uYzNYcFZBUUNBVkVLNEFkQXEvSDUvdDhSamEyMXBzbU04SGsrMFZZc0NBQUFwaFhBRG9GVjRQSjVFdVBrNkhBNzNkN2tjQUFDUWdsaFFBRUNyY0J5bm15cDZiZW9kbWdZQUFOQlVoQnNBcmNJWWsraTVJZHdBQUlBV1FiZ0IwQ29TNGNZWVE3Z0JBQUF0Z25BRG9GVXdMQTBBQUxRMEZoUUEwQ3FxOU54TUNJVkNFeVNWVzJ0L2xwUnZyWDB5RW9tOEpNbTZYU2NBQUdpL0NEY0FXa1U4M095dzF1NHd4amlTT2hsajlwUzBwekhtK0ZBbzlJNHhaa3grZnY1MnQydUZPNnkxVVVtYkpKWEdId01BMENpRUd3Q3RvcUNnNEF4SnNTcWJ2SGw1ZWNNOUhzL1Z4cGhUSlAzV1d2dUFwSEV1bGdrWEdXTVdPNDR6M2xyck1jWXNkcnNlQUVEN1k5d3VBQUJDb2RBMFNYK3gxanFTZW9YRDRaL2RyZ2tBQUxRL0xDZ0F3SFdPNDl5bWlsL3VQWkpHdUYwUEFBQm9ud2czQUZ3WGlVUldWWG5hd2NWU0FBQkFPOGFjR3dDdXk4dkw2NTk0Ykl4WjdXNDFjTXZBZ1FQM3pNcktPc3B4SEc5SlNjbnNaY3VXclhHN0pnQkErMEs0QWVBNnI5YzdTUldyWmYwVURvY1h1bDBQM0pHWm1ibS9NZVlPajhlVGtabVpPVVlTNFFZQTBDaUVHd0N0SWhnTXZtT01lZEFZTXp1eDNITnVidTVBcjlkN2s2VFQ0NGRObE1RU3dBQUFvRWtJTndCYXk2R1NqcmJXUm9QQjRFK1NNbzB4WGVMN1l0YmE2OFBoOEtNdTF3Z0FBTm94d2cyQVZtR01tV1N0UFVYU0lHUE1IcEpLSlgxcHJYMC9HbzMrdjZLaW9pSzNhd1FBQU8wYjRRWkFxeWdvS1BpbnBIKzZYUWNBQUVoZExBVU5BQUFBSUNVUWJnQUFBQUNrQk1JTkFBQUFnSlJBdUFFQUFBQ1FFZ2czQUFBQUFGSUNxNlVCUUN2YXMvL1F2ZFA4dnY1dTE5RVdiUzkzQm1UNHRkeGpqSDk3dVRPZzM2Q0EyeVcxU2FXbHBkLzg4TTNTYjkydUF5MkR6d2pzcXQzOU04SzRYUUFBN0M1NkQ4amR5Kzh6VDhwb2tOdTF0RTFXeGhxUEpGbGpIZjZKcXROMzJtRk9XN2t5c3RMdFF0QzgrSXhBTTltdFB5UG91UUdBVnVLWDlwTFJJQ1BUS3pNelV6NmYxKzJTMEk3RW9qSHRLQ21SWTIyR010UlBVcHY4NGhJTUJuOWpqSGxYa3F5MUY0YkQ0WWNhZXU2Z1FZTzZaV1ZsWFNIcEQ5YmFmc1lZbjdYMk8wbHZsNWVYMzcxNDhlSlZkVnp6UG1QTUpYVzFhNjNkRmc2SHM1djRrbG9ObnhIWUZlM2xNNktsRVc0QW9KVmxaV2JxcnhlZXIwRHVVTGRMUVR1eVpPa3kvZXZCYWRxNGViUGJwZFRISStudXBwd1lDQVFPODNnOHIwcnFIdCswVVZLNk1XWi9TZnVucGFXZEV3d0cveEFPaHo5TWNucTMrTjlSYTIyczVrNWpURWxUYW5JTG54Rm9pbmJ5R2RIaUNEY0EwTXE4UHE4T0dMaWZEaDQ1d3UxUzBNNzQvWDYzUzZoWEtCUTZSMUtUSmtzWlk4Wlphek1sM2VBNHpxT0ZoWVhmUy9LR1FxRlIxdG9INHlIbmhjR0RCdzlZc21USjFocm5kbE5GRDgzNGNEajhaSE85SHJmd0dZR21hdXVmRWEyQjFkSUFBTUF1R3pac1dCZHI3ZTNXMm0zVzJwK2EwRVN4TVNZUURvZHZpUWNiU1lvVkZCVE1pY1ZpZjVBVU04YnNrWkdSOGZ1YUoxcHJFK0ZtL1M2L0VBRHRHdUVHQUFEc01yL2ZQOWtZczRjeDVuOGsvZHpZODhQaDhQOFdGQlFVSjl1M2FOR2laZGJhWmFvSU1Qc2xPYVNiSkRtT1E3Z0Jkbk9FR3dBQXNFdUN3ZUJSa3M2VnRMaWdvT0NmTFhrdFk4eUdKTnU2U1pMUDV5UGNBTHM1d2cwQUFHaXk0Y09IZDVJMDNWcHJZN0hZaFpLaXpYMk53WU1IOXpMRzdLZUtucHRsTlhiN0pIV1VwUEx5Y3NJTnNKdGpRUUVBQU5CazF0cHB4cGgrMXRwSENnc0xQMnFKYTJSa1pOd3N5Vyt0L1NZY0RzK3B1bS9vMEtHSmxkTGs5L3YvR3dxRkpHbXp0ZlpyWTh4L2pESDM1K2ZuZjljU2RRRm9lK2k1QVFBQVRSSUlCTTZUZEtxa3I3ZHYzMzU1UzF3akZBcmRKT2t2cWhoK2RwVWtwK3ArdjkvZnpWcnJTTnBrcmYxWjBtWkpIWTB4QVVsWE80N3pSU0FRT0xFbGFnUFE5dEJ6QXdBQUdpMFVDdVZLbWhLL3Q4eFp5NVl0MjlLYzdROGZQcnlUdFhhNnBEOWFhNjJrUzhQaDhNeWF4NFhENFMvajMyZHNsWE83VzJ0UHR0YmVZb3pwSWVtNXZMeTgzTUxDd3VYTldTT0F0b2VlR3dBQTBDakJZTENIdGZiZmtySWsvUzBjRGk5bzV2WkhXV3NYeFlQTkJra25oc1BoZjlWeHVGTTEyRWhTZm43K3VvS0NncW1PNHh4dXJkMW1qRW4zZUR5WE5HZU5BTm9td2cwQUFHaXd3WU1IcDBsNnhSalQxMXI3VW5PdmpoWU1CcTgxeHJ3bnFZK2syYkZZTERjY0R2KzdLVzNGZTJwZWlqOGQyWngxQW1pYkdKWUdBQUFhTEMwdDdTaGp6R0dxbUFOelNpZ1VzblVkYTR4NU1CUUtQYWlLZTlEc0U0bEVWdGJYZGlnVXVrdlNWZGJhVWtsWGhNUGgrNXFoNU1SaUFoMmFvUzBBYlJ6aEJnQUFOSmkxZG9la3IzWnl6TjdHbURScjdjL0dtTTN4YmVYMW5STU1CcytRZEZWOHBiUFJrVWprNDJZcWVZQXFndGJxWm1vUFFCdEd1QUdBZXZUcjF5OGpPenQ3bjhXTEZ5K3J1VW9Uc0RzcUxDeWNtd2dNZFFrR2c0c2xEWkYwUTBGQndVTU5hTllZWSs1UVJRaTZvcm1DVFY1ZTNoQkpKOFhiZmFNNTJnVFF0aEZ1QUtBZUhUdDI3Tzd6K1JZRWc4RmlhKzFUSG85bmx1TTQ2eUtSeUJaSk1iZnJBOXFiVUNoMHI3WDJaR1BNL3hZVUZEeWdpaVdsOHlUdExVa2VqK2UxeHJRWERBWXZrTlRIY1p6SEU2dWg5ZXZYTDZOejU4NG5HMlArYVl4SnQ5WXUzN0Jody9RV2Vra0EyaERDRFFEc25NY1lNMXhTeUZwN296RW1FZ3dHUDdYV2Z1TDFlai9OejgvL3dlMENnZllndnJ6enBjWVlXV3V2bGZSQWZGZS94REhXMnAvak4rS3NrK000WFNLUnlNYjQ4ZGtlajJlaTErdWRHQXFGTmxscnR4cGpla3J5eHc5ZkhJdkYvckJ5NWNxU0ZueHBBTm9Jd2cwQTdJUzExaGhqWkl3eGtqcEwrcVcxOWtoanpFWnI3Yy9CWVBBemErMlRaV1ZsSHl4WnNxVE03WHFCdGlvL1AzOVRNQmg4VnRJZmpERVBWdG5WNU1uK0hvL25EVWw1a2c2VnRLY3hwa044K2VoQ1k4eUxtemR2bmxGY1hGemFQSzhBUUZ0SHVBR0FuVERHV0ZXRW5LcWJQWks2U3VwcWpCbG9qUGxUZW5yNjk4Rmc4SGxyN1hNbEpTVmZlenllTFlRZDdJN0M0ZkRRZXZhTnJia3RFb2s4TGVucHBseXJvS0JncWFRL05lVmNBS21IY0FQc3hvWU9IYnEzeitmcjczWWRiVnlQcXArVkZaMDMxWU5PbGNlOWpURlhHR011eXNyS1dpcnA4MEFnc0NnV2kzMVlWRlMwdU5VckJ3QmdOME80QVhaVGdVQ2duekhtTVdQTUlMZHJhY3VzdFI1cmJYb2kxQ1RVZkY3bGVFbktNTVlFcmJVQmo4ZFRhb3haR3dnRWxwWEg3R2ZieW0zeUV3RUF3Qzd6dUYwQUFOZjBNOFlNc3RiMnROYW11VjFNcWtuMDVsaHJQWks4a3JLTU5kNjZRaEVBQU5oMTlOd0EyRzZ0dmNWYUczRzdrRGFxaHpIbWNVbFpWVGNtd2tzZFBUcFJhMjJ4dFhhaHRUWnNyZjE0MGFKRitmMEc1STZRMzR4cjFlb0JBTmlORUc0QVJDdm04MGJlZDd1UXRpZzNOM2N2cjlkYmVmUE9Hb3NLU05YbjRXeXcxczZ5MWo3dk9NNlMwdExTZGN1V0xkdlN1aFVEQUxEN0l0d0F3RTRZWTV3cWo2V0tJT05JMm1TdFhTZXAwRnI3OUxwMTYyYXZYcjE2aDV1MUFnQ3dPeVBjQU1ET0dmMWZzTmtzS1NMcGMwbWZTUG84SEE1LzYzYUJBQUNBY0FNQURXR3R0WXNrdlZSZVh2Nlc0emlyTXpNejErZm41NWU3WFJnQUFQZy9oQnNBcU1mbXpadlg1ZVRrSEZSVVZMUmNrdE9BVXdBQWdFc0lOd0JRajVVclY1WkkrdEx0T2xwS0xCYVR0VlkrSC84Y0FLamZEei84b0EwYk5tamZmZmRWUmthRzIrVUFTWEdmR3dEWWpmMzYxNy9XUVFjZHBJMGJOemJxdkkwYk55b2NEcmRZWFczQm5EbHpkUFBOTjZ1d3NORHRVb0FXOGVhYmIyclRwazBOUG43NjlPbjYwNS8rcEcrL2JmZzB3eGt6WnVpZGQ5NnB0WDNMbGkxNjhza250VzdkdWdhM0JUUUVQOVVCUUlwekhFZFhYWFdWOXQ5L2Y1MTc3cm03L0l1cnRWWi8rOXZmVkZCUW9IUFBQVmNYWEhCQnJaNmZXQ3ltMHRKU2xaU1VhTnUyYmRxNmRhdTJiZHVtTFZ1MmFQUG16ZHEwYVpNMmJ0eW85ZXZYYS8zNjlWcTNicDB1dSt3eUhYend3WlZ0ZlA3NTUzcjIyV2QzcWRhRXd3OC9YQ2VkZEZLanpsbThlTEZlZSswMUJRSUI1ZVhsTlVzZFFGdngwVWNmYWRLa1NlcmR1N2NtVDU2c0FRTUd0TWgxcGsyYnBoRWpSdWkzdi8xdHRlMHZ2dmlpSG5qZ0FhV25wK3ZVVTA5dGRMdGJ0MjdWZGRkZGwzVGZxRkdqZE5KSkorbXBwNTdTMTE5LzNhRDJPblRvb0N1dnZMTFdOYUxSYUtOclM4Ym44eWs3Tzd0WjJrTDlDRGNBa09JKy92aGpmZkRCQi9yKysrOTF3UVVYN0hKN3hoaWRlZWFaV3Jac21SNTc3REV0WExoUWQ5NTVwM3IyN0ttcnI3NWFIMzc0WVpPK0VCUVZGVlVMTnovODhJTSsrT0NEWGE1WGt2YllZNDltYVFkSUZZY2RkcGpPT2VjY3paZ3hRK1BHamRPZGQ5NnBRdzQ1UlAvNjE3LzA5Tk5QSnowbkZvdEprczQrKyt4YU56Qk9PTys4ODNUZWVlZlZlKzJ5c2pJOTk5eHo2dDY5dTA0NDRZUW0xUitOUnZYUlJ4OHBPenRiM2JwMXE5ejIvZmZmYSsrOTk1YmlBZTd6eno5dlVIdWRPbldxRlc0dXYveHlGUlFVTkttK21nNC8vSEJObVRLbFdkcEMvUWczQUpEaVhuenhSVWxxMHEramRSazFhcFNlZWVZWlhYbmxsU29xS3RMWXNXUDEzSFBQS1M4dlQ2dFhyMVpHUm9ZeU16TXIvNVNXbG1yT25EbnExNitmVGozMVZPWGs1Q2duSjBlZE8zZFdwMDZkMUxWcjF6cC8xUnczYnB6R2p4K2ZkTi9mL3ZZM0xWaXdRRTg4OFlUMjJXZWZXdnZuejUrdmE2NjVwdGxlTjVBcWpER2FNR0dDZXZUb29idnZ2bHVYWG5xcGJybmxGZzBmUGx3ZVQvSlpDeDk5OUpHV0wxK3U0NDQ3VGwyN2RrMTZURU42T1dmTm1xWDE2OWRMa2c0OTlOQUcxM3pMTGJkbzlPalIxYmI5NWplLzBRMDMzQ0JKV3JObWpZNC8vdmhxK3pNeU12U2YvL3luOHZsbGwxMm00dUppelpvMXEzTGJSUmRkcE8rKys2N082eDU4OE1GMXprdGNzR0NCZkQ2ZkRqend3S1Q3UzB0TEd4eXcwRHdJTndDUXdwWXVYYXFQUC81WW1abVordVV2ZjZudDI3Y25QVzdIamgxS1MwdXJ0NjJzckt4cXozdjM3cTNISG50TWt5Wk4wdDU3NzYzdTNidnJyTFBPMGxsbm5WWHIzR1hMbG1uT25EbmFhNis5ZE5wcHB6WHFOZmo5L2xyWFR2QjZ2WktrOVBUMHBNZWtwNmMzNmxySnJGaXhJdWwyYTYxdXZmVlc5ZS9mWDJQSGp0M2w2NkQ5R2paczJQQ2lvcUpDU2Mwemhxa1ZuWEhHR2VyWXNhT2VmdnBwRFI4K1hOMjdkNjh6Y0t4ZnYxN0xseS9YcWFlZXFvRURCOWJaNXJ2dnZxdXZ2dnBLaXZlbWZQdnR0NW82ZGFvazZlU1RUOWIwNmRQVnBVdVhhajIxOVZtOWVyV0tpb3AyK2hsVmw2cWZEWW5nbG14YlhmN3hqMytvYytmT1NmZU5HalZLMmRuWmRmYktKQXRjYUZtRUd3QklZUTg4OElBVUR5ODF4N3hYZGR4eHgrMjByZm56NTljS0M1bVptYnJycnJ1YW9kTFdVMTVlcnZMeXVtOVI1UGY3NWZmN0s1Ky8vdnJydXZqaWkydk5WWm84ZWJKZWZmVlYrWHcrSFh6d3dkcDMzMzFidEc2MFhUNmY3NTFRS1BTVDR6aFBlRHllVjh2THkzOHNLaXJhTENubWRtME44ZnZmLzE3SEhudHM1WmY4di83MXIwa1hERW04YjhhTkc1ZDBXTm92ZnZFTHZmVFNTM3J2dmZlcUxTS3dhdFVxVFpzMlRZci80UExUVHovcHR0dHVVOWV1WFRWbzBDRGw1T1RVVzkvTW1UTjNLZHhnOTBLNEFZQVV0V0RCQWkxWXNFQVpHUmwxL3NwYVZGUWt4M0UwZE9qUXlsNlF1aVMrK0N4YnRreXJWcTNTVVVjZEpjV0h0N1FuRHo3NG9HYk1tRkhuL3JQT09rdVhYMzU1NWZNdFc3Wm85dXpaMWVZR1RKczJUYzg4ODR6OGZyL3V1dXN1Z2cyTXBFRWVqK2MyYSszMVBwOHZIQXdHUHpYR2ZHYU1XWkNmbjEvM21DZVh6SjgvWC92dHQ1OTY5T2doMWVpOU9PcW9vM1RBQVFmVU9pY3hMTzNZWTQ5Tk9peXRZOGVPa3FUYmI3OWR0OTkrdXhTZjJ6Tml4QWhObVRKRjgrYk4wMldYWGFZRER6eFFmZnYyMVpsbm5xbng0OGZyNG9zdnJyZldSS2lxK3FNRFVCZkNEUUNrb0IwN2R1aldXMitWNG1QTS8vakhQeVk5YnRTb1VkcTZkYXVtVEpsUzU3Q0xxc3JMeTNYTk5kZG8xYXBWT3VLSUl6Ung0c1RLeWZyUFAvKzg1czZkVzJjOWlxOUFWdCtpQnVlZGQ1NUdqQmhSYmR1Y09YTzBhdFdxcE1jdlc3Wk1rblQvL2Zjbm5iUHowMDgvMWRyV3AwK2ZwT1BqMTYxYnAyKysrU2JwMlBySEgzOWN4eDEzbkR3ZWorNjk5MTQ5OWRSVFNrdEwwK1RKazNYSUlZZlUrWHF3K3pIR1pFazZMUDVuaytNNFA0VkNvWWlrSjZQUjZKeEZpeFp0Yzd2R3BVdVg2dkxMTDFkV1ZwWW1UcHhZcTFmM3hCTlBUSHBlUTRlbDFhVzR1Rmc1T1RtNjZhYWJOSG55WkVuU1UwODlwV2VlZVNicDhkT21UZE9RSVVNcXcwMnlucHRaczJacDl1elpqYTRGcVl0d0F3QXA2SzY3N3RLUFAvNm9ZY09HNmVTVFQyNjJkdjErdjY2ODhrcjl6Ly84aitiTm02ZElKS0xycnJ0T1J4OTl0RmF1WExuVGliTWJOMjZzOTVneFk4YlUybFpjWEt6aTR1SjYyNTAzYjE2RFg4T0pKNTZZOU12YkhYZmNvVysrK2FaV3VPclNwWXUrKys0N3pabzFTd3NYTHRTYmI3NnA3T3hzM1hQUFBiV094VzdMS2o0UHE0Wk94cGhPa3ZhVDlFZXYxN3MyR0F3K2I2MTl3Uml6Zk11V0xadUxpNHRMVzd2WS9mZmZYMmVlZWFabXpKaWhpUk1uYXVIQ2hicnFxcXYwOGNjZjYvcnJyNi96dkowTlM1T2t6cDA3NjQwMzNraTZiOXk0Y1JvelpveFdyVnFsT1hQbWFPVElrZHBycjcwMGE5WXM5ZWpSUXdjZGRGQ3R0aFJmWFUxMWhKdTk5OTVib1ZCSWtyUjkrM2E5L2ZiYkRmN3ZnTlJFdUFHQUZQUFNTeS9wdGRkZVUwWkdoaVpObXJUVHliS05kY1FSUitqNTU1L1h4SWtUbForZnIydXZ2Vlo3N2JXWHJyamlDbDF5eVNWSnp5a3VMdGE0Y2VOMHlDR0g2TTQ3NzZ5ejdXUmZYczQ3N3p5ZGM4NDVTWTl2cnRYU3JMV2FNMmVPc3JPemEvWHFuSDc2NlpvK2ZicHV1ZVVXV1d2VnExY3YzWC8vL1VtdjF6cXMwcnpPZm9GQXdLWHJveVpqakwvS1k2bEcwS255ZUE5anpBUkpGeGhqbHVmazVId1NDQVFXVzJzL0xDd3NqTFJXdlY2dlZ4TW1UTkNnUVlOMHd3MDM2T1dYWDFhblRwMTB6REhITkhyQmo1b3lNelByM1orVmxhV2JicnBKblRwMTB0MTMzNjBPSFRyb3ZmZmUwOENCQSt1OGIwMWlhZmxrdzlMeTh2SXF6MXV6WmczaEJvUWJBRWcxOCtmUGx5UmRmLzMxNnQrL2Y0dGNvMXUzYm5yd3dRZDEvLzMzS3hxTlZvN1ByMnRNZkdJaEFxL1hXK2ZLWnpVNWppUEZ2d3kxOUdwcGtVaEU2OWF0MCtqUm8yc05TK3ZaczZkT09PRUV2Znp5eStyZHU3Y2VmZlJSZGUvZXZVSHR0Z1JqamNuMCtjWjdQS2FmYTBXZ0dtdHRoNW85R1hYMWJNU0RUcHFrb1pLR0dHUEtQQjdQMm1Bd1dGeFM1aXpjNGFqVkpySDk5cmUvVmMrZVBUVmp4Z3lkZDk1NVNrOVAxNFFKRTFya1dtdldyTkhDaFF1MXp6NzdhTzNhdFpvd1lZSTZkT2pRb0hQcjY3blptZkx5OG1xOVVWOS8vYlcyYjk5ZWJkdTMzMzViYnh0WFhYVlZuVXRCNzlpeFEyVmxaWFVPdDAzVWp0WkR1QUdBRkhQenpUZHI1c3laT3ZiWVkxdjBPbDZ2VjVkZWVtbUx0Wis0WVdCclRDSk8zTFR3bUdPT1NicC8vUGp4ZXUyMTE3UjI3VnB0MkxEQjFYQVQ1N2ZXWmpUZ09MUlJpZDRjWTR6UFdwc3RxWmVrRHJLdEYyNGtLUkFJcUdZdjRJMDMzcWgzMzMyMzBXMDkvdmpqMm0rLy9hVDRqeFBMbHkrWDR6ajY3TFBQZFB6eHgydnZ2ZmZXczg4K3EwY2VlVVM5ZS9ldXRqUzk0emhKbDZwUFMwdmJwWEFUaThYMDFsdHYxZHBlYzF1blRwM3FiQ1BaeW5FMXI4RzliTm9Pd2cwQXBKanM3R3lkZmZiWldycDBhWjNEUEJLMmJhdVkyM3pPT2VmVXUxcmFKWmRjb2wvOTZsZk5YbXQ5U2tzcnBpSzBkTGo1NnF1dk5IZnVYUFhyMTArSEhYWlkwbU42OWVxbFAvLzV6NW82ZGFvbVRacWtKNTk4MHJXVm02eXhka2MwTmpYTDcwMStBeDY0NGQvR21HcnJHVmNKTDlVT2pEK1BXV3RYU3ZyVWNaeENTUjlGSXBIUCtnM0lIU0cvYWI1SmNrMVVWbGFta3BJU2pSa3pwa0c5SzU5KytxbFdyRmhSMmR0Nnh4MTM2SzIzM3RLV0xWdWsrRXBzd1dCUXYvdmQ3M1RVVVVlcHBLU2tWaHZ2di8rK2pqamlpRnJiTDd6d3dsMEtOeGtaR2ZyZ2d3L3FQZWI4ODgvWHlwVXI2OXcvYTlhc09zUFBzY2NlcSt6czdNcWJKZGYwNDQ4LzFybWdDMW9HNFFZQVVsUlpXWm5XckZsVDd6R0pMMkNjZXRTMUFBQWdBRWxFUVZScjE2NnQ5N2k2YnY3NXpqdnZhTjk5OTlXQUFRTXF0eVVMQ0lucnpKOC9QK24rYzg4OVYzLzV5MStxYlV1c3NQYjIyMjlyNmRLbFNhK2Z1TUhtUXc4OVZMa01iVlU3ZTEyUzlQREREMHZ4Z0ZmZnN0Ymp4NC9YM0xsenRYejVjdDE1NTUwN0RZNHR4NmdzNWwyeC9JdkkreTRWZ0JxQ3dXQlU4ZUNTWkZHQnF2OWZiYmJXdnVFNHprdXhXS3l3cEtUazUrTGk0czJ0WEc0MWMrZk8xV2VmZmFhVFR6NjUydnRZOGYvbjk5eHp6NTIyOFk5Ly9LUGF6VzYvLy81N09ZNmpYLzNxVjVvM2I1NE9QdmpneXB0Y3JsMjd0dFpRclJkZmZGRjc3TEdIamp6eXlGcHQ1K2JtVnZheVZBMDNpZi9PRFZrdHJhNGhaUW4zMzM5L1pUQkxKak16YzZmRGFldmFYL1ArV0doNWhCc0FTRkY1ZVhuNjVKTlA2ajBtc1JUMDIyKy8zYUNsb0d1YU9uV3FWcTVjcWJ2dnZydXlaNmVrcEVRWkdSa2FObXpZVHMvZnVIR2pWcXhZa1hSYytzYU5HNlg0ZkpoSXBQNjUxblV0UWIwekN4WXMwRHZ2dktPZVBYdHE5T2pSOVI3cjgvbDAwMDAzNmV5eno5Yk1tVFBWcDA4Zi9lbFBmMnJTZFpGeUhNVy9jTmNJeUR1c3Rac2xMYmZXUGlMcHRVZ2tzdEcxS3BQNDZLT1A5T3FycjJydnZmZXVGVzRhMnVOUTg2YTRFeWRPVkk4ZVBlVHorV3I5bUhIS0thY29QejlmaHgxMldHVnZ5T3V2djY0QkF3WlUzbCtxckt4TTc3NzdyZ1lPSEtqKy9mdnJ0ZGRlazJvRWhVVFA3ajc3N0tQYzNGeHBGMVpMYStnOFFMUVBoQnNBUUpPc1diT21jaWhIelNDejU1NTc2cUdISHRwcEczUG56dFZWVjEyVmROKzZkZXVrK0UwMzk5OS8vNlRIWEhmZGRmcmtrMC8wOE1NUEoxMjliTUdDQlhVdWJidHQyN1pxOXdMYTJhKzdralJ3NEVCZGVlV1Z1dU9PT3pSbHloUjE2ZEpGeHgxMzNFN1BROHJ6NlA5NmFIWklpbGhyUHpmR2ZHNk0rYVNnb0tEK3RjeGRsSmhQTW56NDhGcjd4b3dabzV5Y25DUm5WVGR2M3J4cXZhdS8rTVV2Nmp4MnlaSWxsVU03NnhycXRYMzdkazJhTkVsLy9ldGYxYjkvLzhwZTNLbzlONGx0di96bEwzWGhoUmRLdTdoYTJvWU5HL1RtbTI5cTlPalI2dEtsUzVQYVFOdEF1QUVBTk1sSEgzMGt4WU5OUzB5dy8rNjdpcHU2RHh3NHNNNHZRWWxBa3BPVGs3VG5LZG1OUFJQdXVlY2UvZmpqanpyMDBFUHJYRWdnbVZOUFBWV3JWNi9XMDA4L3JSdHZ2RkdscGFYTmVpOGh0RXZXV2x0c3JYMGhGb3ZOOHZsODM1YVdscTVic21SSm0xNHFhOE9HRGZyMjIyK1ZrNU5UdVJCQVZXUEhqbTNRc0xSMTY5YlZPWFMwT1pTV2xzcnY5MWRiMWo0eG42ZStoUUFhWS9YcTFabzhlYkxtejUrdkJ4NTRvRm5haERzSU53Q0FKa2tzT2YzclgvKzYyZHZldG0yYnZ2cnFLM1h1M0xuWnZyeFU5ZUtMTDFiZUMranZmLzk3bzgrLzdMTEx0R2JOR3MyZE8xZTMzWGFiMXF4Wm80c3V1cWplUlJtUXVoekhPYmF3c0RBc3Fid0JoN2NaaVY2YlVDaVU5SDVZVFIyVzFoQXpaODZzdlBsdVNVbUp2djc2YTAyZE9yWHllVlU3ZHV5b05YZGwxYXBWa3FRZVBYbzArdHJKSk9ibjllM2J0MW5hZzNzSU53Q0FSdHUwYVpNV0xGZ2dTUzJ5aXRyOCtmTlZYbDVlZWVmeDV2VEpKNS9vcnJ2dWt1TEQydW9iUWxNWGo4ZWoyMjY3VFRmY2NJUCs4NS8vNlBISEgxZFJVWkh1dSs4K0poRHZoZ29MQ3o5enU0YW1TTHlIUjR3WWtYUi9VNGVsTmNRcnI3eFM3Zm5LbFNzMWJkcTBwTWR1Mzc2OTF2c3FjVythNXJxWFZ5SXMxWngzaFBhSGNBTUFLYWFrcEtUZWxYK1MyYkZqUjRPV1dVMVBUNWZYNjlYczJiTVZqVWJWdjM5LzdiMzMzcnRRYlhMdnZmZWVKT21nZ3c3YXBYWnFybHdWalVaMTg4MDNLeGFMYWZ6NDhmVXVJcENZc0Z6WFhKeTB0RFRkZHR0dDZ0YXRtNTU3N2prTkd6YU1ZSU4yNWVPUFA1WXFWbnRMdXI4bGhxVWRlZVNSbFQwMk81T1dscVpZTEtaVnExYXBYNy9xOTZ3dEtDaFFXbHFhK3ZUcFUrZjVYcTlYWldWbGlrYWpPNTFUbCtqRlN0eVF1S3JmLy83M2RaNVhVbEtpclZ1MzFybU1QRm9mNFFZQVVzeTU1NTViYlZuV2htam9wUGg3NzcxWFJ4eHhoR2JObWlYVk15VHRtMisrYWRBLzlzbEMySW9WSy9UdXUrOHFQVDFkUng5OWRJUHFxc3VpUll1a0txc3MrWHcrM1hubm5YcmhoUmQwMFVVWFZSNlhDSVNKVlpQV3JGbFRlVytNK3I3Y2VUd2VYWDMxMVJvNWNtVFNaV3lCdG1yRmloVmF1M2F0T25Ub1VPZUNIUTFSWGw2dUw3LzhVb3IvK0ZHVjR6aUtScVBWaHJ4NXZkNWFxNU5aYStVNFR0SmhuZE9uVDFkSlNZa0dEeDVjdVczTGxpMHFLaXJTUVFjZFZDMjBiTnEwU2FyeWcwU1BIajNrT0k2bVRwMnFFMDg4TVduQTJiNTl1MmJQbnEyUFAvNVl2WHIxMHNDQkEyc2QwNnRYcjZURDlob2lHbzFXemg5RTZ5RGNBRUNLQ1FRQ0xUTEJYNUs2ZE9taTFhdFg2NHN2dnBEcUdaS1ducDdlcUtXZ3E1b3laWXFzdGZyZDczN1g2UGsyVjF4eGhSWXZYcXlNakF6RllqSDkrT09Qa3FSQmd3WlZIak4wNkZBTkhUcTAybmtGQlFXNjVKSkw1UFA1NVBmN0sxZGkybXV2dmFwOXFhckxxRkdqR2xVbjRMYkVnaUI1ZVhtTm1pdjIxRk5QYWRxMGFjckt5cExmNzlmbXpadTFkZXRXZGUzYVZiMTc5NVlrUGZyb285cTZkYXRXcjE2dGFEUzYwM2t4MWxyOSt0ZS9WbVptcHJwMzc2Nk1qQXo1ZkQ3OThNTVBXcjE2dGZ4K3Y4NDQ0NHpLNDE5NjZTVkZvMUdOR2pWSzY5ZXYxNDAzM3FqczdHd3RXYkpFa2lwN2MwYVBIcTNYWDM5ZGp6NzZxQjU5OU5GNmEvRDVmTHIyMm11VGhwaEhIbm1rU1V2bEsvNUR5ZkhISDkra2M5RTBoQnNBU0RIWFhudHRpMS9qaVNlZTBPelpzNVAreXFsZFhBcDZ4SWdSaWtRaXV1Q0NDM1o2ZnNlT0hkVzFhOWZLWDJUMzNYZGZ6WnMzcjdKSEtDTWpROGNjYzR5T091cW9ldHZaYjcvOVpJeFJOQnBWTkJwVng0NGROV1RJRUYxMTFWVk51aXM2ME5ZTkhEaFFvMGFOMG9FSEh0aW84M0p6YzZ2MVp1Yms1T2dYdi9pRnhvOGZMNy9mTDBrcUtpclNoeDkrS01YdklUTm16Smg2Mi9SNFBCbzZkS2p5OC9QMTg4OC9WMjVQUzB2VHNHSEROR0hDQk8yNzc3NlYyOHZLeXBTVGs2TmpqejFXR1JrWkNvZkRLaWtwa2MvbjArR0hIMTQ1M0hUa3lKR2FQbjI2UHY3NDR6cHZST3p6K2RTelowOGRkZFJSVFpwL2g3YW43bHN4QTBocGdVRGdseDZQNTFscmJZYTFka3drd3QzT1cxcS9BYmtIeTI5ZTZaaVQwK3UrdS85WG80NWdqSFpkaW9xS0d0VHpVNWRZTENiSGNlVHorV3JlVkxIZCt1U3poWnB3NWJYNmVmMzZqYklhcy9KTDNyT3BKbFUrSTc3Ly9udjk5Ny8vbGRmclZkKytmZFdoUTRkR25WOVdWcWJ5OG5KbFpXWFYrZjVkdG14WnRSOVh5c3ZMNWZGNGR1c1ZDL21NcUVEUERRQ2d6ZG1WWUtQNHVQN2QrVXNPNEtiZXZYdFhEbEZyaXJTMHRKMzJtTmJzTlU3MEdnRk5teDBGQUFBQUFHME00UVlBQUFCQVNpRGNBQUFBQUVnSmhCc0FBQUFBS1lGd0F3QUFBQ0FsRUc0QUFBQUFwQVRDRFFBQUFJQ1VRTGdCQUFBQWtCSUlOd0FBQUFCU0F1RUdBQUFBUUVvZzNBQUFBQUJJQ1lRYkFBQUFBQ21CY0FNQUFBQWdKUkJ1QUFBQUFLUUV3ZzBBQUFDQWxFQzRBUUFBQUpBU0NEY0FBQUFBVWdMaEJnQUFBRUJLSU53QUFBQUFTQW1FR3dBQUFBQXBnWEFEQUFBQUlDVVFiZ0FBQUFDa0JNSU5BQUFBZ0pSQXVBRUFBQUNRRWdnM0FBQUFBRktDeiswQ0FHQjNFNHZHdEhUWkNxV25wN3RkQ3RxUkpVdVhxYnk4M08weTBBcjRqRUJUOEJsUmdYQURBSzFzUjBtSkhucjRVYVg1MDl3dUJlMUllWG01Tm0vWjRuWVphQVY4UnFBcCtJeW9RTGdCZ0ZiaUdQdVRSK1lIeDlxTVRadjVCd2hOWk8zYU1tdC9jTHNNTkQ4K0k5QXNkdlBQQ01JTkFMU1M3MVlVcmV3ellNaFpIcCsvcDl1MW9QMktHYnR1elplTFZyaGRCNW9mbnhGb0Rydjdad1RoQmdCYWovTmQ4UmRMSkMxeHV4QUFiUktmRWNBdVlyVTBBQUFBQUNtQmNBTUFBQUFnSlJCdUFBQUFBS1FFd2cwQUFBQ0FsRUM0QVFBQUFKQVNDRGNBQUFBQVVnTGhCZ0FBQUVCS0lOd0FBQUFBU0FtRUd3QUFBQUFwZ1hBREFBQUFJQ1VRYmdBQUFBQ2tCTUlOQUFBQWdKUkF1QUVBQUFDUUVnZzNBQUFBQUZJQzRRWUFBQUJBU2lEY0FBQUFBRWdKaEJzQUFBQUFLWUZ3QXdBQUFDQWxFRzRBQUFBQXBBVENEUUFBQUlDVVFMZ0JBQUFBa0JJSU53QUFBQUJTQXVFR0FBQUFRRW9nM0FBQUFBQklDWVFiQUFBQUFDbUJjQU1BQUFBZ0pSQnVBQUFBQUtRRXdnMEFBQUNBbEVDNEFRQUFBSkFTQ0RjQUFBQUFVZ0xoQmdBQUFFQktJTndBQUFBQVNBbUVHd0FBQUFBcGdYQURBQUFBSUNVUWJnQUFBQUNrQk1JTkFBQUFnSlJBdUFFQUFBQ1FFZ2czQUFBQUFGSUM0UVlBQUFCQVNpRGNBQURhakFFREJuVHMxNjlmWjdmckFBQzBUNFFiQUVDYjBhRkRoeE82ZHUxNnF0dDFBQURhSjhJTkFLQ3Q4QmxqVG5NYzUremh3NGY3M1M0R0FORCtFRzRBQUcxQ0tCVGF6eGd6MkJpemYxbFoyU0MzNndFQXREK0VHd0JBbXhDTHhVWVpZL2FRMU1ucjlSN3BkajBBZ1BhSGNBTUFjTjNnd1lQVGpERWhhMjJtcERSalRDZzNON2VEMjNVQkFOb1h3ZzBBd0hYUmFMU2pNV2FrcVNCanpFaXYxOXZkN2JvQUFPMEw0UVlBNExxTWpJdyt4cGloMWxyRi93eVdOTUR0dWdBQTdRdmhCZ0RnT3EvWGU0NGtiK0s1TWNZamFheTdWUUVBMmh2Q0RRREFiWDVKWnlUWmZwS2tOQmZxQVFDMFU0UWJBSUNyOHZMeWpqSEc5TERXVm02ejFzb1kwemtRQ0p6Z2FuRUFnSGFGY0FNQWNKUHhlcjFuMWJuVG1IR1NUT3VXQkFCb3J3ZzNBQURYQkFLQnZ0YmFVTlZlRzJNcXNreDhXMTRnRU9qclhvVUFnUGFFY0FNQWNJM0g0eGtwcVVmaWVTTFlWTkhKV2p1eTFRc0RBTFJMaEJzQWdGdjhrZzZWMUZISmc0MGtaUmxqRGhrd1lFQjZxMWNIQUdoM0NEY0FBRmNNR3pZczIxbzdNcjdzY3pXSm9CTy9xZWZJbkp5Y2JtN1VDQUJvWHdnM0FBQlhHR042R21PQ1ZlZmIxQlJmTlMxVVhsNitaNnNXQndCb2x3ZzNBQUJYZUR5ZU15UmxOT0RRREovUE42WVZTZ0lBdEhPRUd3Q0FLK0xMUENjZUo5dGY5WEd5bTN3Q0FGQU40UVlBME9xR0RSczJYRkpIYSsxR1NSdmpmMitXdENQK1ozT05mVjN5OHZLQ2J0Y05BR2piZkc0WEFBRFkvVVNqMFRWZXI3Zm1VTE5Ca2k2SXI2TDJMMnZ0bDFWM2xwU1VyRzNkS2dFQTdRM2hCZ0RRNnBZdVhmcURwQitxYmdzRUF2SjRQSHRZYXpPc3RWOUdJcEgzM2FzUUFOQWVNU3dOQUFBQVFFb2czQUFBQUFCSUNZUWJBQUFBQUNtQmNBTUF1NWxnTUhoa01CaGNHUWdFcm5LN0ZnQUFtaE1MQ2dEQWJpSTNOM2VnMSt1OXlSaHp1aVJaYTkwdUNRQ0Faa1c0QVlBVUZ3d0dUemZHbkdtdC9iMUpkcmRNQUFCU0JNUFNBQ0MxK1l3eHowbzZ6aGl6UmRMbGtoYTVYUlFBQUMyQmNBTUFLYzVhdThKYWU0TXhwbjlCUWNHOWx2Rm9BSUFVeGJBMEFFaHQwWEE0dkwvYlJRQUEwQm9JTndDQU5zRnhuR0pKTnhoamZQSEhBQUEwQ3VFR0FOQW1MRnEwYUxXazZXN1hBUUJvdjVoekF3QUFBQ0FsRUc0QUFBQUFwQVNHcFFFQTJvUkFJTkJaMG1CcnJjY1lzemdTaVd4MHV5WUFRUHRDencwQW9LMFk3UEY0SHZSNnZROUxHdXgyTVFDQTlvZWVHd0JBVzVFbXFhZTFOaVArR0FDQVJxSG5CZ0FBQUVCS0lOd0FBQUFBU0FtRUd3QUFBQUFwZ1hBREFBQUFJQ1VRYmdBQUFBQ2tCRlpMQTREZFREZ2NEcmhkQXdBQUxZR2VHd0FBQUFBcGdYQURBQUFBSUNVd0xBMEEwQ1pZYTZPU05ra3FqVDhHQUtCUkNEY0FnRGJCR0xQWWNaengxbHFQTVdheDIvVUFBTm9md2cwQW9FMklSQ0liSmMxM3V3NEFRUHZGbkJzQUFBQUFLWUZ3QXdBQUFDQWxNQ3dOQU5BbURCdzRjTStzckt5akhNZnhscFNVekY2MmJOa2F0MnNDQUxRdmhCc0FiVkl3R0R4UzBoUFcydnNqa2NqZGJ0ZURscGVabWJtL01lWU9qOGVUa1ptWk9VWVM0UVlBMENpRUd3QnRTbTV1N2tDdjEzdVRNZVowVlN3UDdIWkpBQUNnblNEY0FHZ1Rnc0hnNmNhWU02MjF2emZHR0xmckFRQUE3UThMQ2dCb0MzekdtR2NsSFdlTTJTTHBja21MM0M0S0FBQzBMNFFiQUcyQ3RYYUZ0ZllHWTB6L2dvS0NleTNqMFFBQVFDTXhMQTFBV3hBTmg4UDd1MTBFQUFCbzMraTVBUUFBQUpBUzZMa0JBQUJvaC9ic1AzVHZOTCt2djl0MW9QMHFMUzM5NW9kdmxuN3JkaDNOaVhBREFBRFF6dlRyRitnbnYzMU14ZzV5dXhhMFgra1phZC8xNnhjNGJlWEt5RXEzYTJrdWhCc0FBSUQySmtQOVpEVEl5UFRLeXN5VTErZDF1eUswSTdGb1REdEtTdVJZbTZFTTlaTkV1QUVBTkI3RFNPcTJ2ZHdaa09IWGNvOHgvdTNsem9CK2d3SnVsOVFtcGVJd0VqUmRWbWFtcnBod3NRWWZNTkR0VXRDT0xGbTZUUDk2Y0pvMmJ0N3NkaW5Oam5BREFLMkVZU1QxSzNPazhoTHJrYXlzMFMweXJBYWVUQ29PSTBIVGVYMWVEVDVnb0E0ZU9jTHRVdERPK1AxK3QwdG9FWVFiQUdndERDUEJMa2psWVNRQTBGd0lOd0RReWhoR2dxWkk1V0VrQU5CY0NEY0EwTW9ZUm9LbVN0VmhKQURRWExpSkp3QUFBSUNVUUxnQkFBQUFrQklJTndBQUFBQlNBbk51QUxSSjRYQ1ltNXdBQUlCR29lY0dBQUFBUUVvZzNBQUFBQUJJQ1lRYkFBQUFBQ21CY0FNQUFBQWdKUkJ1QUFBQUFLUUV3ZzBBQUFDQWxFQzRBUUFBQUpBU0NEY0FBQUFBVWdMaEJnQUFBRUJLSU53QUFBQUFTQW1FR3dBQUFBQXBnWEFEQUFBQUlDVVFiZ0FnaFYxMzNYVzY3TExMdEhidDJwMGVPMlhLRkkwYU5VcmhjTGhKMTVveVpZcE9PdW1rZXM5LzU1MTNkTkpKSittWlo1NXAwalZhMDV3NWMzVHp6VGVyc0xEUTdWS0FsRk5hV3FxcFU2ZnE3cnZ2YnBIMmQrWDl1M3IxYXIzeHhoc05QdjZOTjk3UXFGR2o5T0tMTHpiNldtaCtQcmNMQUFDMGpQWHIxK3ZkZDk5VjU4NmQxYTFidDUwZVgxSlNvcTFidHlvV2l6WHBlai8vL0xPKy9mWmI3ZGl4bzg1ak5tL2VyRysvL1ZZYk5tellhWHVmZi82NW5uMzIyU2JWVXRQaGh4K3VrMDQ2cVZIbkxGNjhXSys5OXBvQ2dZRHk4dkthcFE0QUZieGVyejc4OEVOOStlV1hHalpzbUk0NTVwaG1iYitwNzEvSGNYVGxsVmVxdUxoWWtVaEVWMTk5dGRMUzB1bzlwNnlzVEZ1M2JsVjVlWGt6Vkk1ZFJiZ0JnQlQxN0xQUEtocU42dVNUVDViUDEvNCs3bi80NFFkOThNRUh6ZExXSG52czBTenRBR2lZOHZMeW5YN1ovL3ZmLzY3eDQ4ZnJ2dnZ1MDhFSEh5eS8zMS92OFptWm1UTEdOSE9sMVhrOEh0MTY2NjJhTUdHQ1pzNmNxZVhMbCt1ZWUrNVI5KzdkdFg3OWVuMzY2YWZxMjdldmhnd1owcUoxb09uYTM3OTJBSUNkMnJScGs1NS8vbmxKVXQrK2ZiVnc0Y0pxKzRjTUdhTE16RXlYcW11Y2NlUEdhZno0OFVuMy9lMXZmOU9DQlF2MHhCTlBhSjk5OXFtMWYvNzgrYnJtbW10YW9Vb0FWVTJlUEZrdnZQQkNnNDc5OGNjZjlldGYvM3FueDgyZVBWdmR1M2R2aHVycXQ5OSsrMm5HakJuNjYxLy9xc1dMRit2Y2M4L1Z5eSsvckcrKytVYVRKazNTcWFlZVNyaHB3d2czQUZDUFlERFlvN1MwTkhQSmtpWGZ1VjFMWS95Ly8vZi90SDM3ZGluKzYyaE56ei8vdkFZTUdKRDAzTTJiTjJ2ZHVuVko5M1h0MmxVZVQrdE8xL1Q3L2NyS3lrcTZ6K3YxU3BMUzA5T1RIcE9lbnI3TDExK3hZa1hTN2RaYTNYcnJyZXJmdjcvR2poMjd5OWRCNnV2WHIxOUdkbmIyUG9zWEwxNG15WEc3bnRZd2V2Um9kZTNhdFZuYWFzb1BNazE5Ly9iczJWTVBQL3l3THJ2c01wMXh4aG1OL2l3cEtTblJraVZMVkZoWUtLL1hxN1BQUHJ2UnRhTnBDRGNBVUE5anpQRDA5UFNYZ3NGZ3ZxUVpzVmhzN3ZidDI5Y1hGeGR2YmF0ZlRyNzQ0Z3U5L1BMTHlzN08xZ1VYWEpBMGpQVG8wYVBPODYrKyt1bzY5ODJlUFZ2cDZlazY1NXh6YXUxTEJLSmJicm1semk4aFc3WnNrU1M5L1BMTGV1Kzk5NnJ0TysyMDAzVGFhYWZWODhxYXg4Nkd5L2o5L21yRFkxNS8vWFZkZlBIRnlzaklxSGJjNU1tVDllcXJyOHJuOCtuZ2d3L1d2dnZ1MjZKMW8vM3IyTEZqZDUvUHR5QVlEQlpiYTUveWVEeXpITWRaRjRsRXRraHEybVMzTnU2TU04N1E0TUdESytmemRlclVTWXAvK2Ivbm5uczBZc1NJYXZOdHZ2cnFLODJZTVVNWFhYU1JldlhxVmF1OTFuei9kdXpZVVk4ODhraURoOEl0WHJ4WTk5eHpqeFl0V3FRdnYveFMwV2hVa3ZUYjMvNjJRZWVqZVJCdUFHQW5qREZlU1VkYWE0L3crWHpyTzNic21COEtoVDV4SE9jenI5ZjdXWDUrZnZKdURoZHMzNzVkZi8vNzMyV3QxY1NKRS9XNzMvMnUwVzBjZmZUUmRjNVJ5Y3pNVkhsNXVWYXRXbFZybitOVVpMMmZmLzY1emk4RDFsb3BQbXd1RVhRU05tM2ExT2hhbStMQkJ4L1VqQmt6NnR4LzFsbG42ZkxMTDY5OHZtWExGczJlUFZzbm5IQkM1YlpwMDZicG1XZWVrZC92MTExMzNVV3dRV040akRIREpZV3N0VGNhWXlMQllQQlRhKzBuWHEvMzAvejgvQi9jTHJBbHpKZ3hRNDgrK3FnbVQ1NnNVYU5HYWNXS0ZabzVjNmFpMFdpMWNQUEJCeC9valRmZTBIdnZ2YWZ6eno5Zlo1NTVaclU1Z3kzOS92M3l5eSsxZnYxNkhYYllZVkxGNTMrdGF6aU9veFVyVmlnY0RxdXdzTEJ5Mk8vczJiTWxTV2xwYVJvMmJKaDY5ZXFsdDk1NmE2Y0xFcUI1RVc0QW9JRk14Yjl5M1NVZEkrazNIbzlubzdYMjUxQW9ORGNhalQ2M2FOR2lqOTN1emZudmYvK3I5ZXZYYTU5OTl0SGl4WXUxZVBIaVdzZU1IeisrM21FaXA1eHlpa2FNR0ZIdmRUNy8vUE5hMjY2NzdqcTkvZmJiK3RlLy9xVkREamtrNlhrdnZmU1Nici85ZG8wZlAxNFhYM3h4ZzE3VG5EbHprb1lwU1ZxMmJKa2s2Zjc3NzFkMmRuYXQvVC85OUZPdGJYMzY5TkdCQng1WWEvdTZkZXYwelRmZkpGMTg0ZkhISDlkeHh4MG5qOGVqZSsrOVYwODk5WlRTMHRJMGVmTGtPbDhya0l5MTFoaGpFcDhublNYOTBscDdwREZtbzdYMjUyQXcrSm0xOXNteXNySVBsaXhaVXVaMnZjMGhHbzNxMy8vK3Q3cDI3VnI1ZmtrTUY5dHZ2LzJxSFR0Ky9IZ05HelpNTjkxMGsrNjc3ejV0Mzc1ZEYxNTRZZVgrbG56L2xwV1Y2Y29ycjlUYXRXdDEvdm5uNnk5LytZdU1NZHF4WTRlS2lvcjBuLy84UjRwL2pyMzAwa3VWNXlXR3h4NTExRkU2ODh3emRjQUJCOGp2OTZ1d3NGQnZ2ZlZXc3d5UFJjTVJiZ0NnZnJieWdiVlZ0L3NrZFRmR2RKZDBnTS9udXlnWURINGJIMnJ5UW1scDZlcU1qSXd0K2ZuNXJibzI2RjU3N2FYYmJydE5QLzMwazI2Ly9mYWt4NXh5eWluTk5nYStOUlFYRjZ1NHVMamVZK2JObTlmZzlrNDg4VVNkZU9LSnRiYmZjY2NkK3VhYmIyb0Z1eTVkdXVpNzc3N1RyRm16dEhEaFFyMzU1cHZLenM2dUhGSUROSVl4eHFyMjU0bEhVbGRKWFkweEE0MHhmMHBQVC84K0dBdytiNjE5cnFTazVHdVB4N09sdllhZER6LzhVT3ZXcmRQNTU1K3ZhRFNxYURTcUw3LzhVb3FIbGNUOHdJUWhRNGJvc2NjZTAzUFBQYWV4WThkcSsvYnQ4bmc4eXNqSWFOSDNiMXBhbXE2Ly9ucGRjODAxbWpwMXFwWXNXYUpiYnJsRjgrYk4wNlJKazZxMWVlaWhoeW9RQ0NnUUNDZ1NpZWdmLy9pSDh2THlsSnViVzNsY1lsZ2E0YVoxRVc0QVZCTUlCSDdwZGcxdGllTTRlY1lZVDJKb1F1THZxbDlNcWp6dTYvRjRycE4wZVZwYTJtSnI3Y0pnTUxpNHJLenNneSsrK0dKcGE5Vjg1SkZIVmc3MW1ESmxpbDU1NVJVOThjUVQ2dE9uanlTcFE0Y09MWHI5NWw2cTlienp6a3M2eDBmTnVGcWF0Vlp6NXN4UmRuWjJyVitGVHovOWRFMmZQbDIzM0hLTHJMWHExYXVYN3IvLy9xVFhhdzNXc1VyMzJRR0JRTUNWNjJPWDlLajYzV3NubnllOWpURlhHR011eXNyS1dpcnA4MEFnc0NnV2kzMVlWRlJVdTB1MkRYdi8vZmVsK0hDd2FkT21WZHQzNmFXWDFudHVZZ2phdnZ2dVcrZE5NcHZ6L1h2SUlZZm9zY2NlMHlXWFhLSjU4K2JwNG9zdjFxMjMzcXF4WThjcU16TlRqenp5aUk0Kyt1aHFueXQxM1NnME1UZW81bndmdEN6Q0RZQnFQQjVQODl3MU1VVllhOU1rMWJyNXdrN21sR1FaWTBaYWF3ODB4cFNrcGFYOUdBd0dpMHJMWTR1M3g5U3lOMm1JOC9sOHlzbkpxWnhZMjZGREIrWGs1TFRvTlJOZnlwb3IzQ1RtOEdSbFpiWDRhbW1SU0VUcjFxM1Q2TkdqYXcxcjZkbXpwMDQ0NFFTOS9QTEw2dDI3dHg1OTlORldXWTYyTGtaU2h0L3pKNC9Iczc5clJhQkpyTFVlYTIxNnpmZklUajVQTW93eFFXdHR3T1B4bEJwajFnWUNnV1hsTVJ2ZVZtNWI1Zk5rVngxODhNSHEwcVZMNWZOdDI3YnBsVmRlVWUvZXZmV3JYLzJxUVczVTk1NXI3dmR2Ly83OTlkaGpqK21LSzY3UXBaZGVxajU5K3VqS0s2L1V3b1VMOWNnamp6U29Yc1VYVFZBVFYzbEQweEZ1QUZSanJlVW5wdXFhOURsWjVkZFhuekdtbytNNGV4amorVXEyYlN5dzl0MTMzMm5wMHFXMXRpaytuMmI5K3ZYVjl2WHAwMGNISEhCQXZXMG1Ybk56TFJVZGkxVXNIcld6Ry9zMWg2ZWZmbHFTNnJ4TCt2ang0L1hhYTY5cDdkcTEyckJoZzZ2aFJoVXowdjI4VjlzZlk0eXh0dkdCcE1iblNiYWtYc2JZek5iNXFhUnB5c29xUnRENS9YNk5IajFhbzBlUHJ0ejM2cXV2NnBWWFh0RkpKNTJrYzg4OWQ1ZXYxUkx2M3ozMjJFTlBQZlhVTHYxWWsxZzBoWERUdWdnM0FLcXgxbzV4dTRZMjVrQmp6SzJTcWkxM1UxY3ZoVEZHMXRweVNWOWFheGRhYXhmRllyRjVSVVZGa1g2REFrZkltRE5hc3RqMTY5ZnI0WWNmcm54ZVVGQWdTWHI0NFljcmUyNUNvWkQrKzkvLzZzNDc3MHphUnRYekUwNDk5ZFRLY0xOKy9YcVZscGJXT2lZeGJuN0RoZzFhczJaTjByWVRLNkp0M2JvMTZUSGR1bldyN0cxSlhLT2x3ODFYWDMybHVYUG5xbCsvZnBVckpOWFVxMWN2L2ZuUGY5YlVxVk0xYWRJa1BmbmtrNjBTdXBLeGtyYVh4UjdOOG52cW40aUVOc2RhMjhNWTg3aWtyQnJicFRvK1R5UkZyYlhGMXRxRmp1T0VyYlVmTDFxMEtML2ZvTURoTWpxMVZWOUFJeVErRDVJTmczMzc3YmVsK0E4cVU2ZE9yYmVkZmZiWnA5NmxsRnZ5L2J1cnZkQmZmUEdGRlA5Y1Erc2gzQUNvSmhLSnZPOTJEVzFKS0JUS3FMb0NXbzFKd0ZMMWZ3RFhPWTR6TXhhTHZSaU5SbGY0L2Y1MWl4WXQydGFLNVdyTGxpMUo3d3IrMWx0dlZYdmVyMTgvU2RMWXNXTVZDb1hxYkcvMTZ0VzY5OTU3cTIyNzdycnJrcTZXbGpCeDRzU2Qxdm5DQ3k4a3JYUHExS21WazN4MzdOZ2h4YjhJMWV4bFNraXN1UFRRUXcrcFk4ZU90ZmF2WGJ0MnA3VWt3dHc1NTV4VDc1ZVo4ZVBIYSs3Y3VWcStmTG51dlBOT1hYZmRkVHR0dXlVWWoxRlp6QlF2LzRMM2FudVRtNXU3bDlmcmJkRG5pYlYyZzdWMmxyWDJlY2R4bHBTV2xxNWJ0bXpabGxvbnRGR0o5Mi9OY0xOMjdkcktwWk5mZSsyMW5iYnptOS84cHQ1dzA1THYzeWxUcHVqNDQ0OXYxRkx2OTk5L3Z6NzU1Qk9scDZjckVvbElrb1lORzliZzg3SHJDRGNBVUk5WUxHYTlYbS9sTjVBcVh6d2NZOHcyU1Z1c3RmTmpzZGdUaXhZdGV0UHRHL0gxN2R1MzJzcGgvL3puUHpWejVrdzk5ZFJUNnR1M3J4VHZDWms1YzZZay9YLzI3ank4cVNwL0EvaDdidEkwTGJTVXBRV2hZSVV5UUdsTGt5cWI0ampJc0NnT2pndHVMSW82S291RGdvNGpvNGdPaUt3QzhrTnhCUkVRSEJCR1FZR3h6REJTUk51a3BaU3RySzFsSzFzWHVpZ0paR2tBQUNBQVNVUkJWQ1gzL1A1b2trbmJkS05wMDRUMzh6dyswOXpjblBzTnp6VE5lOCtHSGoxNlZEdm1QVDA5dmRLeG1KZ1lsM05aa3BLU1VGaFlpRDU5K2xSNVYvVE1tVFBJeU1oQWVIaTRJMkE1czIvd0J3Q1hMMThHYk9QcDdWOFNxcEtRa0ZEdDgxVkpURXpFdG0zYkVCWVdWbTdZakN0YXJSWnZ2UEVHeG93Wmd3MGJOcUJUcDA0WVBYcjBOVjJYcmw5Q0NOWHBaNkRzODBRQ3VBb2dWMVhWZlZMS2o4K2ZQLzlOZG5iMjFlcmFhc3Jzdjc4Vnc4MktGU3NncFVUYnRtMXg2ZElsckZpeEF1SGg0WlZlLy9ycnJ5TWhJYUhhdmJvYTh2YzNLeXNMSzFldXhNcVZLN0Y5Ky9aYXJ6QVpFaExpdUJtajErdnh6RFBQNElZYmJxalZhOGs5R0c3cXlHQXczQWxnSElEK0FHNFFRaFJKS1g4RnNObGtNdFY4dTdJYVBYdjJiS1hUNlk0SUlWcEpLZmViVEtib0dsNGluSmVwSlNMMzAyZzB3dmE3Wmg5eWRoRkFraEJpcjZxcVB3c2hmamFaVEs3SFlIbUFFS0xjeEhyNzVOcUFnSUFxSitYWGxhdjlhVlJWeFlBQkE2RFg2L0hlZSs5Vk9lL0d2cy9ONE1HRGE5em5KaWVuYkcvVVpjdVc0VGUvY1QxM2Z0cTBhZGl6Wnc4Kyt1Z2psNnNmSlNZbTRtOS8rNXZMMXhZVUZPRHZmLzg3QUdEeTVNa3U5OGVvcUZ1M2JwZ3laUXJlZWVjZExGcTBDQzFidHNUdzRjTnJmQjJSRThmbkNZQmNBR1lBUHdQWUk2WDgyV3cybi9SMGdlNXc0c1FKM0hERERlVityODZkTzRjTkd6YWdiZHUyK09pamp6Qnk1RWpNblRzWHk1Y3ZMOWZyc25uelppUWtKR0RBZ0FFWU9IQ2d5L1liK3ZmWGZwT29SNDhlZFZvNmYrVElrUmc2ZENpRUVHalZxaFdFRUhqbm5YZlF2WHQzREIwNmxNdENOd0tHbTFvS0R3OFBDQTBOL1VnSThXaUZwL3lGRUMwQXRBVlFyM0NqMCtsbUNTRnEvQTB5R0F3UEF4Z3RoRGlSbkp4Y3UxM3dpT2lhU1NsVkFIdFVWVjBuaEVnUVF2eWFuSng4Q1lERjA3VTFGY2VPSFVOUlVSRjY5dXpwdGdVRjdBc2NkT3ZXclZ5UGpqUDdGNXFnb0NDRWhJUlVldDdWeHA1MjgrZlB4NWt6WjlDL2YvOHFKeUs3TW5Ma1NHUmxaZUdMTDc3QTlPblRVVnhjalB2dnY3L1dyNmZybnBSU3BnTDRxclMwZEt1cXFsa0JBUUVYR250UHJJYVVrNU9Edkx3OFZGeXUvUDMzMzBkcGFTbkdqQm1EOXUzYjQrbW5uOGJpeFl1eGRPbFNUSnc0RWJBdGFQTE9PKzhnTEN3TWI3enhScFhYYU9qZjN4OS8vQkVBYXIyYW01MU9wNnUwWU1IV3JWdXhidDA2OU8vZkg2R2hvWFZxaitxTzRhWVc0dVBqL1ZSVjNTQ0VHQXJBS3FYOFA2dlYrbGx4Y2ZHUjVzMmJOMWRWOVRkU3l0L1g1eHF4c2JGR0FFL1g4dlJYaEJDOXBKUzFYNCtRaUs2SnhXSkpWaFNscDlsc1B1SHBXdHpGdmdxWk8zMzc3YmNBZ1A3OSs3dWx2WUtDQWh3OWVoUWhJU0ZWQnB2NldMOStQVFp0MmdTOVhvOVhYMzIxenErZlBIa3lzck96a1pDUWdGbXpaaUU3T3h2ang0OTNMRTFONU1yRml4Y3Z0RzdkdW45S1Nzb0I1N2w4dm1iZnZuMEFnSzVkdXpxTzdkcTFDNXMyYlVKRVJBUWVlT0FCQU1Db1VhT1FscGFHVHovOUZGYXJGWEZ4Y1hqbGxWZWcwK213Wk1rU2x6Y3MwQWkvdndVRkJVaEtTZ0lBM0hGSC9iWit5ODNOUlY1ZUhwbzFhOFpnMDBnWWJtcEJTdm15TGRpVVNpbEhtRXdtNTVtNWVRQk9BL2ozdGJZZkh4L3ZKNlg4RUlBaXBjd1FRa1M2cDNMeUpkMjZkUXZ5OS9kdm41cWFlc2pUdFZ4UFVsTlR6M202Qm5mSnlzckMwcVZMY2R0dHQ3bTEzWk1uVDJMZHVuVlFGTVZ0UTdSMjc5Nk4wdExTYWhjN3VGWjc5dXpCM0xsekFkdXd0bXNaRDY4b0NtYk5tb1hYWDM4ZDI3ZHZ4MmVmZllaOSsvWmg4ZUxGM0xDUHFwU1ZsVldZbFpXMTM5TjFOTFFmZnZnQkFOQzdkMitnTE5SaHhvd1pBSUJYWDMzVjBlT3EwV2d3YTlZc1BQLzg4NDc1TFczYXRNR1NKVXNRR2VuNnExQmovUDcrNjEvL1FrbEpDY0xEdzlHbFN4Zkg2K3hENXl5VzhwMzI5OXh6RDRZTUdRS2RUbGZwV2hrWlpZc2FkdS9ldmM1MTByVmh1S2xCZEhSMFd3RDJKVFhlcUJCczNNSnF0VTVYRk1Vb3Bkd0NZQitBbXJmVHB1dU9UcWZyb05GbzFoZ01oaFpTeXBXcXFuNGxwZnhWcDlQbCs5SndCbkt2M054Y3dEWnZaZWZPbmJCWUxPWENqYXFxbGY1UU82dXBseWNyS3d2ang0OUhVVkVSSG5yb0laY1RnNi9Gdi83MUx3QkFuejU5NnRWT3hkV29MQllMM256elRWaXRWb3diTjY3YVNjajJwYWlyR3N1djAra3dhOVlzdEc3ZEdtdlhya1ZNVEF5RERWMzNpb3FLOEovLy9BZXRXN2RHZkh3ODh2UHo4Znp6eitQU3BVdDQvUEhIRVI4Zjd6aFhTb2xkdTNhVlc5V3d1TGdZaVltSkNBOFByelJQc0xGK2Y3ZHMyUUs0R0pKbUgyNlduSnlNNHVKaXgvd1pyVmJyOGpwU1NtemN1QkVBS2czUm80YkRjRk1EblU0M0JrQ0FsUEppWGw3ZWZIZTNIeHNiMjBkUmxGY0E1RnF0MW1jMEdzM0VLczZMMW1xMSs1eVBDU0dlTkJxTlQ5b2ZGeFVWQmFXbnArZTd1MFpxV29RUU53a2hwZ3NoWGhKQ3BLcXF1dGRnTUNSYUxKYTkrL2J0Tzg1RkpzanUzTGx6am5Iak8zYnNRRVJFQkNaTm1vUTc3cmdEWDM3NUpRQmcrdlRwbUQ1OStqVzF2MjNiTnN5Y09SUDUrZm5vM2JzM1huamhCYmZVZmVUSUVlellzUVArL3Y3NC9lL3JOZUlYcWFtcGdHM1ZJdGkraE15Wk13ZnIxcTNEK1BIakhlY1ZGUlZCVlZYSGw2bnM3R3o4Kzk5bEhmTHQyN2V2c24xRlVmRFNTeStoZCsvZXVQMzIyK3RWSzVFdldMbHlKZkx6OHpGOCtIQVVGeGRqMHFSSk9IRGdBUHIyN2V0WVJPVE1tVFBZc1dNSHZ2cnFLMlJtWnFKWnMyYVlNbVVLUWtORE1YLytmQ3hldkJnZmZmUVJoZ3daZ29FREIrTG1tMitHVHFkcmxOOWY1NldxS3c1SkN3OFB4NDAzM29nVEowN2dubnZ1d1UwMzNWVHQ4dE5aV1ZrNGZmbzAvUHo4Y004OTk5VHIzNVZxaitHbVp2WlpaaHN6TWpJcTcxcFhENUdSa2NFYWpXWVZBQTJBbDFKVFU3TU1Cb003TDBFK1RBZ1JDS0F2Z041Q2lMRitmbjQ1Y1hGeHlVS0lkU2FUYVJNQTl1WmM1NW8zYjQ0MmJkcEFvOUhndWVlZXd4Ly8rTWRLYzBMaTQrT3I3VzI1ZlBteTQwdUMzZFdyVnpGbHloVHMzYnNYQUhEWFhYZmhiMy83bTlzMnRWeTBhQkdrbEJnNmRHaWQ1OXU4K09LTFNFdExnMTZ2aDlWcXhaa3paNEFLUTBLaW82TVJIVjErTWNyazVHUk1talFKV3EwV2ZuNStqajA2d3NQREVSVVZWZU4xZi92YjM5YXBUaUpmWkxGWXNIYnRXdWoxZW93ZE94YWxwYVVvS0NpQTBXakV2SG56c0diTkduenp6VGM0ZlBnd1lQdU1ldnp4eHpGNjlHakgvSm9CQXdaZ3c0WU5XTDE2TlRadTNJaU5HemRDcTlWaXdJQUJtRHQzYm9QLy9xYWtwQUFBV3Jac2lkalkySExuYVRRYXpKMDdGN05uejBaYVdwb2pCRlZGVVJSRVJrWmk4dVRKNk5peFk2My9IYWwrR0c2cXA1VlN4dG1XZjkwVEdSa1pIQlFVOUZjQUR3RG9LSVRJbDFMK0pJUlluSnljL0gxZEd3OE9EdjRNUUtTVThsOG1rK25ENnM1TlRVMU5zeThmYVRBWXpQWUZCVXdtMDFQMWVZUGtQWVFRNVhwa25JYmJLRkxLRmdCYUtJclNCY0NEQm9QaENvQTFWcXQxdFVhak9YanAwcVc4RXlkT0ZIbWtjUEtZd01CQUxGeTRFSHE5dnNxSnJQZmVlMisxUXp2UzA5TXJoWnZBd0VCRVJrYmkwS0ZEZU9HRkY5eCtSL0xtbTIrRzJXekdzODgrVytPNXdjSEJhTldxbFdOSVNPZk9uYkZyMXk2b2F0bGNiYjFlanlGRGhtRFFvRUhWdHRPMWExY0lJV0N4V0dDeFdCQWNISXllUFh0aTZ0U3BMc2ZSRTFGbFdxMFdMNy84TWpJek14RVdGZ2JZaHNRR0JnWWlJQ0FBc2JHeFdMcDBLZnIyN1lzaFE0Wmc4T0RCbFlaeTZ2VjZQUHJvbzNqa2tVZnc4ODgvWS92MjdkaTllemNlZXVpaEtudEozUG43TzNqd1lQVG8wUU1IRGh4d3VmSmpseTVkOE9HSEgwSktpYUtpSXBjYnNkclplNXVvY2ZGZnZCcTlldlhxTElUd1IxbjZ6Z3NLQ3RvamhPamhkSXEvRU9JdUFIY1pESWEzVENiVDY3VnQyMmcwdmd6Z2p3RE9GQmNYai9LbG9VUlJVVkU2clZZYnJTaEs1ZTNDNlpvSklUb0JhTzcwR0tnd3AwQktDU0VFYk11VFA2dlZhcCtXVWg1cTFhclYzcENRa1AxU3luK1ZscGJ1VDA5UEwvSE11NkRHVnRYZHdvY2VlZ2dQUGZSUWphK1Bpb3B5ckJyazdNOS8vak9lZlBMSktsY3pxc29ERHp6Z1dDbXBLdlp4K2ZZdlI5VjU2NjIzeWoyZU9IRWlKazZjQ0t2VkNsVlZvZFZxcXgwMlloY2FHbHJqWFZnaXF0blFvVVBML1YxcTNicTE0K2VZbUJqczNMbXpWb0ZEQ0lIZXZYczdGaVdvanJ0L2Z6dDI3RmhqVDRzUUFnRUJBVzY3SnJrUHcwMDFwSlF0blI3T0FPQVA0UDZDZ29MdHpaczN0NnFxMmw4SU1SOUFyQkRpTllQQjhJdkpaTnBjVTdzR2cyRVFnRmtBcktxcVBwS2VubjZtWWQ5SjQvTDM5MjhoaEhnVFFId3RUcWZhMHdDbzlFMnlxcEJqZTA0amhJaVNVdllRUWxnVVJUbXRLRXBHWEZ6Y1AxUlZ6WExYZmlSMC9kRnF0WFVPTm5VUkV4TlRyOWRyTkJvdXkwemtJZFhkVUdCUEtEVTBocHRxYURTYUlQdlBVc3F3MHRMU1htbHBhWmxPcCt5SWpvNGVyTlBwamdBSXNxMXlWbTI0aVltSmlSRkMvQU9BUmtyNVo3UFp2TE5CMzRRSFdLMVdvZEZvL0FGdzJTQTNFa0lvQUdwTUkxWDA1QWpiOExYbVFvZzJVc3FXcXFyNlZLZ21JaUlpWXJpcGhxcXFSZlk3ZjBLSWp5b0VHd0JBV2xyYVdZUEJzRUlJTVZFSTBTYzhQRHdnS3l1cjBGVjd2WHIxNnFBb3loWUF3VkxLVDB3bTArSkdlQnVOem1LeFhBYndGdzVMYzd0T0FGNnJ1QStTcS9HK1RyMDVVa3A1UWdpeFYxWFZWQUQvdGxxdDV0VFUxSUs0dUxqNjdVeEdSRVJFMU1RdzNGUkRvOUZjY0hwNG9LcnpwSlFIYkY4bU5TRWhJVzJ5c3JJcWhTQ1V6ZHVaSUlRSVI5bVh6M0ZHbzNGY1ZXMEtJWG9halViN3Q5YnZrNU9UaDE3N08ybGN0dmtjeVo2dXc5ZkV4TVIwMTJxMWpxVythd2cxaFFDK2xWS3VzMWdzeWY3Ky9qbG1zem5YbCtaMkVSRVJFVlhFY0ZPTjVPVGtJd2FEb1ZnSTRWOWgvazA1aXRQRUJZdkZjcldhSmpuQmdkekNhVTROcEpSU0NGRWtwY3l6QmUzVjJkblpYNXc5ZTdiQTAzVVNFUkVSTlNhR20rcFpoQkEvQWhnSVlCQ0FCYTVPc2k4WERlRE13WU1ITDdnNkJ3Qk1KdE1yQUY2cDdvSUdnMkcyRU9JdlVzcjlKcE1wdW9yVEpHeVR4ZXYyZHNoWDJQNy9WaVNsVEpWUy9xS3E2aDRwNWQ3VTFOUWpBRlJQMTBkRVJFVGtDUXczTmZ2VUZtNkdHbzNHZ2NuSnlUODRQOW1yVjYvZkFCaHRlN2pXK2JuNCtIZy9WVlZEVFNaVHRqc0xFa0lVb1N4VWRYQm51K1ExTWdGOHFhcnExMUxLRXhjdVhMaFkxVHd2SWlJaW91c0p3MDBOa3BPVFZ4dU54b2xDaUQ0QU5ocU54cGVFRUJ1dVhMbFNFaHdjUEFqQVFnQTZBS2N0RnN2Yjl0ZEZSVVUxbDFMK0xJVG9iakFZRnB0TXBqKzdzYXdEQVBvS0lYNW5NQmlHRlJjWC8wdXYxM2NYUWh4SVNrcmlydlErcXJDd01Ec29LT2l4NU9Ua2RFL1hRa1JFUk5RVWNRNUl6VlFoeEI4QkhBUVFET0FES2VYNTRPRGdLd0QrQWFDVGxQSlhLZVd3MU5UVWMvWVhhYlhhbmdDNm82eW41VUYzRm1TeFdENlFVcW9BdEVLSUxYcTl2aGhBU21GaG9iODdyME5OUzBaR1JxN0paR0t3SVNJaUlxb0N3MDB0SkNVbG5UNTM3cHhSVmRWWHBaUm1LV1UrZ0tzQTlra3AzNVJTUnB0TXBoVG4xL2o1K1NWTEtiK3puVHZYbmZXa3BxYitKSVFZSWFYOFJVcFpEQ0JQU3ZsdkFOeDFub2lJaUlpdVd4eVdWa3RaV1ZtRldWbFpid040dXhhbnd6WThiRmhkcjFPYlJRZFFObHp1R3dEZjFMVjlJaUlpSWlKZnhaNGJJaUlpSWlMeUNRdzNSRVJFUkVUa0V4aHVpSWlJaUlqSUp6RGNFQkVSRVJHUlQrQ0NBa1JFamN4cXNTTDl3Q0ZQbDBGZUp2M0FJWlNXY2lzeklxTHFNTndRRVRXeXdxSWlMRm0ySEg1K2ZwNHVoYnhJYVdrcGN2UHlQRjBHRVZHVHhuQkRSTlJJU3FSNldpZkVhVlZLL2VYY1hFK1hROTVLeXJNbFVwNzJkQmxFUkUwUnd3MFJVU1BKUHBSNnBGTmt6MUdLMWkvTTA3V1E5N0lLbVpOOU1QV0lwK3VncG9IRFhPbGErUEl3VjRZYklxTEdvNTdLMko4T0lOM1RoUkNSYitBd1Y3b1d2anpNbGVHR2lJaWFqTmpZMkdZV2kwV2twNmZuZTdvV29xYU13MXlySjFVSllmOFpnRkJFRGErNFR2bmdNRmVHR3lJaWFqSVVSYmxYcDlQNUFmak0wN1VRTldVYzVsbzluVWE5S2RCUE8xSUthQXRMTEt0TFZjMXhUOWZVRlBuaU1GZUdHeUlpYWlvVUljUklBTTBCckxEZGNDVWkxempNdFJweGNYRlFGQkVucGRRMzAybG1tczNtblo2dWlSb0hOL0VrSXFJbUlTWW01amNBWWdEME5CcU5YVHhkRHhFUmVSK0dHeUlpYWhJMEdrMGZJVVFiSVVTdzFXcnQ2K2w2aUlqSSt6RGNFQkdSeDhYSHgvc3BpdEpiU3RsY1NxbFhGS1YzWkdTa3Y2ZnJJaUlpNzhKd1EwUkVIbGRVVkJRa3BieEYvTTh0UVVGQnJUMWRGeEVSZVJlR0d5SWk4amlOUmhNQm9CY0FTQ2tCSUU1VjFjNmVyb3VJaUx3THd3MFJFWG1jb2lqM0N5RjB0bUFEQUhwRlVZWjd0aW9pSXZJMkREZEVST1J4UW9pblhSd2U3WUZTaUlqSWl6SGNFQkdSUjhYRnhkMGhoQWgxNnJXQmxCSkNpUFl4TVRHM2U3UTRJaUx5S2d3M1JFVGthV09yZWtLcjFUN1p1S1VRRVpFM1k3Z2hJaUtQaVkyTkRWTVVwYTl6cjQyZDdkakErUGo0RnA2b2pZaUl2QS9ERFJFUmVZeFdxKzBOSU5UK1dBZ0JJUVNjSGdlcnF0cmZVL1VSRVpGM1liZ2hJaUpQVVFEY0RLQzZucGxtUW9qZUFEU05XQmNSRVhrcGhoc2lJdktJenAwN0Iwa3Bid09naGEzWHhzN3BadzJBZmdhRG9aV0h5aVFpSWkvQ2NFTkVSQjdSc21YTE5nQU1ydWJiMkVrcElhVTBscGFXM3RDb3hSRVJrVmRpdUNFaUlvK1FVZzRTUXRTbVI2YU5ScVBoa3RCRVJGUWpoaHNpSXZJSUtlVll1RmhFd001K1RBZ2hGRVY1cFBFckpDSWliOE53UTBSRWpTNDJOcmFiRUtKZlRlYzVoWjYrY1hGeFhSdThNQ0lpOG1wYVR4ZEFSRVRYSDBWUmlsVlZmZHo1bUJDaXV4RGlPUUIrVXNyRlVzcURGVjVXMnJoVkVoR1J0Mkc0SVNLaVJtYzJtMDhBT09GOExDNHU3ZzRoeE9PeXpQZG1zM21uNXlva0lpSnZ4R0ZwUkVSRVJFVGtFeGh1aUlpSWlJaklKekRjRUJFUkVSR1JUMkM0SVNJaUlpSWluOEJ3UTBSRVJFUkVQb0hoaG9pSWlJaUlmQUxERFJFUkVSRVIrUVNHR3lJaUlpSWk4Z2tNTjBSRVJFUkU1Qk1ZYm9pSWlJaUl5Q2N3M0JBUkVSRVJrVTlndUNFaUlpSWlJcC9BY0VORVJFUkVSRDZCNFlhSWlJaUlpSHdDd3cwUkVSRVJFZmtFaGhzaUlpSWlJdklKRERkRVJFUkVST1FUR0c2SWlJaUlpTWduTU53UUVSRVJFWkZQWUxnaElpSWlJaUtmd0hCRFJFUkVSRVErZ2VHR2lJaUlpSWg4QXNNTkVSRVJFUkg1QklZYklpSWlJaUx5Q1F3M1JFUkVSRVRrRXhodWlJaUlpSWpJSnpEY0VCRVJFUkdSVDJDNElTSWlJaUlpbjhCd1EwUkVSRVJFUG9IaGhvaUlpSWlJZkFMRERSRVJFUkVSK1FTR0d5SWlJaUlpOGdrTU4wUkVSRVJFNUJNWWJvaUlpSWlJeUNjdzNCQVJFUkVSa1U5Z3VDRWlJaUlpSXAvQWNFTkVSRVJFUkQ2QjRZYUlpSWlJaUh5QzF0TUZFQkVSRVRrekdBeDNDaUYyQUlDVThqbVR5ZlMrcDJzaUl1L0FuaHNpSWlKcVNoUUE4enhkQkJGNUovYmNFQkVSVVpOaE5CckhBb2p6ZEIxRTVKM1ljME5FUkVSTlFreE1URXNwNWR0U3lnSXA1VGxQMTBORTNvZmhob2lJaUpvRVB6Ky9CVUtJdGtLSUdRRE9lN29lSXZJK0REZEVSRVRrY1FhRFlSQ0F4d0drSlNjbkwvUjBQVVRrblJodWlJaUl5S1BpNCtOYkFQaFFTaW10VnV0ekFDeWVyb21JdkJQRERSRVJFWG1VbEhLNUVDSUN3Q2NwS1NuLzlYUTlST1M5R0c2SWlJaklZK0xpNHA0Q01CTEFzYXRYcjc3ZzZYcUl5THR4S1dnaUlpTHlDS1BSR0F0Z0VRQ0xsSExVb1VPSDhqeGRFeEY1TjRZYklpSWlhblFHZ3lGVVNybFpDQkVJNEVXVHlaVG82WnFJeVBzeDNCQVJFVkdqaW9xSzBnSFlLSVM0VVVyNWxjbGs0dXBvUk9RV0REZEVSRVRVcUhRNjNTQWh4SzBBSUlSNHdHZzB5cXJPRlVJc014cU55d0JBVmRXYnpHYnppY2FzbFlpOEM4TU5FUkVSTlNvcFpTR0FveldjMDFFSW9aTlNuaGRDNU5xT2xUWmFrVVRrbFJodWlJaUlxRkdscEtRa0FJaXM3aHlEd1pBR29DZUExNU9Uazk5dnZPcUl5SnR4S1dnaUlpSWlJdklKRERkRVJFUkVST1FUR0c2SWlJaUlpTWduY000TkVSRVJOVGtta3luYTB6VVFrZmRoencwUkVSRVJFZmtFaGhzaUlpSWlJdklKRERkRVJFUkVST1FUR0c2SWlJaUlpTWduTU53UUVSRVJFWkZQWUxnaElpSWlJaUtmd0hCRFJFUkVSRVErZ2VHR2lJaUlpSWg4QXNNTkVSRVJFUkg1QklZYklpSWlJaUx5Q1F3M1JFUkVSRVRrRXhodWlJaUlpSWpJSnpEY0VCRVJFUkdSVDJDNElTSWlJaUlpbjhCd1EwUkVSRVJFUG9IaGhvaUlpSWlJZkFMRERSRVJFUkVSK1FTdHB3c2dJaUtxUUF1Z3Q5Rm8xSHU2RUNMeVRxcXF4a29wZFo2dWd4b2Z3dzBSRVRVMXpZUVFyMGtwTFo0dWhJaThreEJDQ3lBUVFLNm5hNkhHeFhCRFJFUk54YTlTeW1OQ0NFL1hRVVMrSVIvQWFTbmxyNTR1aEJvUHd3MFJFVFVKWnJQNWFGeGMzT05XcTdXMXAyc2hJdDhnaExpWWtwSnkxTk4xVU9OaHVDRWlvcVpDTlp2TlJ3QWM4WFFoUkVUa25iaGFHaEVSRVJFUitRU0dHeUlpSWlJaThna01OMFJFUkVSRTVCTVlib2lJaUlpSXlDY3czQkFSRVJFUmtVOWd1Q0VpSWlJaUlwL0FjRU5FUkVSRVJENkI0WWFJaUlpSWlId0N3dzBSRVJFUkVma0VoaHNpSWlJaUl2SUpERGRFUkVSRVJPUVRHRzZJaUlpSWlNZ25NTndRRVJFUkVaRlBZTGdoSWlJaUlpS2Z3SEJEUkVSRVJFUStnZUdHaUlpSWlJaDhBc01ORVJFUkVSSDVCSVliSWlMeUtwMDdkMjRSRXhQVDB0TjFFQkZSMDhOd1EwUkVYaVU0T0hpa1JxTVo2K2s2aUlpbzZXRzRJU0lpYitJbmhMZ1B3TU5SVVZFNlR4ZERSRVJOQzhNTkVSRjVEYVBSMkFOQUQwVlJ1bWkxMm1oUDEwTkVSRTBMd3cwUkVYa05LZVh2QWR3QUlFUlJsRHM5WFE4UkVUVXRERGRFUk9RVklpTWovYVdVUFFINFNTazFRb2lZYnQyNkJYbTZMaUlpYWpvWWJvaUl5Q3NFQlFVRkN5SDZpUC9wN2UvdjM4YlRkUkVSVWRQQmNFTkVSRjdCWXJGRUNTRzZTU2xoKzYrcm9paXhucTZMaUlpYURvWWJJaUx5Q2hxTjVqRUFHdnRqSVlRaWhIaklzMVVSRVZGVHduQkRSRVRld0Y5UmxORXVqajhBd044RDlSQVJVUlBFY0VORVJFMmV3V0M0RDRCZVN1azRKcVdFRU1MUFlEQTg1dEhpaUlpb3lXQzRJU0tpcGs0UlFsUVhZQjduM3pNaUlnTC9HQkFSVVZNWEd4dmJWVW9aWmUrMUVVSkFDQUhZZW04QWRJdU5qZTNxMlNxSmlLZ3BZTGdoSXFJbVRhUFI5QkZDVkxua3N4QWlTS1BSOUc3Y3FvaUlxQ2xpdUNFaW9pWXJLaXBLQjZDZmxMSTViTDAyRlVrcDlRRDZoWWVIQjNpaVJpSWlham9ZYm9pSXFNbFNWVFhJdm5GbnhlZnNoMndiZXZZSkNRbmhocDVFUk5jNXJhY0xJQ0tpaGhVZkg5OUdTdm15bEhLRUVLSVRnQUlBU1ZMS2QwMG0wOWI2dG04d0dPNFVRdXhBV1MvS2N5YVQ2WDIzRkE3QTM5Ky9pNVN5WjNYbjJPYmRSQ3VLMGhWQXBydXVUVVJFM29jOU4wUkVQc3hvTlBhUVV1NEQ4QktBcmxMS1hBREJBQVlMSWJiRXhjWDl0WjZYVUFETWMxTzVsUWdoSGhaQzZHcHhuazZqMGR6YlVIVVFFWkYzWUxnaEl2SlJrWkdSL2xMS3pRRGFTU2wvdEZxdFhVd21VOXZjM053MkFENUZXU2lZR1JjWGQrdTFYc05vTkk0VlFzUzV0ZkQvMFFnaHhxSENDbW5Pbkk4TElSNEZvR21nV29pSXlBdHdXQm9Sa1k4S0NncDZSZ2dSQ1NDbnNMQnd4TUdEQnk4QVFFWkdSaTZBcHcwR2cxRUkwUXZBcXdEdXJtdjdNVEV4TGFXVWI5dUd1UlVJSWNMY1dYOU1URXdjZ09QT0czY0NhQzZFdUJHQUlxVThEaURmK2NuWTJOaGVxYW1weWU2c2c0aUl2QWZERFJHUjd4cU5za241bjlpRGpST3JsSEtwRUdJNWdFSGR1blVMT25Ub1VGNWRHdmZ6ODFzQW9DMkFsNldVWXdHNE5keFlyZFpER28zbWp4VU9Sd0M0SDRCV1N2a2xnQlBPVHhZWEYxZDhuMFJFZEIxaHVDRWk4a0V4TVRFdEFjUURnS0lvMzdzNlI2UFIvQ0NsaEJCQ0Z4QVFFQTlnWjIzYk54Z01nd0E4RGlBdE9UbDVvY0ZnR092TytnRWdQVDA5djJMUGpDM00xTHBPSWlLNnZuRE9EUkdSRDlKb05GSDI1Wk50Q3dwVWtwU1VkRXhLV1l5eUFQU2IycllkSHgvZkFzQ0hVa3BwdFZxZkEyQnhZK2xFUkVUWGpPR0dpTWczM1lpeVlGTmlNcG5PVjNHT0JIREc5bk5vYlJ1V1VpNFhRa1FBK0NRbEplVy9icW1XaUlqSURUZ3NqWWpJQnltS0VtVDdzYUNHVTYraUxMQTBxMDI3Y1hGeFR3RVlDZURZMWF0WFg2aDNvWFduall5TURGUlZWUnc3ZHF5QXZVWkVST1NNUFRkRVJENUlTbW5mRzZiYUwvOUNDS3Z0ZkxXbU5vMUdZNnlpS0lzQVdLU1VvK3E2QUlFN1JFZEhSd1VGQmIzZm9rV0xqNk9qbzZNYSsvcEVSTlMwTWR3UUVmbW1xeWdMTC9vYXpndTBuVmR4NG40NUJvTWgxTFpuVGlDQWwwMG1VNkk3aTYwdHJWYmJTZ2p4T3dCM2FyWGFWcDZvZ1lpSW1pNkdHeUlpSHlTbHpMSDlHQlFmSHg5WXpYbHRVUlp1c3FvNkp5b3FTZ2Rnb3hEaVJpbmxWOG5KeVFzYm9tWWlJcUw2NHB3YklpSWZwTkZvRHRrM3Y3UllMTjBBbUNxZUV4MGQzVkVJMFF4bGUrR2tWZFdXVHFjYkpJUzRGV1VoNkFHajBTaXJPbGNJc2N4b05DNnp0WG1UMld3K1VkVzVSRVJFN3Nad1EwVGtnNUtTa2c0YkRJWnpRb2d3alVZenlGVzQwV3ExQTFIV2UzUFdiRGFuVnRXV2xMSVF3TkhxcmllbDdDaUUwRWtwendzaGNtM0hTdDN6Ym9pSWlHcUg0WWFJeURlcFFvaXZBSXdIOEd4NGVQaDdXVmxaaFU3UEs0cWlUTEw5dkFwQWxRc0twS1NrSkFDSXJPNWlCb01oRFVCUEFLOG5KeWUvNzdaM1FVUkVWQWVjYzBORTVLTktTa3BtMnhZVzZCd2FHcm9tTmpZMkRBQWlJeU9ERFFiRGNnRHhBSElLQ3d2ZmRuNmQwV2g4MTJBd1pCcU54Z2tlSzU2SWlPZ2FNTndRRWZtb3RMUzBUQUNqcEpRbFFvZ1JXcTMyVjRQQmtCa1VGSFJlQ1BFa2dDdXFxbzQ0ZVBEZ0JmdHI0dVBqV3dENHN4QWlYRXI1aW1mZkFSRVJVZDB3M0JBUitiRGs1T1NOQUhvRFdDZWx2QUFnRE1CcEtlV3lrcEtTR0xQWnZOdjUvS1NrcEN0U3lqVlN5Z0loeERMUFZVNUVSRlIzbkhORFJPVGpUQ1pUQ29DSDZuRCtvOWR3amVnNkYwWkVST1JtN0xraElpSWlJaUtmd0o0YklpTHlHb1dGaFljREF3UC9vcXFxcHFpbzZMQ242eUVpb3FhRjRZYUlpTHpHb1VPSHNnR3M5SFFkUkVUVU5IRllHaEVSRVJFUitRU0dHeUlpSWlJaThna2Nsa1pFUkY2alo4K2VyYlJhYlM5RlVaU1NraExUL3YzN0wzcTZKaUlpYWpvWWJvaUl5R3ZvZExwb0FKOElJZlE2bmU0aEFQL3hkRTFFM3FwOWwraU9Pajl0RjAvWFFkNnJ1TGo0K09uakIwNTZ1ZzVuRERkRVJPUTFwSlNLb2loNkthVmVTc21oMVVUWHFFTmtiTGlmVnF5RWtOMDlYUXQ1TDMrOTdsUkVSTnhESjA2WVQzaTZGanVHR3lJaUlxTHJqQjhRRG9IdUFxSmRRRUFBdEZxTnAwc2lMMksxV0ZGWVZBUlZTajMwaUFEQWNFTkVSRVJFbmhVWUVJQ0p6LzBKY2JIUm5pNkZ2RWo2Z1VOWXNtdzVMdWZtV1dBRGxRQUFJQUJKUkVGVWVycVVTaGh1aUlpSWlLNVRHcTBHUGJwMVJkL2VOM3U2RlBJeWZuNStuaTdCSlk1WEppSWlJaUlpbjhCd1EwUkVSRVJFUG9IaGhvaUlpSWlJZkFMRERSRVJFUkVSK1FTR0d5SWlJaUlpOGdsY0xZMklxQkZ4Ui9ENktTeVIzZlgrOHJ3QXRJVWxzbnRFOXpoUGwrUzFtdUxPNGtSRTljVndRMFFOTGo0K3ZvMlU4bVVwNVFnaFJDY0FCUUNTcEpUdm1reW1yZlZ0MzJBdzNDbUUySUd5SGV5Zk01bE03N3VsY0RlTGlJaUxnSi84bER1Q1g3c2lWYUswU05VQWdGWEs2VUo0dWlMdjFSUjNGaWNpcWkrR0d5SnFVRWFqc1llVThnY0E3Y3F5aHp3dmhHZ0pZTEFRWW5CY1hOeXJaclA1N1hwY1FnRXd6NDBsTnh3OUl1dzdnZ2NHQkVEREhjSEpBNXJ5enVKRVJQWEZjRU5FRFNZeU10SmZTcmxaQ05GT1N2bWoxV29kblpxYWVqd3lNakk0T0RqNFhRQlBDQ0ZteHNYRi9jZHNOdjk0TGRjd0dvMWpBWGpWMktUQWdBQzgrUHdFUlBYbzV1bFM2RHJVbEhjV0p5S3FMNFliSW1vd1FVRkJ6d2doSWdIa0ZCWVdqamg0OE9BRkFNakl5TWdGOExUQllEQUtJWG9CZUJYQTNYVnRQeVltcHFXVThtM2JNTGNDSVVSWWc3d1JOOU5vTllqcTBZMDdncFBITk5XZHhZbUk2b3VycFJGUlF4b05BS3FxZm1JUE5rNnNVc3FsdHA4SGRldldMYWl1amZ2NStTMFFRclFWUXN3QWNONHRGUk1SRVpIWFlyZ2hvZ1lSRXhQVEVrQThBQ2lLOHIycmN6UWF6UThBSUlUUUJRUUV4TmVsZllQQk1BakE0d0RTa3BPVEY3cXBiQ0lpSXZKaUREZEUxQ0EwR2syVUVHVnJXVWtwOTdrNkp5a3A2WmlVc2hobEFlZzN0VzA3UGo2K0JZQVBwWlRTYXJVK0I4RGl4dEtKaUlqSVN6SGNFRkZEdVJGbHdhYkVaREpWTldSTUFqaGorem0wdGcxTEtaY0xJU0lBZkpLU2t2SmZ0MVJMUkVSRVhvL2hob2dhaEtJbzlqazBCVFdjZWhWbGdhVlpiZHFOaTR0N0NzQklBTWV1WHIzNlFyMExKU0lpSXAvQjFkS0lxRUZJS1hXMlVXblZEaGtUUWxodDU2czF0V2swR21NQkxBSmdrVktPT25Ub1VKNGJTeVlpSWlJdngzQkRSQTNsS3NyQ2k3Nkc4d0p0NStWWGQ1TEJZQWkxN1prVENPQkZrOG1VNk01aWlZaUl5UHR4V0JvUk5RZ3BaWTd0eDZENCtQakFhczVyaTdKd2sxWFZPVkZSVVRvQUc0VVFOMG9wditMcWFFUkVST1FLZTI2SXFFRm9OSnBEVWtvQWdNVmk2UWJBVlBHYzZPam9qa0tJWmlqYkN5ZXRxclowT3QwZ0ljU3RLQXRCRHhpTlJsblZ1VUtJWlVhamNabXR6WnZNWnZNSk43MGxJaUlpYXVJWWJvaW9RU1FsSlIwMkdBem5oQkJoR28xbWtLdHdvOVZxQjZLczkrYXMyV3hPcmFvdEtXVWhnS1BWWFU5SzJWRUlvWk5TbmhkQzVOcU9sYnJuM1JBUkVaRTNZTGdob29haUNpRytBakFld0xQaDRlSHZaV1ZsRlRvOXJ5aUtNc24yOHlvQVZTNG9rSktTa2dBZ3NycUxHUXlHTkFBOUFieWVuSno4dnR2ZUJSRVJFWGtOenJraG9nWlRVbEl5Mjdhd1FPZlEwTkExc2JHeFlRQVFHUmtaYkRBWWxnT0lCNUJUV0ZqNHR2UHJqRWJqdXdhRElkTm9ORTd3V1BGRVJFVGtkUmh1aUtqQnBLV2xaUUlZSmFVc0VVS00wR3ExdnhvTWhzeWdvS0R6UW9nbkFWeFJWWFhFd1lNSEw5aGZFeDhmM3dMQW40VVE0VkxLVnp6N0RvaUlpTWliTU53UVVZTktUazdlQ0tBM2dIVlN5Z3NBd2dDY2xsSXVLeWtwaVRHYnpidWR6MDlLU3JvaXBWd2pwU3dRUWl6elhPVkVSRVRrYlRqbmhvZ2FuTWxrU2dId1VCM09mL1FhcmhGZDU4S0lpSWpJcDdEbmhvam9PcENSa1FGVnJYTE5oanB4Vnp2MUphV0V4V0pwTXZVUWtXK3pXQ3llTG9GcWdlR0dpTWpIblRwMUNnOC8vRERHalJ2bmx2YW1UWnVHQng5OEVGZXZYblZMZTlkcTU4NmQ2Tk9uRHhZc1dGQ3I4OCtlUFl1U2twSmF0NzlqeHc2TUhUc1dXN2R1clVlVjVmM3d3dzk0ODgwM2taS1M0clkyaVh6Tm9VT0hzR1RKRWxpdDFnYTdSbUppWXAzT1g3Um9FZTY4ODA2Y08zZXVWdWV2WDc4ZUZ5NWNxTVdaWlI1NDRBSGNmZmZkZGFxSlhPT3dOQ0lpSC9mNTU1OURTb2svL09FUGJtblBiRFlqSUNBQWdZR0JqbU52di8wMmpodzVjazN0dmZmZWU5QnF0VmkyYkJudXV1c3VkTzNhMVMxMU9zdkp5Y0dUVHo2SjFxMWJZOTY4ZVFnTkRTMzNmSFoyTmo3ODhFUGNldXV0R0RSb0VBRGd3b1VMU0V0THcvbno1OTFXUjFwYUdqWnQyb1M0dURqMDZ0WExiZTBTK1pLNWMrZkNaRExoMEtGRG1EMTdOcG8zYnc0QW1EbHpKakl6TTYrcHpYbno1am5hK2VTVFQ3QjA2VklNSGp3WXI3LytPZ0lDQW1wOGZWQlFFUEx6ODdGKy9YcE1tRkQ5UXA0N2R1ekE3Tm16OGRGSEgySE9uRG0xK2wzUHo4OUhZV0ZoamVkUnpSaHVpSWg4MktWTGwvRHR0OStpZGV2V0dENThlTDNieTg3T3hybHo1L0RnZ3c5V3VzN1pzMmNkajB0S1NuRHg0a1cwYk5rUy92NytBSUF6Wjg0Z0lDQUFMVnEwS1BkYVZWWHgxVmRmWWVYS2xmanh4eC94K2VlZk8xN2pMa0ZCUVlpSmljRzJiZHN3YXRRb0xGeTRFRkZSVVk3bjkrelpnODJiTnlNa0pNUVJib2pJTStiTm00ZEpreVloTVRFUjQ4YU53NUlsUzlDMmJWdnMyN2Z2bW0raU9BOHBHekZpQkJJU0VyQnQyemFjT0hFQzc3NzdMdHEyYlFzcFpaVUJZOWl3WWZqaWl5OVFWRlRrc3RkYUNPRUlTUU1IRHNRamp6eUNOV3ZXNEU5LytoTmVmdmxsM0gvLy9ZRHRzK2JpeFlzWU5HZ1FkRHJkTmIwWHFoN0REUkdSRDdoOCtUSVdMMTVjNlhobVppYUtpNHZScmwwN3pKNDl1MDV0ZHUvZUhTTkhqZ1FBYk4yNkZlZlBuOGV4WThjYzExdTVjcVhqM0FrVEp1REdHMjkwUFA3NTU1L3g3TFBQWXNhTUdiajExbHNCQUxmZmZqc0dEeDZNdi8zdGI1V3VOWExrU0h6NzdiYzRlUEFnbGl4WmdxbFRwOWFwMXByNCsvdGoxcXhaQ0FzTHc2cFZxL0RVVTAvaHJiZmV3cDEzM2drQStQSEhIeDAxRXBGbmhZU0U0SU1QUHNEa3laT1JsSlNFY2VQRzRSLy8rSWZqK1UyYk5xRlZxMWExYW12MDZORTRjZUpFdVdPdFc3ZkdoeDkraUtsVHB5SXhNUkZqeG96QnNtWExvTmZyY2M4OTkxVGIzdXJWcTdGNjllcEt4L1Y2dmVOelJGRVVUSjA2RmUzYnQ4ZjgrZk14YTlZc0FNRDk5OStQanovK0dNbkp5ZWpmdnovRFRRTmh1Q0VpcWtaRVJJUStKQ1Nrbzlsc1BncWd5YzVjdjNyMUtqWnQybFRsOHlkUG5zVEpreWZyMU9ibHk1Y2Q0V2J0MnJWSVMwdHpQTGQ5KzNaczM3N2Q4Ymg5Ky9ibHdvMTlrcitpL0c5cXA1UVNRZ2lYMTlKcXRYanp6VGZ4MkdPUFljMmFOYmpqamp0dzg4MDNBd0FLQ3d0UlVGQlE2VFY1ZVhrQWdLS2lJdVRrNUZSNjN0L2ZIMEZCUVk3SFFnaTg4TUlMYU5HaUJaWXZYKzc0WXBHZm4rLzRVckppeFFwOC92bm5nSzJYQ2dEKytjOS93bXcyVjJvL09qcjZtdWN4VlhYM1dVcUp2Ly85NytqU3BRc2VmYlRPaXdiU2RTQW1KaVorMzc1OVpnQU5OeUdsQ1FnTURNVGl4WXZ4MGtzdlljaVFJZERyOVk3bjlIcDl1V0d4MVhIK0RIS20xK3Z4N3J2djRyWFhYa051Ymk0NmRPamdtQ1BUc21WTEdBeUdXdGU2YTljdWw4Y2ZmZlJSdEdqUkFoczNic1JkZDkxVjYvYnNzck96WVRhYmtaS1NndEdqUnlNOFBMek9iVnlQR0c2SWlLb1JIQnpjUmxHVW53MEdRNGFVY3BXaUtOK29xcHBqTnB2em10S1hpN0N3TVB6em4vOHNkK3p6enovSHVuWHI4UGpqanp1R1JOU0Y4NWVKRHo3NEFLcXE0dEZISDBXelpzM3c0WWNmbGp1MzRqQXkreEFRalViak9GWmFXZ3F0dHVvL08xMjZkTUdZTVdQdzhjY2Y0ODAzMzhTNmRldWcxK3Z4eFJkZllObXlxcmM4MnJoeEl6WnUzRmpwK0c5LysxdVhpdzJNR3pjT3c0WU53dzAzM0FBQStPNjc3MUJhV2dwVThTWGwyTEZqamg2cnFwU1dsanJhY01YUHp3OStmbjZPeC8vODV6OHhZY0tFY3YvR0FMQmd3UUo4L2ZYWDBHcTE2TnUzTHpwMzdsenRkZW42bzlWcXR4bU54bXhWVlZjcml2SjFhV25wbVgzNzl1VTJwYzhqZDlIcjlWaThlSEdWTjBYcVM2dlZZdWJNbWJCWUxPVjZVU0lqSXpGMzd0eGF0L1A3My8rK3lnVlc3cjc3YnR4MTExMjFlZzhXaXdXclY2OTJCQnJubXphUFBQSklyZXU1M2pIY0VCSFZUQkZDeEFNd1NpbGZFMExzall1TDJ5V2wvRVZLYVU1TlRhM2Q4amtOU0t2Vm9uMzc5bzdIK2ZuNTJMcDFLd0lDQWpCMjdGZ0VCd2M3bmx1NmRDbTJiTm1DdVhQbmxwdDNVaDI5WG8vejU4OGpNek1UNDhhTnEzVFg5T1RKaytVQ2ozMUZvVTgvL1JTYk4yOEdiQUZnNzk2OTVZYWxEUnc0RUFNSERuUThmdkxKSi9IZGQ5OGhPenNiaVltSitOM3ZmdWQ0cm5mdjN1WHVYSjQrZlJxSmlZbUlqSXhFYkd5czQzaEJRUUcrLy83N2N2VmR2bndaZm41K2FOYXNHUUE0Z28yVUVtdldyQUVBckZxMXFsenYwNFlORzdCdzRVSk1tREFCRHovOGNLVi9FK2ZndG16Wk1xeFlzYUxLZjc5Um8wYmhoUmRlY0R6T3k4dkQ5OTkvanhFalJqaU9MVisrSEt0WHI0YWZueC9tenAzTFlFTlZFUUNpRlVXWkphWDhtMWFyTlJrTWhwK2tsSHMwR3MxUFNVbEpwenhkWUgzazUrZGo3ZHExR0RObURIUTZYYmxROE5lLy9oVUZCUVdWNXUxVlo5cTBhYmg2OWFwak1RRUEyTHQzTDR4R0k3UmFMUlJGY2Z2d3NMVnIxK0lQZi9pRDQzUFNWYkM1Y3VVSzl1M2JCN1BaRExQWmpBc1hMa0JWVmN5ZlB4K3dmVVlOR3pZTSsvZnZ4NmxUcHppRXJRNFlib2lJYWlDbEZFSUlpTEsvVUswQURBVXdXRkdVY3dDeWpFYmpYbFZWMTVlVWxPeE9UMCt2L1ZyRERXak5talhJeTh2RDZOR2p5d1ViMkw3b256bHpCc1hGeFhWcWM4K2VQUUNBZnYzNlljbVNKVGh6NWd4bXpwd0pBTGg0OFNLMmJ0MEtuVTRIUlZFY1M3aW1wS1NVKzhPZWxaV0ZNMmZPQUxiaFpCMDdkaXdYYnZ6OS9mSEdHMi9BMzk4ZlBYdjJMSGY5ZSsrOUYwT0dESEU4VGtoSVFHSmlJbTY1NVpaeWMzUXlNelBMaFp2Q3drSk1uRGdSdWJtNW1EMTdkcmxBOS8zMzMrUEVpUlBvMzc4L2V2VG9VZTU2OXA0V3JWWmI0eENZVHAwNjRaWmJicWwwUENjbkI4ZVBIM2ZaWS9YWlo1OWgrUERoVUJRRjc3NzdMbGF0V2dXZFRvY0ZDeGFnWDc5KzFWNlBDR1ZmbWdNQjNHcjc3N0txcXVlTlJxTVp3T2NXaStXSDFOVFV5dU01bTdpRkN4Zmk2NisvUmtKQ0F0NTU1NTF5TnpUc3E0NWxabVppM3J4NTFiYlRxVk1uVEpreUJYRnhjZVdPYjlteUJhKzk5aHA2OU9pQjZkT25sMXVkc1ZXclZwZzNiMTZ0NS9QWVRaczJ6ZkdadDM3OWVzeWRPeGZyMTYvSC9QbnpFUkVSQWRpVzVEZWJ6WTdocnZmZGQ1L2o5ZmJQU0oxT2h4a3paaUF1TGc1aFlXRUFnUEhqeCtQVXFWTnVYMlRGbHpIY0VCSFZRQWdoWWJ2TDcwU1JVcllUUXJRRGNMT2lLT1A5L2YxL05SZ01YMG9wMXhZVkZSMVRGQ1hQRTJFblB6OGZYM3p4QlhRNkhVYU5HdVcyZG5mdjNvMW16Wm9oTmpZV0sxYXNxRFJKRndEbXpKbURBUU1HWVBQbXpaZ3hZd1pXckZpQnJsMjd3bUt4b0UrZlBoZzllalFtVHB5SXExZXZZc0NBQVM2dll6UWEzVll6Yk9Ia043LzVEVFp0Mm9Rbm5uZ0NmLzNyWDNIdnZmY0N0anVzQURCbXpKaDZYZVBlZSs5MXRPbnNuWGZld2ZIanh4M3poK3hhdG15SlU2ZE80WnR2dnNFdnYveUNMVnUyb0huejVwZy9mMzZsYzRrcWNQVjVCQUFoUW9nUUFGMEJQS2pSYU03YVBvL1dDU0VPNStYbDVXWmtaTlR0am9ZSFRKbzBDY2VQSDBkS1NncEdqUnFGMmJObm8yL2Z2dVhPeWN2THczLy8rOTlxMjZsNHM4S3VmLy8rNk5ldkh4SVRFekY2OUdqOCtjOS9kZ3o1T25mdUhMWnMyUUxZZW5McktpSWlBdmZjY3c5Kyt1a25KQ1FrWVBUbzBYanp6VGZ4dTkvOURwTW1UVUpXVnBialhJUEI0UGd2TmpZV0R6endBQW9MQ3pGNDhPQnliZHFIK0RMYzFCN0REZEYxVGdpaGtWSkd4Y2JHRm5tNmxxWklvOUdFU1NrMTlqdHI5djkxL21MaDlITUhJY1NMUW9qbkFnTURVNldVUC9icTFjc3NwZHlibXBwNnVMRnFYcjE2TmZMeTh2RElJNCtnVFpzMmJtblRZckZnOSs3ZDZOZXZYN1h6WnV6czQ4L3RTNlBhZTRscU93blluZno4L1BENjY2OGpJaUlDaXhZdHdsdHZ2WVdqUjQ5aXlwUXArTC8vK3o5czJiTEZaYTlMZlVrcDhjTVBQNkI1OCthVjJuLzQ0WWZ4NFljZjRxMjMzb0tVRXUzYXRjTjc3NzJIbTI2NnllMTFWRk1oZEJxMWE4VTcyOVMwQ1NIOG5INEdxdjQ4YWl1RWVCN0FzMEtJdzBGQlFYdmk0dUxTcEpUL1NVbEpxYnhDUmhNUkVoS0NaY3VXWWRxMGFVaElTTUNrU1pPd2F0VXFkT3ZXcmRLNXQ5eHlTNlZWSUs5Y3VWS3VWOFJWKzRzWEw4YXlaY3Z3eVNlZllONjhlUWdQRDhlQUFRTnc1Y29WL1BEREQ5ZGMrME1QUFlRdVhicGc3dHk1anQ3WXFWT240dDEzMzhVRER6d0FSVkd3ZWZObVpHUmtZTjY4ZVFnSkNhbXhUZnRjdm9yejg2aHFERGRFMXprcFpUTkZVVjRUUWpEY3VHQUxmNVgrcWxRMU9kVDJ4U0pBQ05FSFFHOUZVYTRDT0dVd0dQYVhXTlFEQmFXeVlXYkcydVRuNTJQMTZ0WFFhclVZT1hLa3kwbXU5dUVUeGNYRlZVNkNyUmhDa3BLU2tKK2ZYMlZ2UzBYMjFjM3NmN3d2WDc0TUFPWEd2VmVscEtTa1FjYVhqeGt6QnFHaG9YampqVGZRdG0xYnh4M1J1KzY2eStXL2cvMUxoY1ZpcWZMZlNWR1VLcjkwbU0xbTVPVGs0SzY3N3FvVUNNUEN3akJpeEFqODR4Ly9RSWNPSGZESko1KzRMWWpXbHBCQ0JHaTE0eFJGUkRUcWhhbGVwSlROS243KzFQQjVwQU1RRGFDbkVLSkVVWlN6Qm9NaG82aEUvYVZRUllOK0hsMHJmMzkvekprekIyKy8vVFpVVlhVWmJHRHJsYTFOUUtoSVVSUk1tREFCTjkxMEU0NGZQKzc0WE92WnMyZVZLNS85OU5OUG1EcDFLcDU0NG9rcVYwbTA5NjdZVjJZTURRM0ZMNy84Z3Y3OSt6dXVzWFBuempyVldsUlVCSzFXVzZ1YlNsU0cvMUpFMXlsVlZVOHJpbklhZ043MjVaMjNoVndUdHYvcXhINzNWQWpoRHlCTVNsa3FCTEliK3F2RXFWT25IRXNrLy9HUGY2ejIzT3AyMlU1S1NpcjNPREV4RVFCdzRNQUIvUHJycnpoNThpU3VYTG1DRHo3NEFDaGJuclpTSGJCOXdiL3R0dHNjQ3d5MGJObXl4dmV3Y3VWS3BLV2xZZEtrU2VqU3BVdU41OWZGc0dIRDBLTkhEMFJFUk9ETEw3L0VuRGx6YW56TjBxVkxzWFRwVXBmUHRXdlhEdDkrKzYzTDU3NzQ0Z3NBS0RkUHlObTRjZU93YWRNbW5EMTdGcGN1WFdyMGNHUGo1eXE4azI5eCtqelNTaW1iQTJnSG9CbGswd3czc0FVUTU3a3NEYUhpOHN5S29sVFp1MndQTG41K2ZyWHVnUjQxYWhRZWUreXhlcTMybHBlWDUrZ0JwOXBodUNHNlRxV21waDR4R0F4UENDRnU4SFF0VFZ3YkFNc0JsUHZyNHZSbG9kekp0c2NXS2VWSklVU3FxcXFwVnF2MWgzMzc5dTJPNkI1M0d3UkdObVN4TFZxMHdMQmh3Nm85SnkwdERabVptZWpidDIrdHdnYWNocFhaNTZqWUxWKytITEROTFhGMitQQmhhRFFhVEowNkZZc1dMWEtFSFh2d3FzNnVYYnVRbHBhRzIyKy8zZTNoQnJaeDhRRFFvVU1IL1BhM3Z5MzNYRXBLQ2k1ZnZveCsvZm81ZW8rT0hqMktyS3dzeE1URVZKcG9YTlhFNDZOSGp5SWhJUUVSRVJHT1RVd3JhdGV1SFo1ODhrbDg4TUVIZU8yMTEvRDU1NStYV3k2Nm9Va2haYUhGK2tHZ24rYmF0bnduVDlrc2hBaHlQbERENTVGVlNua0N3RStxcXFZQStLL1piTjRiRVJsN00veEUzZGVJYjJUT3F4TGF1ZHBIeTUyR0RCbUNuajE3dWx4S3ZxN3FFMnh5Y25Kdzl1eFpkT3JVcWQ1MVhFOFlib2l1WDZySlpFb0JrT0xwUXBxeTJOalljSTFHNDdoMTZHSVNyL080OTB0U3ltK2tsRitxcXBwZVhGeWNjK2pRb1pxL3pidFJodzRkOFBlLy83M2FjMmJPbkluTXpFdzg5ZFJUdGQ2bzdzVVhYOFNrU1pNY2oxOSsrV1djT25YS0VYWU9IVHJrZU83S2xTczRkdXdZSG52c01lemZ2eCt2dlBLS1k1R0FCUXNXd0dnME9sWUNxdWppeFl2WXYzOC8vUHo4TUdqUW9ITFByVnUzcnR5UWtiTm56d0syWGlYbjVhV3JHa0lHMnhLd0xWdTJSTmV1WFhIYmJiZmh0dHR1Sy9mODZOR2pjZm55WmN5YU5jdXh5dHpDaFF1eGF0VXFQUG5razdVZWx2ZlJSeDhCQU1hT0hWdnRsNXR4NDhZaElTRUJodzhmeHB3NWN6QnQyclJhdGU4ZUFpVld6WkhEKzgxMUd5ZERIbVV3R0N5d2ZlNVU5M2tFSUZkSythMnFxbDlacmRhVW9xS2k4eGtaR2JtTlhHNjliTnUyRFlXRmhaVTI4U3dwS1Z1bnBiN0RWeE1TRWhBZUhsNXV4YlNMRnk4aUp5Y0hSVVd1UjJxWGxwYTYvSXpSYXJXVjZrbE1UTVRwMDZjeGZQandXdGVhazVPRFo1OTlGaUVoSWZqMTExK2hxbXE1cGU2cFpndzNSRVExRUVLb1RqOERaVUZHQXJnS0lGZFYxWDFTeW8vUG56Ly9UWFoyZHRYZnJMMVl4VTBvTlJvTmhCQXVoMmRzMjdZTkZvc0ZkOXh4Qng1NzdESHMzcjBiQ3hjdVJHeHNMQzVldklpLy9PVXZqdUZzRmUzY3VSTlNTdHgyMjIyVmxyQzI3d2RSMFlrVEoxeXUzT2JLcWxXcjhPT1BQK0xkZDk5MUdWUnljbktxZkYrMWxaaVlpRzNidGlFc0xLekdYY20xV2kzZWVPTU5qQmt6QmhzMmJFQ25UcDB3ZXZUb2E3NDJYUmRVMkc2MFZBak9WNldVZVFBT1N5ay9CckRKYkRaZjlsaVZickI1ODJZa0ppYkMzOThmUTRjT2RSeTN6K21yelJ5KzZuejY2YWZZdjM4L05tL2VqQTRkT2dDMi9iUGd0QmVXcTlkOCt1bW5sWTRQR3phczBvMmxMVnUyWU11V0xUaHk1QWorOHBlLzFLcW1ObTNhNE55NWN6aCsvRGdBSUNvcUNrOC8vWFNkMzl2MWpPR0dpS2htQXY4TE5ubFN5Z05DQ0xPcXFyc3RGc3V1ZmZ2MlZiOTkvWFhFWXJIZ3l5Ky94STAzM3VqWWswS3IxU0kzTnhkMzMzMDN3c0xDOE1JTEwxUTVoMlhIamgwQVVPNkxqTjBiYjd5Qk8rKzgwL0Y0MTY1ZGVQWFZWL0hnZ3cvaStlZWZkeHovOWRkZlhXNjZDZHVRUEZTeFRPeWxTNWR3N3R3NWRPelk4Wm9uN3hZVUZEaSs0RXllUExsVzdYVHIxZzFUcGt6Qk8rKzhnMFdMRnFGbHk1WVlQbno0TlYyZnJnc0svdmQ1VkFqQUxLWDhHY0FlSWNUUHljbkpHWjR1MEIwc0ZndE1KaE9FRUpXV2dyYnZsVlZWRDNCdFhMMTZGUWNQSGtTYk5tMGN3UVpPdmRDUmtaRXVYeGNSRWVGeWc5MksrM0twcW9yZHUzY0R0dVduNjJMejVzMG9MUzFGOCtiTkVSQVFnSjkvL2hscjFxekJILzd3aDNLOVRPUWF3dzBSVWMya2xESVZ3RmVscGFWYlZWWE5DZ2dJdUdBMm0wczlYUmhzZjBScmUxY1FUbis4bHkxYlZ1Tk8zN2ZlZXF0ai81WXJWNjdnN05tek9IMzZOTTZlUFl1TEZ5OWl3b1FKT0hIaWhLT0g0dlBQUDhmeDQ4Y3hmZnAwd0xiU3p3Y2ZmSURnNEdEY2ZmZmRDQWdJd01DQkF4RVRFNE1OR3phVXU5Ymx5NWZ4eXkrL0lEQXdzRnl2U3E5ZXZUQjI3RmgwNzk2OVhJK0tmWmhIeFUwMlEwTkRNWGJzMkVyemRZNGZQNDRyVjY2Z1U2ZE9MaWZ2SnlRa0FDNFdSNmhLZW5vNldyZHVqYlp0MnpxT3paOC9IMmZPbkVILy92MnJYRWpBbFpFalJ5SXJLd3RmZlBFRnBrK2ZqdUxpWXR4L2Y1T2ZEa0dlSVZWVlBRVGdIMWFyOVJ1dFZudXl1TGc0cDZsc0lPd3Vack1aUlVWRmlJNk9yclFpbXYwenpENS9yaWFabVpudzkvY3ZGNGJNWmpPc1ZpdDY5KzVkN2x4N0lIRU9QTTRHRHg2TVo1NTVwc1pyN3QrL0g1Y3ZYMFpBUUVDbGE5U2s0dnZOeU1qQTZ0V3JVVmhZV0c0SUxybkdjRU5FVkkyTEZ5OWVhTjI2ZGYrVWxKUUQ5dUVnVFkycXF0ZTBOMFBGRmRGY3NZZUFoeDkrR0VlT1ZKNTNucEdSZ1E0ZE9xQmp4NDZPV3JwMDZlSUlPN05telVKV1ZoWmVldWtseDRvL2MrYk1RV0ZoSVdiTW1GR3VyZSsrK3c1V3F4VjMzSEZIdVEzcmJybmxsanJ0UXhNU0VsS3VKNmZpKzQyUGo2LzBuTlZxeGVyVnF3R2dYTzlRZGI3KyttdHMyTEFCNjlhdFErZk9uYkYrL1hwczJyUUplcjBlcjc3NmFxM3J0WnM4ZVRLeXM3T1JrSkNBV2JObUlUczdHK1BIajNjNW9acXVYNnFxRGt0SlNVa0dZUEYwTFEzSnZrSmp4VjRQNXg2UjJ1N1J0R3ZYTGl4Y3VCQXpaODUwYkpKcC96eHdEaDVGUlVYWXUzY3ZZRnNsc1hmdjN0ZTh2OHgvL3ZNZlIvMzEzWURUdnZsbjQrNkQ1YjBZYm9pSXFwR1ZsVldZbFpXMTM5TjFWRWVyMWRacDc0UUZDeFpnOCtiTldMSmtTWTI5RlBaNU5rYWpFZUhoNGVqU3BRdHV1dWttckYyN0ZwY3VYY0ttVFpzQUFDYVRDUUR3eEJOUG9IUG56bzdoV0pHUmtUQVlESGp3d1FjZGJWWTF3ZDYrcEhMRkhicmR4ZjVseHI2NGdiTlBQLzBVeDQ4ZlI2ZE9uV3E5YU1DNWMrY2dwVVJZV0JqMjdObUR1WFBuQWdDbVRadFc1WGo5NmlpS2dsbXpadUgxMTEvSDl1M2I4ZGxubjJIZnZuMVl2SGd4Ti9Bamg1U1VsTDJlcnFFeC9Qampqd0NBZnYzNmxUdis3YmZmNHV6WnM0aUppVUg3OXUxcjFWWnVicTVqaGJXSzdmZnAwOGR4Yk4yNmRTZ29LRUI0ZURneU1qSXdjZUpFTEZpd29OTDh2NXBJS2ZIZGQ5OEJBTzY0NDQ1eXo5ay8vK3o3Yk5sOS9mWFhMaGVJZ08wbUVnQjA3OTY5VG5WY3J4aHVpSWg4UUZCUVVDM09LbU1QSGdFQkFiViszY3N2djF6dThkYXRXM0hwMHFWSzV5bUs0dWpGZ1czanpKRWpSOWJZKzNENDhHR2twNmVqZWZQbWxjYlh1NE9xcXZqcHA1OEFGK0ZtdzRZTmVQLzk5d0hiKzZ4WXEvMng4K3BKVWtwa1pHUWdMQ3dNZXIwZWI3NzVKcXhXSzhhTkcxZnRJZ0wySmJXcm1vdWowK2t3YTlZc3RHN2RHbXZYcmtWTVRBeUREVjEzVHA4K2pTTkhqaUFvS0tqY1hKYk16RXdzWExnUUFQRGNjOC9WdXIzYzNMSkY0a0pEUXdFQTJkblpPSExrQ0c2ODhVYkhVTFhjM0Z5c1dMRUNzQTB2M2JScEUxYXZYbzM3Nzc4ZmYvclRuMm9jd3V2TWJEWWpPenNiV3EyMjBzMFNlMjk0WW1JaTdybm5Ic2Z4cW43UGp4NDlDclBaREQ4L1AwUkZSZFc2aHVzWnd3MFJFVFVvVjMrMDdmdmVOR3ZXREFDd2Z2MTZ3SGFYc3lIMmV0bS9meit1WExtQ2R1M2FvVjI3ZG9CdGpzK2lSWXV3ZWZObUFNREVpUk1yM1NXRzA5ajc5OTU3RDZtcHFWQVVCY2VQSDhmcDA2Y3hiTmd3YUxWYXpKa3pCK3ZXcmNQNDhlTWRyeXNxS29LcXFvNzVRTm5aMmZqM3YvOE5BTlhlY1ZZVUJTKzk5Qko2OSs2TjIyKy8zYzMvRWtSTm43MG51aytmUG82YkN5ZFBuc1RFaVJOeDVjb1YzSGZmZmVWNlhKelpieHprNStjN2p0ay9iOExEd3l1MUQ5dlMwaSsrK0NJdVg3Nk1vVU9ISWpJeUVpKysrQ0p1dU9FR0xGMjZGTE5uejNhMHRXM2JOaHc1Y2dSU1NsaXRWcFNXbHFLNHVCakZ4Y1hvM2JzM0prMmFoRysrK1FhdzNVaXBlQVBwdHR0dXcvZmZmNDhaTTJaZzNicDFqczlBVjRxTGk1R2VuZzZMeFlJUkkwWndNODlhWXJnaElxSUd0MnJWS3V6Y3VSTUJBUUVRUWpoV0xiT3ZxQllkSFkxZHUzWlYydHZHWGV4Zlp1eTlOa2VQSHNXWU1XTlFWRlFFUHo4L3ZQamlpeGc1MHZYK3FzT0dEY1BXclZ0aE1wa2M4M0lBb0d2WHJvNHdFeDBkamVqbzZIS3ZTMDVPeHFSSms2RFZhdUhuNTRmQ3drTEE5Z1dyTm5kZ0syNHdTblM5c0srYWFPL0YzYlp0RzJiTm1vVzh2RHowNjlldlVrK3lzK2JObXlNNE9CaVptWm1PWHVQRGh3OGpJaUxDMFhOanY4bGduMitUbEpRRWs4bUVObTNhWU1xVUtZQnQrTmlqano2S08rKzhFOTkrK3kxMjd0eUpqSXlNYXBlZUh6ZHVIQUJnMzc1OWdJc2hhYkI5bm1SbloyUDkrdlZJVDArdjhkK2lXYk5tR0Q1OE9GNTY2YVVhejZVeUREZEsxVTFJQUFBT09VbEVRVlJFUk5UZ1dyZHU3WmlYSTRSQTI3WnQ4Y3d6enpqbS9Jd1lNUUxEaGcxcnNCM0g3Nzc3YnVqMWVzZVlkZnVpQnhjdVhNREVpUk5kTHUxcUZ4Z1lpSTgrK2dnRkJRV09nS0xYNjJ2Y1k2TnIxNjRRUXNCaXNjQmlzU0E0T0JnOWUvYkUxS2xUNjczNUlKR3ZLaW9xY2t5Zzc5ZXZIMVJWeGM2ZE81R1hsNGZCZ3dkanhvd1pOZmJ1VHA0OEdRc1hMc1RSbzBjQkFCMDdkc1JycjczbWVQNzU1NS9IOXUzYmNmUE5OenV1Yzk5OTkrSCsrKzlIcTFhdHlyWFZ0bTFiakJzM3poRmNDZ29La0plWDU5aG5TQWdCalVZRFJWRWNxNXl0WHIwYTI3WnRjN2tRaWhBQ1R6MzFGSjU2NmltVWxKUlVtbnZqVEZFVURrdTlCbFZ2bTB4RVJHNFYwVDN1RGdpNUpqZ29xTjBIU3hhaWIrK2JQVjNTTlN2OC8vYnVQc2F5c3k3ZytPODU5KzVidDhPMlMzZExjTVhhanJTMHU1ZTVkMmd0RWtTaHdTREVhdmpEQUlYR0dDTVJYeElKQmdsb29sRkkxRWcwcG9RWWlBbXhpU0VRamE4eElLYUJLSEhtRHJQdHZ0Z05vYlIwWmRtYTdxemQyYzdNUFk5LzdOMTFYSVo5YVhibW5IbjYrU1NiT1hQdmM4Lyt6ajg3ODkxejdybUxpMUhYOVNVdnFWakxhRFNLbE5LNlJReVg5MjlmL1kvNDFmZC9NTDd6ekRQUFJvNmYrY2FSdVN1L0d3WEZ1R1d5ZDI5c1NaOS95Y1RFeS83a0R6OFdiM2o5NjVvZTZZSzZybU4rZnY3QzNkQkdvMUU4OHNnamE1NEpvUmx0L25mRW1Sc0FydG9MdmZiYmJZMkJ5Nm1xNnYvZDVyblQ2UWdicnBqL09nTUFBSW9nYmdBQWdDS0lHd0FBb0FqaUJnQUFLSUs0QVFBQWlpQnVBQUNBSW9nYkFBQ2dDT0lHQUFBb2dyZ0JBQUNLSUc0QUFJQWlpQnNBQUtBSTRnWUFBQ2lDdUFFQUFJb2diZ0FBZ0NKMG14NEE0TVZtdERLS1E0ZVBOajBHTDFLSERoK041ZVhscHNjQVdCZmlCbUNETFo0OUczLzYwQ2RqeTVZdFRZL0NpOUR5OG5Jc25EN2Q5QmdBNjBMY0FHeVFwVndmMzVyUzhUcm43Yzh1TERROURpOTJPWDk3S2VmalRZOEJjQzJKRzRBTjh2VFIrY2RmTVhuWEExVjN5OTZtWjluTWRuYnIreUtsK3JubDlNV21aOW5NUmltZmZQckkvT05OendGd0xZa2JnSTFUZi9QWVk0Y2k0bERUZzJ4aVZiL2YvMERPdWY3R3dibmZqb2pjOUVBQXRJZTdwUUd3YVJ3NGNPQ1ZFZkdxcXFwZU5SZ01ibXQ2SGdEYVJkd0FzR2wwT3AwZlRpbmRGQkY3UnFQUnZVM1BBMEM3aUJzQU5vVjkrL2J0U0NtOU51ZDhmYzU1SXFWMDd5MjMzTEs5NmJrQWFBOXhBOENtY01NTk45eVVVcm83L1orN2QrM2E5ZEttNXdLZ1BjUU5BSnRDdDl1OUxlZThQeUlpNXh3cHBWNUUvR0RUY3dIUUh1SUdnTTNpcDFKS1czTytjSU8wN1ZWVnZhM1prUUJvRTdlQ0JtQXpxS3FxZXMrcXNJbng5b01SOGFHSXFKc2NEamFyMGNvb0RoOTlQTFp0MjliMEtHd2lodzRmamVYbDVhYkhXSk80QWFEMSt2MytHeVBpdTk1ZmsxSjZXYS9YZTkzOC9Qd2p6VXdHbTl2aTJiUHhpVC8vVkd6ZHNyWHBVZGhFbHBlWFkrSDA2YWJIV0pPNEFhRDFjczd2U2ltdCtWeW4wM2xIUklnYnVBcDF5aWVxU01mcm5MZWZXbWpuTDZtTnlqbDFxK2hXS2NYeUtLL2tsSHhnOEZweS92WlN6c2ViSG1PMXRYOVNBRUJMOUhxOXZkMXU5MTl6em5kOGp5V0hxcXI2a1ptWm1WTWJQQnBzWnRVckp1KzZvK3B1MmR2MElHMjBOZFYzN3R6ZStVak8rZnJuUi9HN2k4dngxYVpuYXFOUnFrOCtlWGorVUpzdURYYm1Cb0JXcTZycXRUbm5DNytBblQrRGMvNzlOeW1sdlNzcks2K1BpTDl0YmtyWWRPcHZIbnZzVUVRY2FucVFOdXIxZW1jajRteEthZnVPTFduKzhNSFpMelU5RTFmRzNkSUFhTE1xcGZTYWxOS3VTNnk1c2FxcWUveE1BOEFQQWdCYTY5WmJiNTJJaU5kR1JDZFduYlc1YUx1VFVycG5jbkx5K29iR0JLQWx4QTBBclRVeE1YRnpSRXl2dmdYMHhjYlB2V2I3OXUxN05uSTJBTnBIM0FEUVdwMU81ODBwcFJzdXR5N252THZUNmJ4cFk2WUNvSzNFRFFDdGxYTitNTWFYb0sxMUsranpqNmVVVWxWVkR6WXhJd0R0SVc0QWFLVmVyM2Q3U3VrMVYvR1NlL2Z2MzMvYk9vNEVRTXU1RlRRQXJkVHBkRTdYZGYzVHF4K3JxbXAvenZuOWNlNnN6Ui9WZGYzbzZ1ZEhvOUdaalo0VGdQWVFOd0MwMG5BNGZEb2kvbnIxWTFOVFU2ZXFxdnJsaUlpNnJyODhOemZuc3ljQXVNQmxhUUFBUUJIRURRQUFVQVJ4QXdBQUZFSGNBQUFBUlJBM0FBQkFFY1FOQUFCUUJIRURBQUFVUWR3QUFBQkZFRGNBQUVBUnhBMEFBRkFFY1FNQUFCUkIzQUFBQUVVUU53QUFRQkhFRFFBQVVBUnhBd0FBRkVIY0FBQUFSUkEzQUFCQUVjUU5BQUJRQkhFREFBQVVRZHdBQUFCRkVEY0FBRUFSeEEwQUFGQUVjUU1BQUJSQjNBQUFBRVVRTndBQVFCSEVEUUFBVUFSeEF3QUFGRUhjQUFBQVJSQTNBQUJBRWNRTkFBQlFCSEVEQUFBVVFkd0FBQUJGRURjQUFFQVJ4QTBBQUZBRWNRTUFBQlJCM0FBQUFFVVFOd0FBUUJIRURRQUFVQVJ4QXdBQUZFSGNBQUFBUlJBM0FBQkFFY1FOQUFCUUJIRURBQUFVUWR3QUFBQkZFRGNBQUVBUnhBMEFBRkFFY1FNQUFCUkIzQUFBQUVVUU53QUFRQkhFRFFBQVVBUnhBd0FBRkVIY0FBQUFSUkEzQUFCQUVjUU5BQUJRQkhFREFBQVVRZHdBQUFCRkVEY0FBRUFSeEEwQUFGQUVjUU1BQUJSQjNBQUFBRVVRTndBQVFCSEVEUUFBVUFSeEF3QUFGRUhjQUFBQVJSQTNBQUJBRWNRTkFBQlFCSEVEQUFBVVFkd0FBQUJGRURjQUFFQVJ4QTBBQUZBRWNRTUFBQlJCM0FBQUFFVVFOd0FBUUJIRURRQUFVQVJ4QXdBQUZFSGNBQUFBUlJBM0FBQkFFY1FOQUFCUUJIRURBQUFVUWR3QUFBQkZFRGNBQUVBUnhBMEFBRkFFY1FNQUFCU2gyL1FBQUFDWE1qMDlmVlBPK1RkeXp2ZW5sRjRSRWM5RnhFek8rZVBENGZBZlh1QnUwOVRVMUR1cnFucDNSTHc2SWw2YWMzNDJJZzZubEQ0OE96djd5RFUrREdBRE9ITURBTFRXWURCNFZjNzVZRVI4SUNKK0tPZThFQkV2aVlnM3A1VCtmbXBxNmpldmRwOTMzWFhYN242Ly95OVZWWDBtSW40aTUzeGpSSnlNaUYwcHBSK05pT24xT1JwZ3ZZa2JBS0NWSmljbnQrV2MveVlpWHBaei92Sm9OTHB0T0J6ZXZMQ3djRk5FZkRvaUlxWDBlMU5UVTYrNzBuM3UyN2R2eDlhdFcvOHhwZlNHblBQaHVxN2ZPaHdPcjUrZG5YMzVjRGpjbG5PZVdsNWUvc0s2SGhpd2JseVdCZ0MwMHNURXhDK21sQ1lqNHVUaTR1TDlSNDRjZVNZaTR0aXhZd3NSOFF2OWZuK1FVbnAxUkh3b0l0NTZKZnZjczJmUGI2V1U3czQ1ejFWVjlXTXpNek9uVmo4L0hBNi90bDdIQTZ3L1oyNEFnTFo2ZDBSRVhkZWZPaDgycTR4eXpuODIzcjd2OXR0dm43amN6dnI5L3A2SStQV2NjNzJ5c3ZLZWk4TUcyUHpFRFFEUU9nY09ITGp4L0h0ZnFxcjZwN1hXZERxZEw4YTVTOU8yN3RpeDQ3THZrMGtwdlN1bHREVWl2bkR3NE1HRDZ6QTIwRENYcFFFQXJkUHBkTzVNS2FXSWlQRU5CYjdMek16TTEvdjkvdk1wcFcxVlZiMHlJcjUwcVgzbW5OK2NVb3FVMGovM2VyMmQzVzczZlRubnQwVEUzb2c0bmxMNnV4TW5UbnppcWFlZVdseXY0d0xXbDdnQkFOcm9CK0pja0N3Tmg4UHZmSTgxT1NMK2E3eDJ6eFhzY3pEZTU3ZTczZTVYSXFJMzdxZUlpRHNqNGsxNzkrNzl1ZDI3ZDk4M1B6OS80bG9kQ0xCeFhKWUdBTFJPVlZYbjMwUHozR1dXbm9sendiTHpVb3VtcDZlM3BKUnVIbi83NFp6empvaDR5NGtUSjY0N2MrYk1UVG5uWDRxSXN4RnhvTlBwZlBxYUhBU3c0Wnk1QVFCYUorZThkWHhXWmVWUzYxSktvL0g2K2pLNzNMWHFOZCtYYzc1emRuYjJpZkZEaXhIeDBHQXcyQllSZjV4UytzbkJZTkNibloyZHZ3YUhBbXdnWjI0QWdEWTZFK2RDWlB0bDFsMDNYdmMvbDFwVTEvV0Y2ODl5em44eEhBNmZ1SGpOd3NMQ1ErT3pOMUhYOVkrLzRNbUJ4b2diQUtCMWNzNG54NXNUMDlQVDExMWkzYzF4TG02ZXV0VCtUcDgrdlhCK082WDAyRnByamgwNzlueEVmR1A4N2N0ZjJPUkFrOFFOQU5BNm5VN242UG50bFpXVjI5ZGFzMy8vL3U5UEtlMk1jMmRhSHIzVS9vNGRPL1o4enZsYmNTNklkbDlpNlVxY0M2RG5YL0R3UUdQRURRRFFPak16TS8rWmN6NFI1MExudnJYV2RMdmROOGI0N21kemMzTlg4djZZZng5L3ZYdXRKNmVucDdkRXhHM2pmUjVkYXczUWJ1SUdBR2lqT3FYMDJmSDJlL2Z0Mjdmam91ZXJxcXArWmJ6OW1ZaTQzQTBGSWlJZUhuOTkyNEVEQnc1ODExOVkxKytOaUIwUnNkanBkTmI4NEZDZzNjUU5BTkJLUzB0TEh4dmZXT0RXUFh2MlBOenI5ZlpHUkV4T1RyNmszKzkvTWlLbUkrTGs0dUxpUjFlL2JqQVlmTHpmN3o4NUdBemV0L3J4NFhENHVZaVlTU21sYnJmN3VWNnZOeGcvbGZyOS90c2o0dmZqM0ZtYlA1aVptVGtad0tZamJnQ0FWbnIwMFVlZmpJZ0hjczVMS2FYN3U5M3V0L3I5L3BNVEV4UGZTU245ZkVTY3F1djYvaU5Iamp4ei9qWFQwOU83SXVMWFVrcjdjczRmdkdpWGRjNzU3VG5uSjFKS2s5MXVkMll3R0R6ZDcvZi9PNlgwMlpUUzlUbm52eHdPaDcrejhVY0xYQXZpQmdCb3JkbloyYzlIeEQwUjhWYzU1MmNpWW05RUhNODVQN1MwdEhSZ2JtN3VLNnZYejh6TW5NbzVQNXh6Zmk2bDlOREYreHNPaDA5VVZmWHFuUE5ISStKb1JOeVlVcXB5emwvS09iOWpPQncrRUJHakRUMUk0SnJ4SVo0QVFLc05oOE92UmNUUFhzWDZkMTdxK1ptWm1WTVI4YUh4SDZBZ3p0d0FBQUJGRURjQUFFQVJ4QTBBQUZBRWNRTUFBQlJCM0FBQUFFVVFOd0FBUUJIRURRQUFVQVJ4QXdBQUZFSGNBQUFBUlJBM0FBQkFFY1FOQUFCUUJIRURBQUFVUWR3QUFBQkZFRGNBQUVBUnVrMFBBQUJYSytlOE5TTHVHUXdHMjV1ZUJTaFBYZGQzUk1TT3B1Zmc2b2tiQURhakcxSktIOGs1cnpROUNGQ2VxcW82T2VlZEViSFE5Q3hjSFhFRHdHYnlyWnp6MTFOS1RjOEJGQzZsOUZ4RUhGOWFXbnFpNlZtNGNuNDZBTENaVlAxKy80NmM4OTZtQndIS1Y5ZjF5Zm41K1VNUlVUYzlDd0FBQUFBQUFBQUFBQUFBQUFBQUFBQUFBQUFBQUFBQUFBQUFBQUFBQUFBQUFBQUFBQUFBQUFBQUFBQUFBQUFBQUFBQUFBQUFBQUFBQUFBQUFBQUFBQUFBQUFBQUFBQUFBQUFBQUFBQUFBQUFBQUFBQUFBQUFBQUFBQUFBQUFBQUFBQUFBQUFBQUFBQUFBQUFBQUFBQUFBQUFBQUFBQUFBQUFBQUFBQzh5UHd2cHVLNXBHSzBGTXNBQUFBQVNVVk9SSzVDWUlJPSIsCgkiVGhlbWUiIDogIiIsCgkiVHlwZSIgOiAiZmxvdyIsCgkiVXNlcklkIiA6ICIyNDMyNTA3OTgiLAoJIlZlcnNpb24iIDogIjYxIgp9Cg=="/>
    </extobj>
    <extobj name="ECB019B1-382A-4266-B25C-5B523AA43C14-3">
      <extobjdata type="ECB019B1-382A-4266-B25C-5B523AA43C14" data="ewoJIkZpbGVJZCIgOiAiNDM5OTc5MTgxMzQ5IiwKCSJHcm91cElkIiA6ICIxNDA0ODkyMDgiLAoJIkltYWdlIiA6ICJpVkJPUncwS0dnb0FBQUFOU1VoRVVnQUFBN3NBQUFDY0NBWUFBQUMrMjd6bEFBQUFBWE5TUjBJQXJzNGM2UUFBSUFCSlJFRlVlSnp0M1hsZ0RPZi9CL0QzN0c2U3pka2dJZ2ppYXNWUlFxa2dSVXVxVVhkUlJ3L1VVZXFvcXFOYVdxcUN1a3Zkb2FRSVFwMXhsNVFnQ0VFUVFoQVNrc2hLUXE0OWZuOThkK2VYelc2U1RTVFppUGZybnlZN004ODhvL1pqUGpQUDgza0F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eWxXRHVEaGhUdWFaN0RTc3JxNXJtN2dlUk9XazA2bnYzYm9iZk5YYy82TlZWcFhiRGFwWVdzdHJtN2dkUldaQ1JrWEUzOXU3MWUrYnVCNzA4eGthaTRsRWE0MlNwUzNiZDNKcTR3VnF6RlVCMWMvZUZ5SndFRGVLenNwUTlZNkt1M1RaM1gralY0K2JXeEExeWpSOEUxRE4zWDRqS2lQdktUT1VBeHVSWEcyTWpVYkVxZFhGU1p1NE9HSkRERFJEZWxBaUNvN1ZjRHFsTWF1NGVFWlVvbFVxTnRMUTBxRFZxUjVsTVdnZEFxUWtZOUFxUnd3MEM2a2tFaVF0aktWSGgvWDlNMXNnWms4c0F4a2FpSWxlYTQyVHBTM2ExSE96dE1mcnJZYWp2L3BhNXUwSlVvbTdkanNMU1AxY2pQaUhCM0YyaE1vQ3hsT2psaURFNU1kSGNYYUVpeE5oSVZIUktjNXdzdGNtdWhZVUY2cnUvaFpZdDNqRjNWNGhLbEpXbEpheXNMTTNkRFNvakdFdUpYZzVqY3RuRTJFaFVkRXB6bkpTWXV3TkVSRVJFUkVSRVJZM0pMaEVSRVJFUkVaVTVUSGFKaUlpSWlJaW96R0d5UzBSRVJFUkVSR1VPazEwaUlpSWlJaUlxYzVqc1VwRlFxVlRtN2dJUlViNWlZMk1SRVJHQnRMUTBjM2VsMUhqMDZCR1NrcExNM1EwaU1qT2xVb21JaUFqY3YzL2YzRjBoS2pKTWRzdUlLMWV1NE42OWUvbnVwMVFxc1cvZlBtUm1aaGJKZWE5ZnY0NFJJMFpnK3ZUcFJkSWVFVkZ4V3IxNk5UNzc3RFBjdmwwODY5MmZPSEVDUzVZc3dlblRwd3ZkeG9vVkt6QjU4dVJjdHo5Ky9CaXpaczFDZUhnNEFPRFdyVnY0OGNjZmtacWFXcWp6elpzM0R4MDZkTUNoUTRjSzNXY2lldlVsSmliaXM4OCt3OXk1YzR1bC9mVDBkQ3hac2dSTGxpeUJVcWw4cWJabXo1Nk50bTNiWXNlT0hVWFdQeXFiU3UwNnUxUXdYMzc1SmRxMmJZc0ZDeGJrdWQrbVRadXdkT2xTbkR0M0RyLzg4c3RMbjlmYTJocGhZV0ZRS3BYbzJyVXJXclJvOGRKdEVoRzlxczZjT1lPQWdBQUFRS3RXclFyVnhvVUxGM0RwMHFWY3QyL2Z2aDJCZ1lHb1Zhc1czbjc3YlZ5K2ZCa0hEaHlBdGJVMXBrNmRXcUJ6UFgvK0hDRWhJWkRKWkl6ZlJGU3MwdFBUc1dIREJnREE4T0hESVpNVkxnMjVkdTBhdG0vZkRqYzNOM2g3ZStQRml4ZUY3cE9OalkzZTc4dVdMWHVwRjBJMWF0UkF6NTQ5QzMwOEZUMG11NitaZ1FNSDR0OS8vOFhldlh2UnJsMDd0Ry9mL3FYYWMzTnpROSsrZmVIdjc0ODVjK1pnNjlhdGhRNWVSRVNGOWVqUkkyemN1REhmL1hSdlF6ZHUzSWdLRlNya3UvOW5uMzJHS2xXcUZFa2ZpMEptWmlZQ0F3TmhZMk9EcmwyN0FnQjY5T2lCclZ1M0lqQXdFRjI2ZE1IYmI3OXRjTno4K2ZPUm5KeHM4SGxpWWlLeXNySmdiMitQaFFzWEZxcFBSZkhnbElpS1YwQkFBTzdldlp2blBycnBIWGZ2M3NXY09YUHliYk5telpybzA2ZFBrZlhSRk9ucDZXTE1pWTZPUnJ0MjdWNnF2ZURnWUwyRTkrKy8vMFpHUmdhc3JLd0sxYmZtelpzejJTMWxtSldVWVh2MjdERTZUS1JseTVhd3Q3ZUhRcUhBenAwN0RiYS8rKzY3QmJxNSsrcXJyM0R3NEVHMGJOa1M2ZW5wc0xPemUrbStFeEVWUkdKaW92aEcxUlJIang0MWFUOGZINTlTbGV6dTNic1hDb1VDZmZ2MmhhMnRMUUJBS3BYaTIyKy94ZWpSbzdGeTVVb3NXN2JNNExqRGh3OGpQajQrMTNaVFVsS3dkKy9lUXZXSnlTNVI2WGZ5NUVtRWhJU1l0RzljWEp4SjhkVFQwN1BFazkzNTgrY2pLaW9LM2J0M1I0MGFOVjY2UFV0TFM0UFBhdGFzaVczYnRoV29uUmN2WHNETHkrdWwrME5GajhudUt5dzlQUjFxdFZyOFhhMVdpME01cksydDRldnJpL1QwOUZ5UHoyMU8yWnc1YzFDbFNoVjg5dGxudUhQbmprbDlVYXZWMkxWckYzYnQycFh2dm8wYk44Ynk1Y3ROYXBlSXlCUU5HalJBY0hCd3Z2dk5tVE1IZS9mdXhZb1ZLOUNnUVlOODk1Zkw1VVhVdzVlblZDcXhidDA2QUlDTGl3dU9Ieit1dDkzTHl3c2RPblRRKzd4R2pScW9WYXNXTm0zYVpGQkk4TTZkTy9qbW0yL2c0dUtDdFd2WFFoQ0VFcm9TSWlwcDgrZlB6N2VZYUh4OFBIcjI3SWtXTFZwZy92ejUrYllwbFVxTHNJZjUyN2h4SXdJREErSGo0NE9mZnZxcDJNNlRscGFHOCtmUEYraVlqSXlNWXVzUHZSd211Nit3bk1sb2NIQ3crRlJwejU0OWdQYXBtNmtCNGZqeDQ1ZzNiNTc0dTdPenM5RmsrY21USjBoTlRZV1RreE1jSEJ3SzNHOVRoZzRTRVJXRVJDSXhtSHRsak83bVRDNlhtN1IvU2NuKzhGTDMzK3p6MEd4c2JMQm56eDdFeHNZQ0FCWXZYbXkwblp3Si94ZGZmSUV4WThiQXljbkpZRi9kRytBK2ZmckF4Y1dsQ0srR2lFb2JVNGJsNmg3dVNhWFNVaFVmQVNBd01CQ0xGaTJDblowZGdvS0NFQlFVVk9pMjJyUnBrK2UwamRqWVdBd2ZQcnpRN1ZQcHdtVDNGZWJ0N1kwblQ1NEEyaUJRdVhKbGVIcDZBdGttM0Z0YVdxSlNwVXBJU1VuQjZ0V3JNV0xFQ0wwQXRtN2RPdmo0K01ERnhjVWdjYzN0cWQ3RWlSTng5T2hSakIwN0ZqNCtQc1Y0aFVSRXBvdUtpc0wyN2R2ejNLY2djM1lIRFJvRVoyZm5JdTFqYnJwMzcyNHd6RGo3a0xqZzRHQ3NXTEVDQUZDdVhEbk1tREZEYjk5ZmZ2a0ZhV2xwOFBYMTFmdThhdFdxUnM4WEZ4ZUhnd2NQd3NyS0N0MjdkeTlVZ1JkTFMwdldhQ0I2aGZ6MTExL2lBek5qQ2pKbnQyN2R1aVUyTjNYdDJyVll2bnc1NnRhdGkwOC8vUlF6Wjg1RTE2NWRVYjE2OVFLM3RXclZLcjFSa2NhNHVycGk5dXpaQldvM0l5TURYMzMxVllIN1E4V1AvMHE5d29ZT0hTcitIQmdZaURmZmZGT3ZFdWVRSVVOUXRXcFZ4TWJHWXZUbzBiaDc5eTdzN093d2JOZ3dBRUJJU0FpV0xWc0dmMzkvK1ByNm9tSERocGd5WlFycTFhdVg1M2wxYjN1dHJhMkw3ZHFJaUFycTBhTkhKcy9iTldYT2J2ZnUzZldTWFpWS2xlOVFOVjJkQktWU21XOENhV1ZsSmI1cC91aWpqL0RzMlRNQXdILy8vWWZFeEVSMDY5Wk4zSGZkdW5WSVNFZ1FqOHRaNlZrdWx5TXJLOHZrQ3RETGx5K0hVcW5FSjU5OEFvbEVVcWk1Wmw5Ly9UVnY3b2hlSVljT0hjTDE2OWZ6M2MrVU9idHQyN1kxU0haelRxL0xLZnY2NW1scGFYa09xNVpJSk9LYjVnb1ZLc0RWMVJYTGxpMURXRmdZQUtCang0NkZxbmkvZnYzNmZQZXh0TFJFL2ZyMUM5VHV5MVNFcHVMRlpMY01Heng0TUM1ZXZJZ3Z2dmdDaVltSitQTExML1VTWkU5UFQ4eWNPUk16Wjg3RXlKRWpNVzdjT0F3WU1DRGZkblZmYUYxeEZDS2kwcUIxNjliNXJtODdlL1pzN05tekI2dFhyODUzem03T3dpV25UNS9HdUhIalRPcUx2NzgvL1AzOTg5em45OTkvRnl2aWp4MDdWdng4Nk5DaFNFcEt3clJwMHdEdE9yb0RCdzZFVENZcmtubTFFUkVSMkxkdkgrUnlPUVlQSGd3TEN3dTgvLzc3SmgzNzZORWozTGh4QXpERGZEMGllamwrZm41NUpxUHg4ZkhvMXEwYjNuMzMzWHlyc3h2Ny9uLzExVmNtSmRNQThNRUhIK1M1dlc3ZHV0aXlaUXVnZmZEWXRtMWJsQ3RYVHR4KytQQmgzTHg1MDZSelpXZktza0ozNzk1RjY5YXRDOXcybFU1TWRzc290VnFOdFd2WFl0V3FWWkJLcFpneFl3WTZkKzVzc0orUGp3L2MzTnd3YnR3NExGaXdBTGR2MzhZUFAvd0FDd3VMWE52V0xWL3g1NTkvNW5zenA5TzhlWE1NSERqd0phNklpQ2h2RW9razMzbHBFb2tFQUdCaFlWSGdwU1hrY25tK2MxdVRrNVB4NHNVTDJOcmF3dDdlUHQvMjhxTlVLakY5K25Rb2xVcU1HREZDZk51Uzh5MkNScU14K3JtRmhZVmVQRmVyMVpnN2R5NmduYXVyRzhxZHZWNURiZzRmUG95Wk0yY0NBSHIyN0luKy9mdm5ld3dSbFI1NTNkdGwzMjVLTERYR3lja3B6eGlwMFdqdytQRmpRRnRrTHk4VksxYlUrejE3b2d2dDZKekNUS013SmRsMWNIQkFseTVkOUQ1TFNVbkJQLy84QTdsY2pwNDllNHIvbG1TWGxaV0ZpSWdJSEQ1OEdCMDdkaXh3MzZoNE1Oa3RnK0xqNDNIcTFDbXNXTEVDTmpZMitQWFhYOUc0Y1dNb0ZBcWorMWVwVWdXclZxM0NtREZqc0h2M2JyaTd1K2RaU2o0cEtRbklOdmZORkN4K1FrVEZhZkhpeFhsV245Y3A2RHE3OXZiMkdEbHlKS0I5YUxkdjM3NDg5NTh6Wnc0Q0FnTHd5U2VmWU15WU1TYjNQemRLcFJJV0ZoWndkM2ZIb0VHREVCQVFnTGk0dUZ5SEhlZjhmUERnd1JnMWFwVDQrL3IxNjNIbHloVkFXOEhhRk0rZlA4ZWlSWXNRR0JnSU96czd6SjQ5Rzk3ZTNpOTFYVVJVY3M2ZlAyL1MxSTJDcnJNTDdSUU0zZHJlaXhZdHluTmZoVUlodnRFTkRBd3NWRUt0NCt2clc2aGh6RzNidHMxM253b1ZLdURiYjc4MStGd3FsU0l3TUJCSlNVbjQrZWVmeFdRN0pTVUZPM2Jzd09iTm01R1FrSURaczJlalZhdFdIQUZaU2pEWkxVUHUzYnVIYjc3NUJtZk9uTUdKRXlkdzgrWk5DSUtBOGVQSDUzdnM4dVhMc1c3ZE92ajcrK09UVHo3SmRUK2xVb21uVDU4Q0FJNGRPNWJ2VTBJL1B6K3NXN2VPWDNnaUtsYUJnWUZJVFUwMWVYOVQxOW10V0xHaW1PeWFnMXd1eC96NTg1R1NraUxlV05uYjIyUHc0TUY2KzYxZnZ4NFpHUmtHRlVSMU42RUFjUDM2ZGF4Y3ViSkE1Nzk4K1RKKytPRUh4TVhGb1VXTEZwZytmVG9mWGhLOVlpSWpJd3UwRHJtcDYrd0N3SnR2dnFrWFowckt5Wk1uOGVEQmd3SWZsNVdWVmVoelRwbzBDYkd4c1RodzRBQmlZbUl3ZHV4WUhEdDJERHQzN2tSYVdocnM3T3d3WU1BQTlPdlhqL2U5cFFpVDNWZlkwNmRQY2ZMa1Nmejc3NzhBZ09qb2FEeDQ4QUJ0MnJTQlRDYkRwRW1URUJvYWFuU29CUUNFaFlXSmM2OGtFZ21jbkp6MDVvMFpFeE1UQTJpSHFyenh4aHY1OWxFM1hNVE96cTdBMTBkRVpLcWdvQ0J4S0s4eElTRWhtREpsQ3F5dHJaR2Ftb29CQXdaZ3hJZ1J1ZTZ2VnFzaGtVaHlqWjhseWNuSlNXL3BJRnRiVzN6KytlZDYrK3pZc1FNQUREN1hTVXhNeElRSkU2QlVLdkhHRzIrSXhiRHljK3pZTWNURnhXSFlzR0VZTm13WTErSWxlZ1gxNmRNSDNidDN6M1Y3VmxZV3Z2dnVPNFNGaGNIT3pnNUtwUkxidDIvUDlUNVBGeDlocExaQlNkbTJiVnV4bjBPaFVPRDA2ZE00ZWZJa1ZDb1Y1czJiaHdVTEZtRDY5T2s0ZE9pUVdLRFB4Y1VGSTBlT1JMZHUzWmprbGtKTWRsOWh2WHIxRXVmUEFrRERoZzJ4YU5FaXZYa056WnMzUi9QbXpmV09TMDFOeGNLRkMzSGp4ZzNZMmRsaHpKZ3hlT2VkZDB3NjU3VnIxd0J0NFFCVDZPYVA1VGQzallqb1plUlZIVDRzTEF6VHBrMkRsWlVWMXF4Wmc1OS8vaGs3ZHV6QUYxOThZVENVT1RZMkZyTm56MGJseXBVeFpjcVVFdWg1OGN2SXlNRDQ4ZVBGdDdQTm1qWERuMy8rQ1dpWElqbDM3bHl1eDBaSFJ3UGFDdEc2NGM4NVRaMDZGWlVyVnk2bTNoUFJ5NUxKWkxuT2IxV3BWSmcyYlJyQ3dzTFF0V3RYdEd2WER1UEhqOGVXTFZzTWh2SnFOQnJzM0xrVDY5YXR3N0pseTFDalJvMFN1b0wvWjIxdERSY1hGMHliTmcxMTZ0VEJ3WU1IWVdGaGdTNWR1cGowTUc3ZXZIbTU5dnZldlh0SVQwOUhRa0lDaGd3Wmd2RHdjTEdnbDI2S2lLV2xKV2JQbm8zV3JWdmpqei8rUUh4OFBKS1NrbkR4NGtWWVdGaWdZY09HcUZtenBrazFHYWhrTU5sOWhiM3p6anVvWHIwNk9uZnVqTjY5ZTZOQ2hRb0dFL2h6dW5qeEluNzY2U2ZFeGNXaFhidDJtREpsaXQ0YmcveWNPblVLQU5DNGNXT1Q5azlKU1FHMGsvMkppRXJhc1dQSE1HM2FOR2cwR2l4WXNBQjE2OWJGcUZHak1IcjBhUHorKysvaVdvcVptWm5Zc21VTFZxNWNpZlQwZERnNE9LQmZ2MzV3YzNNejl5VVlWWkFDVlZsWldZaUxpNE9ibXh2bXpwMnJ0eFp4WkdRa1FrSkM4ajFmUkVSRXJ0dWVQMzllaUNzZ0luTkxUVTNGbENsVGNQcjBhWGg1ZVdIcTFLbVF5V1JvMUtnUnRtN2RDaDhmSDd6MTFsdUF0aXE4cjY4dkxsMjZCQURZdkhrekprK2VYT0o5YnQyNk5mYnQyNGVNakF5TUdqVUtZV0ZoK09xcnJ3eldLYy9ORjE5OGtldGM0Y1dMRndQYVFvT1hMbDFDdzRZTjhkNTc3OEhUMHhQdTd1Nklpb3JDeVpNbjBiSmxTM3o4OGNmbzBLRURkdS9lamQyN2QrUDQ4ZU00ZnZ5NDJGYjU4dVhScVZNbmZQZmRkMFYwNVZSWVRIWmZZYVpVejlUUmFEUll2MzQ5bGk5ZkRybGNqdW5UcDZOcjE2NEZPdCtMRnk5dzh1UkpBRUNiTm0xTU9vYkpMaEdaZzBxbHd1clZxN0Y2OVdwQVd6aEZOOHFsVmF0VzhQYjJ4cUZEaDlDb1VTTTRPRGpnenovL1JGeGNIQndkSFRGa3lCRDA3ZHUzVkExSFU2bFU0bElmQlNsUU5XellNQXdmUGh5Ly9QSUxYRjFkRFViWi9QcnJyL2oxMTE5elBlL0NoUXV4YWRNbXJGeTUwdVFSUUVSVSt0MjVjd2ZmZmZjZDd0Ky9qN2ZmZmh2ejVzMFQzLzVPblRvVkF3Y094TVNKRXpGMzdseHMyclFKQnc0Y2dFYWpnYWVuSjRZT0hXcnlTNC9pa0pLU2d1Ky8vMTVjYzNmTm1qVllzMmFOeWNjM2JkcFUvTGNodTY1ZHUrTCsvZnZvMzc4LzJyVnJoL0xseSt0dHYzbnpKdjc0NHcvWTJOakEzZDBkY3JrY2ZmcjBRWjgrZlJBYkc0dlEwRkNFaDRlTDB3cHpya05NNXNGazl6V1FtWmtwemkrb1hidDJya000WW1Oak1YLytmUFR0MjlkZzZETUFiTisrSFdscGFhaFJvd2JjM2QxTk9yZHVYcGdwODN1SmlJckM5ZXZYOGV1dnY0bzFDYUF0b3BMZHBFbVRjUFhxVmN5ZlB4L1FQb1VmTzNZc2V2ZnVuZWVRNkpKMDdkbzE4VzNCaUJFanhLVXNDbEtnU25kRDJySmx5eExzT1JHVlZwbVptZkR6ODRPZm41OVlyS2xtelpwNkJVZnIxcTJMTVdQR1lNR0NCZUlTWTE1ZVhoZzZkS2pKVmR5THk1MDdkL0Q5OTk4ak9qb2FNcGtNTGk0dW1EaHhZcDR2VlRRYURRSURBN0Zueng3STVYTDA2OWZQNkg3Mzd0MUQ2OWF0RVJNVGcwMmJOaGs5TndDY09IRkNYRUlwSndjSEIzaDZlaFlvK2FiaXhXUzNqRXRQVDhlNGNlTVFHaG9LTHk4ditQcjY1anFQSUNFaEFjZVBINGU5dmIxQnNxdFFLTEJod3dZQUtOQjZ1YnBsaXZJYlhrMUU5TEllUFhvRVB6OC83Tnk1RXhxTkJqNCtQbEFxbFRoMDZKREJ2bzZPamxpNGNDR0dEaDJLNU9Sa2RPalFBWjkrK3FuWmlxMUEyLy9RMEZBOGZQZ1FhclZhTERZbGs4bjBpbThWcGtBVkViM2VWQ29WRGg4K2pCVXJWdURCZ3dkd2NuTEMxMTkvTGE2ZG5kT0FBUU1RSFIyTndNQkFPRHM3NDZ1dnZqSnJvcXRTcWJCNTgyWXNXN1lNVXFrVWMrYk1RZVhLbFRGeDRrVE1tREVEWThlT1JhZE9uUXlLQ2w2NmRBbUxGaTNDbFN0WDRPN3VqcGt6WjZKbXpacEd6eEVZR0NnV1lzM0wyYk5uY2ZiczJWeTNseTlmSGtPR0RDbkVWVkp4WUxKYnhzMmFOUXVob2FIbzFxMGJwazZkS2c2RE15WXhNUkhJWlUzY3VYUG5RcUZRd05YVjFXQ2g3ZHlvVkNxeFRTYTdSRlJjMHRQVE1YdjJiQnc0Y0FBcWxRcE9UazZZUEhreTJyZHZqMW16WnVWNlRGSlNFbGF0V29WdnZ2a0dBUUVCT0hmdUhJWVBINDRPSFRxVWFCWG1sSlFVREJnd0FBOGZQaFEvYzNSMFJPdldyZUhsNVFWUFQwOVd0Q2VpUWdzT0RzYnZ2Lzh1Sm5LZE9uWEN4SWtUODF5RzU5YXRXeGd5WkFnc0xDeXdkZXRXREI0OEdOMjdkOGZnd1lOTGZQbXg0T0JnTEZxMENOSFIwYWhWcXhibXpKbURXclZxQVFEOC9mMHhiOTQ4L1BUVFQxaTdkaTBHREJpQWpoMDdJaXdzRFA3Ky9qaC8vandjSFIweGFkSWs5T3JWSzgvNzRNREF3RHlyK2djRkJXSDY5T21ZTUdFQ2V2ZnVuZXQrckZwZnVqRFpMY051Mzc2Ti9mdjN3OFBEQXovKytHTytOMis2R3kxWFYxZTl6Ly8rKzI4Y1BIZ1EwTTdqeUc5dFhaM3IxNjhqS3lzTERnNE9yRXBIUk1WR0xwZERJcEhBeXNvS24zLytPUVlPSEpqclVPUXJWNjVnNzk2OU9IRGdBR3JYcmcwL1B6LzgvZmZmK09tbm4zRDI3RmxNbVRJRml4Y3Z4b2NmZmdndkx5OXhYbFpNVEV5ZU4wRTZ1clYrVTFKU1RGb0RVaEFFdUxxNndzSEJBZGJXMXZEeThvS1hseGNhTldxVVo4dzJ0VUJWOWo4ZklubzlWYXRXRFFrSkNmRHc4TURZc1dQUnFGRWpRRHVpTDd1VWxCUWNQbndZLy96ekQ2NWV2WXBseTVaaDRzU0pjSGQzeDV3NWM3Qmp4dzdzMnJVTExWdTJoTGUzTjVvMWE0YktsU3NqT1RuWnBPWE1zcThnOHZEaFE1UHVKeDBkSGFGUUtQRGt5Uk9NSFRzVy9mdjMxNnNzN2Vqb2lGbXpacUZQbno2WVBIa3laczJhcGZlUXMyZlBudmoyMjI5aFkyT1Q3N255U29TaFhhWlQ5OS9jcWx0VDZjUC9VMldBYmkzYm5FK1NidDY4Q1FDb1hyMTZ2amM2eWNuSkNBd01CQUI0ZUhpSW4rL2F0VXVjMHpaNDhHQzBhTkZDNzdobno1N2h5Wk1ucUZ5NXN0NmJCNFZDSVI2WHZUMGlvdUl3YWRJa2pCa3p4bUFVaVM3NTlQUHpRMGhJaVBobXc4cktDazJhTkFFQVZLaFFBY3VYTDhlaFE0ZXdmUGx5UEhqd0FCczJiTUNHRFJ0UXYzNTlyRisvSGoxNjlCQ1hvREJGWUdDZ0dGUHpJcGZMY2VyVUtheFpzOGJraDRJRktWQUY3WHhlM2MxdFFla2VndktCSmRHcnk4M05EZHUyYlVPVktsWDBQdGZGeDZpb0tJd2ZQeDZuVHAyQ1Vxa0V0UE40bloyZEFRQmR1blNCcDZjbmxpMWJodjM3OStQVXFWUGk2aHdMRnk1RVpHU2t1SnlacWZKNk01cmQyTEZqOGZubm4rUDk5OS9YS3hxWWtwS0NHemR1NE9yVnE3aDgrVExDd3NLUW1wb0tTMHRMdlAzMjI3aHg0d1pTVTFNUkdCaUlreWRQd3QzZEhYWHIxa1dOR2pWUXRXcFZWSzVjR2VYTGw0ZWxwU1hXclZ1WDUxdHVuVnUzYmdIYXBkZ1VDb1ZKL2M5WlI0RktIcFBkVjlpMmJkdVFsSlNFdTNmdkFrYUdDdGVwVXdjQThNOC8vK0RhdFd1b1hMbXkwYVEzTFMwTkVSRVJTRTFOeFh2dnZZY3FWYXBBbzlGZzFhcFZXTFZxRmFBZDh2TDExMThiSFB2MDZWTjgrdW1uZ1BibTBjSEJBVktwRkUrZVBCRVhIUjgwYUZDeFhEOFJrWTVjTGpkSXlCUUtCVTZjT0FGbzR5VzBEOTg2ZCs2TWpoMDdHZ3dOOXZiMlJzZU9IUkVTRW9LZ29DQmN1SEFCTTJmT2hGUXFSWXNXTGFCU3FZcWwzeWhnTW1tc1FGVmVURjBETnowOUhSMDdka1M1Y3VWZ2IyK1A5UFIwUkVkSHc4YkdwdFF1d1VSRXBzbVo2RUo3ZndnQVY2OWVCYlJ2U2IyOXZkR2xTeGZVcjE5ZmIxOG5KeWRNbno0ZG8wYU53cDQ5ZTNEaXhBblVybDBiNzczM0hsSlRVNDBXTmkwS3V2Z1ZHeHVMdzRjUEl5b3FDcmR1M2RLYlcrdms1SVQyN2R1alZhdFdhTk9tRFd4c2JKQ1ZsWVV6Wjg3ZzFLbFRPSHYyTElLRGd4RWNIR3pRL3JwMTY3QjI3VnFrcDZlYjNLZlRwMC9qOU9uVEp1M0xaTmY4bU95K3d1N2N1WU9BZ0FCQXU4aDJ0MjdkOUxhLzlkWmJtREZqQnY3NjZ5L0V4TVRnOXUzYlJ0dVJTcVdvVktrU3VuZnZqbUhEaGdFQTR1UGp4YmE3ZHUyYTZ6RG9hdFdxd2RIUkVjbkp5Y2pJeU5CYjU2eE9uVG9ZTTJaTW9kOG9FQkc5REVkSFI3UnYzeDZob2FINDVKTlAwTGx6WjFTdFdqWFBZd1JCUUt0V3JkQ3FWU3U5ejVjdFcxYk12VFdkc1FKVlJVRXVsNk5HalJwNCtQQWhGQW9GQkVIQW0yKytpVkdqUm5IT01GRVoxS1ZMRjJ6ZXZCa3RXN1pFdDI3ZDRPWGxsZS93WENjbkp3d2FORWp2UllhUGp3OThmSHlLdGEvbHk1Zkg5dTNib1ZBb1VLMWFOZmo0K01ERHd3Tk5telkxK2pET3dzSkNuQllDYlYyYXExZXZJaUlpQWxGUlViaDc5eTdlZXVzdE5HN2NHRWVPSERGcG1ncTltcGpzdnNLKy9QSkxlSHQ3UXlhVHdjM056V0Q5UkFEbzNMa3pPbmZ1WE9DMm5aMmRzWGp4WWtSRVJLQlBuejY1N2llVHlYRDA2RkZBKzFZZ016TVRXVmxac0xHeEtUWExkeERSNjJ2S2xDbVF5V1JsWmhqdTRjT0hYN3FObkRlcTJSbGJib09JeXFaYXRXcGgzNzU5cUZDaGdybTdrcS95NWN2anI3Lytnb09EZzlINzNmeFVxRkFCYmR1MlJkdTJiUTIyOFg2MWJHT3krd3FyVktrU0tsV3FWR3p0TjJ6WUVBMGJOalI1ZjJQRENJbklkSTBhTlNvbkNJSmplSGo0WFhQM3BhemdHMG1pVjUrSGgwZEZsVXBseDloWTlGNkZSRmNudjVFNVJNWXcyU1VpS2lWa01sazlBSWM4UER6Q0JVSDRLek16ODBoNmVucjg3ZHUzVXdHWVhoMkppS2dNRVFTaG1WUXEzZWJoNFJFT1lLMUtwVHIrNHNXTFJNWkdJc29QazEwaW9sSkVFQVFKZ0ZZYWpjYlR3c0lpeWNMQzRvS0hoOGRaUVJET0taWEtzK0hoNFUvTTNVY2lvcEtXUFRiS1pMSkVlM3Y3TUE4UGo3TWFqU1pFS3BXZXUzRGhRb0lKelJEUmE0YkpMaEZSNlNMZ2Z6ZDJBb0R5QURvQ2VCK0FRaWFUeFRkdDJ2U2tTcVhhY3ZueTVXQUFTbk4zbG9pb2hHU1BqVTZDSUhRRThMNGdDRWthalNhK2FkT213ZHJZZUlKdmU0bEloOGt1RVZIcG9nR1FzektrRkVBRlFSQXFBS2dubFVxSGVYaDRQTkJvTkgrcDFlckF6TXpNZXhLSkpDVWlJaUxUYkwwbUlpbyttanhpbzVNZ0NFNEEzTFd4OFo1R285bWtpNDIydHJiSkZ5NWN5SDhSVlNJcWs1anNFcFZTR28wR2xsSk5qU1pObXJRemQxK29aR2cwbWdZQXBQOTdjZkcvWlhDUTQrWXUyOC9WSkJMSlZJbEVNbDRtazBWb05KcFFEdytQOE16TXpCUFhybDI3Ym83K0U1VmxHalZqc3JtbzFlckdnaUNZR2h0cjVJaU5aejA4UEs0eU5oSzlucGpzRXBWU0FnQWJTMmt2aVVUQ2hZcGZIeFlhamNZeTU0ZTZHN3VjdERkMzFvSWdOQVBRVkJDRWRFdEx5emdQRDQvckx6TFZWekxVTUg0Z0VSVVlZN0w1YU9OaW9XS2pScVBSaTQzUE0xU1hNalc1SEVoRVpRNlRYYUxTVENOSU5Sb04xM042VFFpQ0lDM01jZG5lYU1nRVFYRFFhRFF1Z29EYlJkbzVJbUpNTnA5QzNhOGFpNDFTcWNRYVNrM2VCeEpSbWNGa2w2aVUwZ0I0a2FVTXNMV1V6alIzWDZoa2FEU2FCb0lnekFkZ2xlTnp3TWhiREVFUW9ORm9zZ0RjQWhDcVZxc3ZxVlNxNEN0WHJseDJxOWVrRFFSTm41SzlBcUt5aXpIWnJKb0xnakN6TUxGUm85R2MxV2cwNGZxeEVmMUt0dnRFWkM1TWRvbEtLVUVRa0tYQ3ZVdVhMdjFyN3I1UXlmRHc4TWdRQkVHc0lwcWpFQXVnUDFmdHFWcXQzcTVXcTNkS0pKSWJtWm1aQ1JFUkVha2wyMk9pMTRjZ0VaQ2xFaGlUemFCcDA2Ynk3QldXODRxTkFCTFVhbldnTGphcTFlcjQ4UER3NXlYWVhTSXFSWmpzRWhHVklocU5SbU9rQ0lzYXdBc0FLUnFONXB4YXJkN3cvUG56L2JkdjM4NHdjM2VKaUlxZFNxWFNTQ1FTbzdGUkVJVG4ydGdZcWxhck4xeStmSGszQUpXWnUweEVwUVNUWFNLaVVpVDd6WnhHbzFFSWduQUJRS2dnQ09lVVNtVm9lSGg0akxuN1NFUlVrcVJTcWZqYVZoc2Jud3FDRUthZHZuRkdFSVRRc0xDd1IrYnRKUkdWUmt4MnFVekt5c3BDUWtJQ1pESVp5cFZFMW5IeEFBQVkrVWxFUVZRckI1bU1mOVhwMWFCOWkzdGVvOUVFcU5YcW93Qml3c1BEbndKUW1ydHZSTVl3M2xKSjBNVkd0VnI5dHlBSXgxVXExU1BHUm5vVk1FYWFGLyswcVV3SkRRMkZuNThmTGx5NEFLWHlmLy8rQ1lLQW1qVnJvbVBIanVqWnN5ZWNuSnpNM1UwaW96SXpNMjhDOExoMjdSb3JLVk9weDNoTEpVV3BWRjVVcVZTTWpmUktZWXdzSFpqc3ZxUVhMMTVnKy9idE9ITGtDTzdmdjQvMDlIUzg4Y1liYU5pd0lhWk1tV0x3bDFpaFVNRGYzeDhuVHB6QW8wZVBvRktwNE9MaWdsYXRXdUd6eno2RGk0dUx3VGt5TXpOeDRNQUJIRGx5QkpHUmtWQW9GTEMwdEVTdFdyWFF1WE5uOU96Wk05ZW5SSFBuenNYV3JWdHo3YjljTHNlcFU2ZE12dDYrZmZ2aTl1M2MvNjFwMDZZTkZpOWViSEo3UlduNTh1Vll1M1l0SEIwZDBiOS9mOVNxVlF2UG5qM0RwazJiY09mT0hheGN1UkwrL3Y1WXVIQWhtalp0YXBZK0V1WGwyclZyVHdFOE5YYy9TaXZHVzMyTXQvUzZDQThQZndMZ2libjdVZHFGaFlVaE1EQVFGeTllUkdKaUlxeXNyRkM1Y21YMDZkTUhQWHYyTk5qLzFLbFQyTEZqQjY1Y3VZTGs1R1RZMk5pZ1hyMTY2TjY5T3o3ODhFT2o1NGlLaWtKZ1lDRE9ueitQaHc4Zklpc3JDeFVxVk1BNzc3eURMNzc0QXJWcjF6WjYzTE5uei9EKysrL24yZit4WThmaTg4OC9OK2xhangwN2h1Ky8vejdQZlRadTNJajY5ZXViMUY1Ulk0d3NQWmpzdm9UcjE2OWp3b1FKaUl1TEF3RFkyTmpBM3Q0ZWlZbUorUGZmZnpGczJEQzltNjlMbHk3aHUrKytnMEtoQUFEWTJka2hLeXNMOSsvZngvMzc5N0YzNzE2amYra1BIanlJR1RObUFBQnNiVzFoWjJjSGhVS0JxMWV2NHVyVnF6aHk1QWlXTGwwS0t5dTlpdnlBTnJqZ2YvTmRJSkZJRExZYk95WXZ1cjdMWkRLamk3bGJXRmdVcUwyaUVoSVNnclZyMXdJQUhCMGQwYU5IRDFTdlhoMEFVTFZxVlV5WU1BRUFrSnFhaWttVEptSHYzcjBGdm5ZaU1oL0dXOFpiSWpKT3JWWmovdno1MkxKbEN3QkFJcEdnWExseWVQNzhPVzdkdW9YLy92dFBMOWxWS3BYNDVaZGZzSC8vZmtBYlk2eXRyWkdjbkl4ejU4N2gzTGx6T0hic0dHYk5tbVh3Y0cvczJMR0lqWTBWejVHU2tvTEhqeDlqMzc1OU9IVG9FSHg5ZmRHdVhUdURQdXJpSS9LSVhRVVozcXVMajRJZzVIcWNzYmhaRWhnalN4Y211NFVVSFIyTlVhTkc0ZG16WjJqVHBnMisvdnByMUt0WEQ5QUdrYkN3TURnN08rc2RzM3YzYnFTbnAyUEVpQkhvMXEwYm5KMmRvVktwY1BIaVJmejIyMis0Zi84K0prMmFoSC8rK1FjMk5qYmljUktKQkQxNjlNQ25uMzZLT25YcUFOb3ZpSitmSDlhdlg0OExGeTVndzRZTkdEWnNtRUUvZGNGbCt2VHA2Tnk1ODB0ZmQzSnlNZ0RnbjMvK01mcFd4RnlPSERraS9od2RIWTNseTVmRDE5Y1hBTVEvTTUyblQ1OGlQRHdjelpzM0wvRitFbEhCTWQ0eTNoSlI3dWJObTRlQWdBRFkyOXRqMUtoUjhQSHhnYTJ0TFFEZzhlUEhlUERnZ2Q3K2lZbUoyTDkvUDVvMGFZS3Z2dm9LTFZxMGdGUXFoVUtod1ByMTY3Rng0MFljT1hJRURSbzBNSGpUNnVycWlwRWpSNkpkdTNhd3NiR0JScVBCcFV1WE1IUG1UTnk3ZHcvVHAwL0h2bjM3WUdkbnAzZWNMajVXclZvVnUzZnZmdWxyMXJYWHBVc1hUSjgrL2FYYkswcU1rYVdMNGFObnlwZEdvOEV2di95Q1o4K2VvV3ZYcmxpMGFKRjQ0d1h0azZubXpadWpYTGx5ZXNkVnExWU5XN1pzd2RDaFE4VWJNNmxVaXViTm0yUGh3b1dRU0NSNCt2UXAvdnZ2UDczak9uWHFoQjkvL0ZIdkMySm5aNGZSbzBmajNYZmZCWEo4c2JMVFBmbDY0NDAzWHZxNjA5TFNrSm1aQ1dpZlZKVW1LcFgrS2dQUG4vLy9rbnBwYVdrRysyZS91U1dpMG92eGx2R1dpSElYRWhLQ2dJQUEyTnJhWXZYcTFlamR1N2VZNkFKQXBVcVY4TTQ3NytnZEl3Z0NoZzhmampWcjFzRFQweE5TcVJUUXhwcHg0OGJCeDhjSDBENW95Mm5ac21YdzhmRVJ2OWVDSU1ERHcwTk1PRk5UVTNIMjdGbUQ0NG95UGlKYnNsdmE0aU1ZSTBzZEpydUZjT0xFQ1lTSGg4UEZ4UVdUSmsweWVaakVvRUdEVUsxYU5hUGIzTnpjVUtOR0RRREEvZnYzOWJicGdwQXhUWm8wQVhKOGtiTFRCWU9pQ0M2NnRpd3RMU0dYeTErNnZhTFVvMGNQc1U5U3FWUnZ1RTVrWktUZXZyYTJ0cWhWcTFhSjk1R0lDbzd4bHZHV2lISzNaTWtTQU1BMzMzeUR1blhybW5TTXM3TXpoZzBibG1zOGZlKzk5d0RBNEkwdzhvaVJEUm8wRUljVEc0dVJSUmtmaTZPOW9zUVlXYnB3R0hNaDZJWmY5T3JWcTFodVFod2NIRXplTnlzckM5QU9DekdtS0o5OEZmYXAzT2JObTdGNjlXb0lnb0NQUHZvSTQ4YU5nMHdtUTBoSUNQejkvWEgxNmxWa1pXV2hUcDA2R0RGaUJEdzlQUUVBRnk1Y3dKbzFhM0R0MmpWQU8vUmo2TkNoNHZic0dqZHVqSjA3ZCtMR2pSdW9WYXNXWEYxZEFlM1R0VzNidHVudE8yTEVDRmhiV3hmNno0R0lTZzdqTGVNdEVSbDM4K1pOUkVaR3dzN09EbDI3ZGkzeTl1M3Q3VTNlVjZWU2lXODBqY1hJb240VHl4aEpwbUt5VzBCcXRScm56cDBEQUx6NzdydUlqWTNGMzMvL2pTdFhydURGaXhlb1ZxMGFmSHg4OE1FSEh4U28zWVNFQlBFSm11Nk5RMzdTMHRKdzZOQWhRRHRuSVNlbFVpaytYU3ZLTncwRkNWU25UNS9HcGsyYnNHN2RPaXhac2dTYk4yOUcrZkxsOGZUcFU0U0dobUxFaUJHWU5Xc1dvcUtpTUhMa1NJd2JOdzZiTjIvR3dZTUhjZVRJRVl3Y09SS3paOC9Hdlh2M3hPMStmbjVHcStzNU96dkQyZGtabVptWnVIZnZIcDQrZllxLy92b0xWNjllQmJRRkVVYVBIbzMrL2Z1LzlKOEZFUlUveGx2R1d5TEszWmt6WndCdGNpV1h5eEVVRklRREJ3N2cwYU5Ic0xXMWhZZUhCL3IzNzQrS0ZTc1dxTjJ3c0RDZ0FQRVJBUGJzMlFPTlJvTnExYXFoY2VQR0J0dEx3ekJteHNqWEU1UGRBcnAvLzc0NDN2N0ZpeGY0NXB0dnhDSWkwSlprLy9mZmYrSHQ3WTFaczJZWnJjaHB6SW9WSzZCVUtsR2xTcFU4SjZtclZDb2tKU1hoMHFWTFdMTm1EV0ppWXRDdFd6ZWp4VkN5Vjc1cjM3NDlvQjB1VWJWcVZiUnMyUko5Ky9ZdFVORVRYWHUzYnQxQ3MyYk5JQWdDSEJ3Y1VLdFdMYlJ2M3g0OWUvWTBlRHExZXZWcURCa3lCRzV1YnVLOHVULy8vQk10V3JUQXhvMGJZV2xwQ1FCbzJyUXAzTjNkRVI0ZWp0R2pSOFBWMVJYKy92N2lteHhIUjBjMGF0UUlvYUdoT0g3OGVKNmw1TGR2MzQ3NTgrZnJmZWJrNUlSNTgrYmg3YmZmTnZsNmljaThHRzhaYjRrb2R6ZHUzQUMwU2VtMGFkT3diOTgrdmUxWHJseEJZR0FnbGk1ZGF2TDM4Y0dEQjlpMWF4Y0FvSHYzN25udW01NmVqbnYzN2lFb0tBaisvdjRvVjY2YzBRck95QmJUdG16WmdpMWJ0a0FtazhIUjBSSHU3dTdvM0xrek9uVG9VS0RxeWJyMmRKV041WEk1bkp5YzBLUkpFM3p5eVNkbzFLaVJ3VEdNa2E4bkpyc0ZwRnYyQWdCKy9mVlhOR2pRQUdQR2pFSE5talVSSHgrUGpSczNJaUFnQUljT0hZSzd1N3RKNjRXdFhMa1NPM2Z1QkFCOCsrMjNSbS9ZenA4L2orSERoK3Q5OXRaYmIySFJva1h3OHZJeTJ1NnpaODhnQ0FKc2JXMGhrOG1RbFpXRjU4K2ZJekl5RXBHUmtkaTJiUnRtenB3cDNwamxSNkZRaU9YcHBWSXAwdExTOE96Wk00U0ZoU0VzTEF4YnQyN0ZIMy84SVpaWGo0Nk9Sa1JFQkpZdVhRb0E0bnFSVGs1TzhQWDFGWU9Lam03QjdheXNMTXlaTThkZ3lLSnVlMHBLU3A3OTlQYjJSdVhLbFpHZW5vNzQrSGo0Ky9zaklTRUJnd1lOUXBzMmJUQng0c1JjaHlFU1VlbkJlTXQ0UzBTNTA4WEk0T0JnSkNRa1lPclVxZmpnZ3c5Z1pXV0YwTkJRK1ByNklpNHVEdDkvL3oxMjdOaGhVQ0U1cDVpWUdJd2FOUW9aR1Jsd2QzZkhSeDk5WkhTL29VT0g0dUxGaStMdk1wa01Bd2NPUlAvKy9RM1dPOWQ1OXV3WnJLeXNZR1ZsQllsRWd0VFVWQ1FrSkNBNE9CakJ3Y0ZvMmJJbDVzK2ZiL0owbFdmUG5zSGEyaHFXbHBiUWFEUklTVWxCVEV3TVltSmlzSGZ2WGd3ZVBCaWpSbzBTOTJlTWZIMHgyUzJnMU5SVThXZHJhMnNzV3JSSWZJSlZwVW9WVEpvMENZOGZQOGFKRXlld1ljTUdEQmd3SU5mSi9LbXBxWmc1YzZaWTJmUDc3Ny9QZGNGdEt5c3J1TGk0UUsxV0l6VTFGUzlldk1ETm16Y3hkKzVjM0x0M0QvMzc5emU0YVhOemMwTm9hS2pla3pLRlFvR2pSNDlpK2ZMbFVDZ1VtREpsQ3JadTNXclNVSlZldlhxaFQ1OCtlcC9GeE1SZzE2NWQyTGh4SXg0K2ZJaXhZOGRpMjdadGtNbGtlUGJzR2ZyMzd3ODdPenRrWkdTSVF6ZUdEaDFxTUE5RXFWVGl6cDA3Z0xhd1RNNWhLV3ExV2d4TXVSV2QwWEZ5Y3RLN29XemJ0aTM2OU9rRHBWS0ovLzc3RCtIaDRmRHo4NE9ibTF1KzEweEU1c040eTNoTFJMblR4Y2dIRHg3QTE5Y1hIVHQyRkxkNWVYbWhZc1dLR0RCZ0FCSVNFckJueng3MDY5Y3YxN1pPbmp5SjZkT25Jems1R2JWcTFjTGl4WXR6WFEvWHlja0pMaTR1eU16TWhFS2hnRktweEpZdFczRDc5bTJNSHovZTZQZjl0OTkrMDR2UEtwVUsxNjlmeDE5Ly9ZV2pSNC9pekprejhQWDF4YzgvLzJ6U3RSODhlRkN2dmZUMGRJU0dobUw1OHVXSWpJekV1blhyVUwxNmRYSGFDV1BrNjR2Vm1BdElvOUdJUHc4ZVBOam9VSTJCQXdjQzJodWRxS2dvbysxY3VIQUJmZnYyeFpFalIyQnZiNDhGQ3hiZzAwOC96Zlc4alJvMXdyNTkrM0Rnd0FFRUJ3Zmp3SUVEK082NzcvRHMyVE1zWExoUUhNYVJuVVFpTVJnUzR1am9pRjY5ZW1IZHVuV1F5K1hJeXNvU0Z5SFBqN0diU0ZkWFYzenp6VGRpY0xwLy96NU9uRGdCYU9lUWpCMDdGdEFPcGRFVmQyblJvb1ZCTzFldlhrVjZlbnF1MjY5ZHV5WStQVE8ySGRtZXN1VlVvMFlOdUx1N2k3OG5KeWVMNjUwUlVlbkZlS3VQOFphSXN0UEZTRGMzTjcxRVY2ZGV2WHJpc2tQbno1ODMya1o2ZWpwKysrMDNmUHZ0dDBoT1RrYjc5dTNoNStlSENoVXE1SHJlMmJOblk5KytmVGg4K0RCT256Nk5WYXRXb1duVHBqaDE2aFQ2OWV1SDhQQndnMk55eGpTcFZJcUdEUnRpN3R5NTZOR2pCd0JnNzk2OVNFcEtNdW5hYzdZbmw4dmg1ZVVGUHo4L3NTcjF4bzBieGUyTWthOHZKcnNGbEgwSVNPM2F0WTN1ay8ycGZYeDh2TUYyUHo4L2pCZ3hBbkZ4Y2ZEMDlNVFdyVnZSdG0zYkF2WEQyZGtaL2Z2M3grTEZpd0h0OGh3aElTRW1IMStqUmcxMDZOQUIwSDVwWDlaSEgzMkV5cFVyQTlvZ2tkT0ZDeGNBQUJVclZoU3IwaG5iN3Vqb2FMUUUrL0hqeHdFQUxpNHVCcVgxbFVvbGZ2amhCN1JxMVFydDJyWERuajE3REk2dlZLbVMzdStob2FGSVNFZ280RlVTVVVsaXZEV084WmFJa0MxRzVoWWZrUzFHR291UE1URXgrUHp6ejdGanh3N1kydHBpMnJScCtQMzMzL01kN3B5ZGhZVUZtalZyaHFWTGw2SkZpeGJJek16RWdnVUxDblFkZ3djUEJyVEplMFJFUklHT3pVa3VsNHRGbjZLaW9zU2tOVHZHeU5jTGs5MEN5djZseUY0b0pidnNUNXR5emdGWXRHZ1IvdmpqRDBpbFVreVlNQUYvL1BHSHdWLzZndkR3OEJESCtsKytmTGxBeCtxS3BSaGI0TG93ZE8wWkN5eWhvYUVBZ0diTm1oazlWaGRZUER3OGpCWW9PSHo0TUFBWWZYSzVhOWN1SER4NEVDcVZDaWtwS2ZqMTExL3g5T2xUdlgxeS9uOEFnTWVQSDV0NFpVUmtEb3kzK2JmSGVFdjArdExGeU56aUk3TEZ5SnpmeTVpWUdBd2VQQmhSVVZGbzFLZ1J0bXpaZ203ZHVoVzZMNElnNE9PUFB3YTBEK0Z5ZTdOcFRQYTRYQlF4VXZjd0VJeVJ4R1MzNEZ4ZFhjV3grN2s5b2I5Nzk2NzRzNjU0Q0FBRUJRVmg0OGFOc0xXMXhZb1ZLL0tjTzFFUXVpOWlibk1yY3FOYmV1TmxidjUwTkJxTjJKNnV3cDFPZW5xNitQYkJXR0JSS3BYaWphTnV1RTEybHk1ZHdxTkhqd0FBblRwMUVqL1RMYVN1bXplUnZiMzc5Ky9yZldZc2VGYXBVcVdBVjBsRUpZbngxampHV3lJQ2dJWU5Hd0xhcXUyWm1abEc5OUhGeU95allKUktKYjc5OWxza0ppYkMyOXNiYTlhc0taTHZxQzQrU3FYU1hPc25HQk1URXlQK1hCUXhVaGNmcmF5c0ROWlNaNHg4L1REWkxTQkJFT0R0N1EwQThQZjNSMFpHaHNFKy92NytBSUQ2OWV1TFgxcU5SaU4rRWNhUEg0OG1UWnFZZEQ2VlNwWG4wN0VyVjY2SVFhSWdKY3lqb3FKdzdOZ3hBRUNiTm0xTVBpNDN1M2J0RW9kZzVHeXZJSE1qakMwRG9sdmJza2FOR3FoWHJ4NEE2QzNLbmYwR0Y5cmxQbklPNmNsK1F3eHRBQ3RYcmx3QnI1S0lTaExqclhHTXQwUUVBQjA2ZElCVUtvVkNvUkNYQzhydTFxMWI0bHpkN0VXUzl1elpnenQzN3NEVjFSVXpac3d3V2cvQm1Od1NhcDBEQnc0QTJyb0hCVmxHYU0yYU5RQ0FjdVhLNmMxbkxZd1hMMTZJL3k2MGF0WEtvSmdnWStUcmg4bHVJUXdhTkFqVzF0WjQ4dVFKSms2Y0tONTBaR1JrWU9YS2xUaCsvRGdFUWNEbzBhUEZZeUlqSThVaEN1M2F0VFA1WENrcEtSZ3dZQUQyNzkrdlY1azBQVDBkTzNic3dMaHg0d0R0VUl1Y1Q2QzJiOStPUC83NEEvZnUzUk0veThqSXdQNzkrekZzMkRCa1pXV2hldlhxWW1FQW5kOS8veDBmZmZRUkFnSUM5RDZmUFhzMkFnSUM5SVpqS0JRS3JGcTFDck5uendZQStQajRHTXhmMEpXbmQzRnh5WE51UklVS0ZZek9PN2wrL1RxUTdhWXVPam9hd2NIQjZOV3JGd0NnUzVjdTRvTHBnaUJneG93WmVwWDFkdS9lamVqb2FQRjNhMnRyb3dWbWlLajBZYnhsdkNVaTQ1eWNuTkMzYjE4QXdPTEZpM0g0OEdHeGFOWE5temN4YWRJa2FEUWFORzNhVk8vQldIQndNS0JOQmdzeVNtWHAwcVdZTzNjdUlpTWo5UW9JM3JwMUN4TW1UTURwMDZjQmJZWGpuRWFPSEluang0L3JEU3VPam83R2xDbFRzSC8vZmdEQTZOR2o5Ukx2VzdkdTRaTlBQc0hnd1lQMVl1SDE2OWN4ZGVwVVhMNThHU3FWQ3RCV1NMNTQ4U0tHRGgySzZPaG9XRmxaNGV1dnZ6Ym9CMlBrNjRkTER4V0NzN016NXN5Wmd3a1RKdUMvLy83RFJ4OTloSW9WSzBLaFVDQWpJd09DSUdEaXhJbDZUNHgwUXg0QTRJTVBQc2ozSFAvKys2LzQ1Ymg5K3paKyt1a25RUHZsQTRERXhFUnhYdzhQRDh5ZlA5L2dLZHFMRnkvZzUrY0hQejgvMk5uWndkcmFHa2xKU2VLYmk5cTFhMlBod29Xd3NySVNqMGxOVGNYbXpac0JiV0dYN0V0ZnhNWEZZZnYyN1pnelp3NGNIUjBoa1VqMGdzLzc3NytQSDMvODBlQmFMbDI2QkFEdzlQUTBlcTFoWVdFQWdIZmZmZGZvOW5yMTZpRThQQnhTcVJUWHIxL0hqei8raUJFalJvaHo1K3p0N2JGaXhRcDg5OTEzaUk2T3hvUUpFMUNuVGgwNE96c2pQajRla1pHUllsdFZxbFRCYjcvOVpuQ0RTRVNsRStNdDR5MFI1VzcwNk5HNGUvY3VRa0pDTUhueVpOaloyVUV1bDRzUEJ1dldyV3RRN1ZjWEl3TUNBZ3dldE9YVXIxOC9NUmxUS3BVSUNBakExcTFiSVpmTDRlam9pS1NrSkhIVWpWd3V4K1RKazQzR2w4dVhMK1BzMmJPUVNxVW9WNjRjTWpJeXhJckdFb2tFSTBlT05KZ3p2SHYzYnZFdDZNbVRKOUc5ZTNkQU8zb25LQ2dJUVVGQjRsRGxsSlFVTVpGMmNIREFiNy85WmpSWlpZeDgvVERaTGFUV3JWdGp5NVl0OFBQenc1a3paNUNZbUFoN2UzdTBhZE1HbjMvK3VUaVBRcWV3RSs3ZmVPTU5MRm15Qkh2MzdrVmtaQ1RpNCtPUmtaR0JpaFVyb243OSt1alVxUk02ZHV4b2RMaUlsNWNYYnQyNmhjdVhMeU0rUGg1cGFXbXd0N2ZIbTIrK2lZNGRPK0xqano4Mm1DUnZaMmVIRHovOEVDZE9uRUR2M3IzMXR2WHUzUnRxdFJxUmtaRklTa3FDUkNKQnBVcVYwS2hSSTNUdDJoV3RXN2MyZWcwT0RnNm9XTEZpcmt0OU9EazV3Y25KQ1FNR0REQzZmZmp3NFVoSVNNQzJiZHNRRkJTRTRjT0hpd0ZQeDgzTkRWdTJiTUdlUFh0dzlPaFJSRVpHNHM2ZE81REpaS2hhdFNyZWV1c3R0R3ZYRHQ3ZTNnV2VhMGRFNXNWNHkzaExSTVpaV2xwaXlaSWxDQXdNRkpQRDFOUlUxSzFiRjUwNmRjS25uMzRLdVZ5dWQweGhZK1NRSVVOUXNXSkZuRHg1RW5GeGNVaElTSUNWbFJYYzNOenc3cnZ2b2srZlBuckZvYkliT1hJa2podzVndWpvYUR4OStoU1dscFp3YzNORHMyYk4wTHQzYjZNSlg0Y09IUkFVRkFRSEJ3ZTk1TFI2OWVybzM3OC96cDA3aDRjUEh5SWhJUUcydHJhb1g3OCsyclJwZzk2OWU2TjgrZkpHKzhFWStmb3hmVUI5Q1hHcjE2UWRCT3lzV0tHQzQ1TDV2bWpad25CeU9GRlpGbllwSEdNbVRFYk13MGZwMEdoNlJOOE1EekozbitqVjg3OVlxdGxjc1lLVEMyTXBVZUdKTWZsUnJBSnFkVC9HNUZjYll5TlIwU3ZOY1pKemRvbUlpSWlJaUtqTVliSkxSRVJFUkVSRVpRNlRYU0lpSWlJaUlpcHptT3dTRVJFUkVSRlJtY05rbDRpSWlJaUlpTW9jSnJ0RVJFUkVSRVJVNWpEWkpTSWlJaUlpb2pLSHlTNFJFUkVSRVJHVk9VeDJpWWlJaUlpSXFNeGhza3RFUkVSRVJFUmxEcE5kSWlJaUlpSWlLbk9ZN0JJUkVSRVJFVkdadzJTWGlJaUlpSWlJeWh5WnVUdVFtNnlzTEVSY3YybnViaENWdUZ1M281Q1JrV251YmxBWndWaEs5SElZazhzbXhrYWlvbE9hNDJTcFRYYVRVMUt3OU05VnNMQ3dNSGRYaUVxVVVxbEVja3FLdWJ0QlpRUmpLZEhMWVV3dW14Z2JpWXBPYVk2VHBTN1p6ZFNvWXkwaFBGWURVQ1FubTdzN1JHWWpDRUt5TWtzVFkrNSswS3NwVTZPT3RSU0VXTFZHSTJjc0pTb0NHczFqbFJLTXlhODR4a2FpWWxRSzQ2Umc3ZzRZSVhHdDE2aUJETklLNXU0SWtUa0o2cXlrdTVIWHJnQlFtN3N2OUVxU1ZLL1RvSjVFWnVGczdvNFFsUVVxUVozdzRIcDRCR1B5SzQreGthaVlNRTRT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SFJhK2IvQVBJMk9Va3AxcnA0QUFBQUFFbEZUa1N1UW1DQyIsCgkiVGhlbWUiIDogIiIsCgkiVHlwZSIgOiAiZmxvdyIsCgkiVXNlcklkIiA6ICIyNDMyNTA3OTgiLAoJIlZlcnNpb24iIDogIjE0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93</Pages>
  <Words>625</Words>
  <Characters>872</Characters>
  <Lines>0</Lines>
  <Paragraphs>0</Paragraphs>
  <TotalTime>6</TotalTime>
  <ScaleCrop>false</ScaleCrop>
  <LinksUpToDate>false</LinksUpToDate>
  <CharactersWithSpaces>928</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2025-07-22T00:54:00Z</dcterms:created>
  <dc:creator>。。。</dc:creator>
  <cp:lastModifiedBy>。。。</cp:lastModifiedBy>
  <dcterms:modified xsi:type="dcterms:W3CDTF">2025-08-18T02:07:29Z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217913B0264045388A0D8F007CD96BD8_13</vt:lpwstr>
  </property>
  <property fmtid="{D5CDD505-2E9C-101B-9397-08002B2CF9AE}" pid="4" name="KSOTemplateDocerSaveRecord">
    <vt:lpwstr>eyJoZGlkIjoiODVkNzgxZmFiODNkNzk2ZTM1ZWQxN2U3YjRjYmRkNDAiLCJ1c2VySWQiOiIyNDMyNTA3OTgifQ==</vt:lpwstr>
  </property>
</Properties>
</file>