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gif" ContentType="image/gi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2CB760">
      <w:pPr>
        <w:rPr>
          <w:sz w:val="36"/>
          <w:szCs w:val="36"/>
        </w:rPr>
      </w:pPr>
    </w:p>
    <w:p w14:paraId="6983CCFE">
      <w:pPr>
        <w:rPr>
          <w:sz w:val="36"/>
          <w:szCs w:val="36"/>
        </w:rPr>
      </w:pPr>
    </w:p>
    <w:p w14:paraId="005C146E">
      <w:pPr>
        <w:pStyle w:val="14"/>
        <w:rPr>
          <w:rFonts w:ascii="Times New Roman" w:hAnsi="Times New Roman" w:cs="Times New Roman"/>
        </w:rPr>
      </w:pPr>
    </w:p>
    <w:p w14:paraId="67885F81">
      <w:pPr>
        <w:rPr>
          <w:sz w:val="36"/>
          <w:szCs w:val="36"/>
        </w:rPr>
      </w:pPr>
    </w:p>
    <w:p w14:paraId="75C4C3C2">
      <w:pPr>
        <w:adjustRightInd w:val="0"/>
        <w:snapToGrid w:val="0"/>
        <w:jc w:val="center"/>
        <w:rPr>
          <w:rFonts w:hint="default" w:ascii="Times New Roman" w:hAnsi="Times New Roman" w:eastAsia="方正小标宋_GBK" w:cs="Times New Roman"/>
          <w:bCs/>
          <w:sz w:val="72"/>
          <w:szCs w:val="72"/>
        </w:rPr>
      </w:pPr>
      <w:bookmarkStart w:id="0" w:name="OLE_LINK1"/>
      <w:bookmarkStart w:id="1" w:name="_Toc121151509"/>
      <w:r>
        <w:rPr>
          <w:rFonts w:hint="default" w:ascii="Times New Roman" w:hAnsi="Times New Roman" w:eastAsia="方正小标宋_GBK" w:cs="Times New Roman"/>
          <w:bCs/>
          <w:sz w:val="72"/>
          <w:szCs w:val="72"/>
        </w:rPr>
        <w:t>建设项目环境影响报告表</w:t>
      </w:r>
      <w:bookmarkEnd w:id="0"/>
      <w:bookmarkEnd w:id="1"/>
    </w:p>
    <w:p w14:paraId="1896E749">
      <w:pPr>
        <w:adjustRightInd w:val="0"/>
        <w:snapToGrid w:val="0"/>
        <w:spacing w:before="249" w:beforeLines="80"/>
        <w:jc w:val="center"/>
        <w:rPr>
          <w:rFonts w:hint="default" w:ascii="Times New Roman" w:hAnsi="Times New Roman" w:cs="Times New Roman"/>
          <w:bCs/>
          <w:sz w:val="34"/>
          <w:szCs w:val="48"/>
        </w:rPr>
      </w:pPr>
      <w:r>
        <w:rPr>
          <w:rFonts w:hint="default" w:ascii="Times New Roman" w:hAnsi="Times New Roman" w:eastAsia="楷体_GB2312" w:cs="Times New Roman"/>
          <w:bCs/>
          <w:sz w:val="48"/>
          <w:szCs w:val="48"/>
        </w:rPr>
        <w:t>（污染影响类）</w:t>
      </w:r>
    </w:p>
    <w:p w14:paraId="70338E18">
      <w:pPr>
        <w:adjustRightInd w:val="0"/>
        <w:snapToGrid w:val="0"/>
        <w:spacing w:line="288" w:lineRule="auto"/>
        <w:jc w:val="center"/>
        <w:rPr>
          <w:rFonts w:hint="default" w:ascii="Times New Roman" w:hAnsi="Times New Roman" w:cs="Times New Roman"/>
          <w:kern w:val="44"/>
          <w:sz w:val="44"/>
          <w:szCs w:val="44"/>
        </w:rPr>
      </w:pPr>
    </w:p>
    <w:p w14:paraId="04DF1FDD">
      <w:pPr>
        <w:jc w:val="center"/>
        <w:rPr>
          <w:rFonts w:hint="default" w:ascii="Times New Roman" w:hAnsi="Times New Roman" w:cs="Times New Roman"/>
          <w:sz w:val="52"/>
          <w:szCs w:val="52"/>
        </w:rPr>
      </w:pPr>
    </w:p>
    <w:p w14:paraId="7ED61F8C">
      <w:pPr>
        <w:ind w:firstLine="1040"/>
        <w:rPr>
          <w:rFonts w:hint="default" w:ascii="Times New Roman" w:hAnsi="Times New Roman" w:cs="Times New Roman"/>
          <w:sz w:val="44"/>
          <w:szCs w:val="44"/>
        </w:rPr>
      </w:pPr>
    </w:p>
    <w:p w14:paraId="77853BE3">
      <w:pPr>
        <w:ind w:firstLine="1040"/>
        <w:rPr>
          <w:rFonts w:hint="default" w:ascii="Times New Roman" w:hAnsi="Times New Roman" w:cs="Times New Roman"/>
          <w:sz w:val="44"/>
          <w:szCs w:val="44"/>
        </w:rPr>
      </w:pPr>
    </w:p>
    <w:p w14:paraId="4D576162">
      <w:pPr>
        <w:ind w:firstLine="1040"/>
        <w:rPr>
          <w:rFonts w:hint="default" w:ascii="Times New Roman" w:hAnsi="Times New Roman" w:cs="Times New Roman"/>
          <w:sz w:val="44"/>
          <w:szCs w:val="44"/>
        </w:rPr>
      </w:pPr>
    </w:p>
    <w:p w14:paraId="2C3FD86D">
      <w:pPr>
        <w:adjustRightInd w:val="0"/>
        <w:snapToGrid w:val="0"/>
        <w:ind w:firstLine="720" w:firstLineChars="200"/>
        <w:rPr>
          <w:rFonts w:hint="default" w:ascii="Times New Roman" w:hAnsi="Times New Roman" w:eastAsia="仿宋_GB2312" w:cs="Times New Roman"/>
          <w:sz w:val="36"/>
          <w:szCs w:val="36"/>
          <w:u w:val="single"/>
        </w:rPr>
      </w:pPr>
      <w:r>
        <w:rPr>
          <w:rFonts w:hint="default" w:ascii="Times New Roman" w:hAnsi="Times New Roman" w:eastAsia="仿宋_GB2312" w:cs="Times New Roman"/>
          <w:sz w:val="36"/>
          <w:szCs w:val="36"/>
        </w:rPr>
        <w:t>项目名称：</w:t>
      </w:r>
      <w:r>
        <w:rPr>
          <w:rFonts w:hint="default" w:ascii="Times New Roman" w:hAnsi="Times New Roman" w:eastAsia="仿宋_GB2312" w:cs="Times New Roman"/>
          <w:sz w:val="36"/>
          <w:szCs w:val="36"/>
          <w:u w:val="single"/>
        </w:rPr>
        <w:t>年加工5000万平方米包装材料项目</w:t>
      </w:r>
    </w:p>
    <w:p w14:paraId="285E8FB0">
      <w:pPr>
        <w:adjustRightInd w:val="0"/>
        <w:snapToGrid w:val="0"/>
        <w:ind w:firstLine="720" w:firstLineChars="200"/>
        <w:jc w:val="both"/>
        <w:rPr>
          <w:rFonts w:hint="default" w:ascii="Times New Roman" w:hAnsi="Times New Roman" w:eastAsia="仿宋_GB2312" w:cs="Times New Roman"/>
          <w:sz w:val="36"/>
          <w:szCs w:val="36"/>
          <w:u w:val="single"/>
          <w:lang w:val="en-US" w:eastAsia="zh-CN"/>
        </w:rPr>
      </w:pPr>
      <w:r>
        <w:rPr>
          <w:rFonts w:hint="default" w:ascii="Times New Roman" w:hAnsi="Times New Roman" w:eastAsia="仿宋_GB2312" w:cs="Times New Roman"/>
          <w:sz w:val="36"/>
          <w:szCs w:val="36"/>
        </w:rPr>
        <w:t>建设单位（盖章）：</w:t>
      </w:r>
      <w:r>
        <w:rPr>
          <w:rFonts w:hint="default" w:ascii="Times New Roman" w:hAnsi="Times New Roman" w:eastAsia="仿宋_GB2312" w:cs="Times New Roman"/>
          <w:sz w:val="36"/>
          <w:szCs w:val="36"/>
          <w:u w:val="single"/>
        </w:rPr>
        <w:t xml:space="preserve">  安徽双诚包装有限公司</w:t>
      </w:r>
      <w:r>
        <w:rPr>
          <w:rFonts w:hint="default" w:ascii="Times New Roman" w:hAnsi="Times New Roman" w:eastAsia="仿宋_GB2312" w:cs="Times New Roman"/>
          <w:sz w:val="36"/>
          <w:szCs w:val="36"/>
          <w:u w:val="single"/>
          <w:lang w:val="en-US" w:eastAsia="zh-CN"/>
        </w:rPr>
        <w:t xml:space="preserve"> </w:t>
      </w:r>
    </w:p>
    <w:p w14:paraId="4EBB0E5B">
      <w:pPr>
        <w:adjustRightInd w:val="0"/>
        <w:snapToGrid w:val="0"/>
        <w:ind w:firstLine="720" w:firstLineChars="200"/>
        <w:jc w:val="both"/>
        <w:rPr>
          <w:rFonts w:hint="default" w:ascii="Times New Roman" w:hAnsi="Times New Roman" w:cs="Times New Roman"/>
          <w:sz w:val="36"/>
          <w:szCs w:val="36"/>
          <w:u w:val="single"/>
        </w:rPr>
      </w:pPr>
      <w:r>
        <w:rPr>
          <w:rFonts w:hint="default" w:ascii="Times New Roman" w:hAnsi="Times New Roman" w:eastAsia="仿宋_GB2312" w:cs="Times New Roman"/>
          <w:sz w:val="36"/>
          <w:szCs w:val="36"/>
        </w:rPr>
        <w:t>编制日期：</w:t>
      </w:r>
      <w:r>
        <w:rPr>
          <w:rFonts w:hint="default" w:ascii="Times New Roman" w:hAnsi="Times New Roman" w:eastAsia="仿宋_GB2312" w:cs="Times New Roman"/>
          <w:sz w:val="36"/>
          <w:szCs w:val="36"/>
          <w:u w:val="single"/>
        </w:rPr>
        <w:t xml:space="preserve">       </w:t>
      </w:r>
      <w:r>
        <w:rPr>
          <w:rFonts w:hint="default" w:ascii="Times New Roman" w:hAnsi="Times New Roman" w:eastAsia="仿宋_GB2312" w:cs="Times New Roman"/>
          <w:sz w:val="36"/>
          <w:szCs w:val="36"/>
          <w:u w:val="single"/>
          <w:lang w:val="en-US" w:eastAsia="zh-CN"/>
        </w:rPr>
        <w:t xml:space="preserve"> </w:t>
      </w:r>
      <w:r>
        <w:rPr>
          <w:rFonts w:hint="default" w:ascii="Times New Roman" w:hAnsi="Times New Roman" w:eastAsia="仿宋_GB2312" w:cs="Times New Roman"/>
          <w:sz w:val="36"/>
          <w:szCs w:val="36"/>
          <w:u w:val="single"/>
        </w:rPr>
        <w:t xml:space="preserve">   2025年0</w:t>
      </w:r>
      <w:r>
        <w:rPr>
          <w:rFonts w:hint="eastAsia" w:eastAsia="仿宋_GB2312" w:cs="Times New Roman"/>
          <w:sz w:val="36"/>
          <w:szCs w:val="36"/>
          <w:u w:val="single"/>
          <w:lang w:val="en-US" w:eastAsia="zh-CN"/>
        </w:rPr>
        <w:t>9</w:t>
      </w:r>
      <w:r>
        <w:rPr>
          <w:rFonts w:hint="default" w:ascii="Times New Roman" w:hAnsi="Times New Roman" w:eastAsia="仿宋_GB2312" w:cs="Times New Roman"/>
          <w:sz w:val="36"/>
          <w:szCs w:val="36"/>
          <w:u w:val="single"/>
        </w:rPr>
        <w:t>月</w:t>
      </w:r>
      <w:r>
        <w:rPr>
          <w:rFonts w:hint="default" w:ascii="Times New Roman" w:hAnsi="Times New Roman" w:eastAsia="仿宋_GB2312" w:cs="Times New Roman"/>
          <w:sz w:val="36"/>
          <w:szCs w:val="36"/>
          <w:u w:val="single"/>
          <w:lang w:val="en-US" w:eastAsia="zh-CN"/>
        </w:rPr>
        <w:t xml:space="preserve">  </w:t>
      </w:r>
      <w:r>
        <w:rPr>
          <w:rFonts w:hint="default" w:ascii="Times New Roman" w:hAnsi="Times New Roman" w:eastAsia="仿宋_GB2312" w:cs="Times New Roman"/>
          <w:sz w:val="36"/>
          <w:szCs w:val="36"/>
          <w:u w:val="single"/>
        </w:rPr>
        <w:t xml:space="preserve">  </w:t>
      </w:r>
      <w:r>
        <w:rPr>
          <w:rFonts w:hint="default" w:ascii="Times New Roman" w:hAnsi="Times New Roman" w:eastAsia="仿宋_GB2312" w:cs="Times New Roman"/>
          <w:sz w:val="36"/>
          <w:szCs w:val="36"/>
          <w:u w:val="single"/>
          <w:lang w:val="en-US" w:eastAsia="zh-CN"/>
        </w:rPr>
        <w:t xml:space="preserve">  </w:t>
      </w:r>
      <w:r>
        <w:rPr>
          <w:rFonts w:hint="default" w:ascii="Times New Roman" w:hAnsi="Times New Roman" w:eastAsia="仿宋_GB2312" w:cs="Times New Roman"/>
          <w:sz w:val="36"/>
          <w:szCs w:val="36"/>
          <w:u w:val="single"/>
        </w:rPr>
        <w:t xml:space="preserve">   </w:t>
      </w:r>
    </w:p>
    <w:p w14:paraId="79229478">
      <w:pPr>
        <w:adjustRightInd w:val="0"/>
        <w:snapToGrid w:val="0"/>
        <w:spacing w:line="288" w:lineRule="auto"/>
        <w:ind w:firstLine="1040"/>
        <w:rPr>
          <w:rFonts w:hint="default" w:ascii="Times New Roman" w:hAnsi="Times New Roman" w:cs="Times New Roman"/>
          <w:sz w:val="36"/>
          <w:szCs w:val="36"/>
          <w:u w:val="single"/>
        </w:rPr>
      </w:pPr>
      <w:bookmarkStart w:id="2" w:name="_Hlk57884087"/>
    </w:p>
    <w:p w14:paraId="3EA6B083">
      <w:pPr>
        <w:adjustRightInd w:val="0"/>
        <w:snapToGrid w:val="0"/>
        <w:spacing w:line="288" w:lineRule="auto"/>
        <w:ind w:firstLine="1040"/>
        <w:rPr>
          <w:rFonts w:hint="default" w:ascii="Times New Roman" w:hAnsi="Times New Roman" w:cs="Times New Roman"/>
          <w:sz w:val="36"/>
          <w:szCs w:val="36"/>
        </w:rPr>
      </w:pPr>
    </w:p>
    <w:p w14:paraId="1BCE613E">
      <w:pPr>
        <w:adjustRightInd w:val="0"/>
        <w:snapToGrid w:val="0"/>
        <w:spacing w:line="288" w:lineRule="auto"/>
        <w:ind w:firstLine="1040"/>
        <w:rPr>
          <w:rFonts w:hint="default" w:ascii="Times New Roman" w:hAnsi="Times New Roman" w:cs="Times New Roman"/>
          <w:sz w:val="36"/>
          <w:szCs w:val="36"/>
        </w:rPr>
      </w:pPr>
    </w:p>
    <w:bookmarkEnd w:id="2"/>
    <w:p w14:paraId="57753E38">
      <w:pPr>
        <w:adjustRightInd w:val="0"/>
        <w:snapToGrid w:val="0"/>
        <w:spacing w:line="288" w:lineRule="auto"/>
        <w:jc w:val="center"/>
        <w:rPr>
          <w:rFonts w:hint="default" w:ascii="Times New Roman" w:hAnsi="Times New Roman" w:eastAsia="楷体_GB2312" w:cs="Times New Roman"/>
          <w:sz w:val="36"/>
          <w:szCs w:val="36"/>
        </w:rPr>
        <w:sectPr>
          <w:footerReference r:id="rId5" w:type="default"/>
          <w:pgSz w:w="11906" w:h="16838"/>
          <w:pgMar w:top="1440" w:right="1800" w:bottom="1440" w:left="1800" w:header="851" w:footer="992" w:gutter="0"/>
          <w:pgNumType w:start="1"/>
          <w:cols w:space="425" w:num="1"/>
          <w:docGrid w:type="lines" w:linePitch="312" w:charSpace="0"/>
        </w:sectPr>
      </w:pPr>
      <w:r>
        <w:rPr>
          <w:rFonts w:hint="default" w:ascii="Times New Roman" w:hAnsi="Times New Roman" w:eastAsia="楷体_GB2312" w:cs="Times New Roman"/>
          <w:sz w:val="36"/>
          <w:szCs w:val="36"/>
        </w:rPr>
        <w:t>中华人民共和国生态环境部制</w:t>
      </w:r>
    </w:p>
    <w:p w14:paraId="28EF5E26">
      <w:pPr>
        <w:pStyle w:val="2"/>
        <w:rPr>
          <w:rFonts w:hint="default"/>
        </w:rPr>
        <w:sectPr>
          <w:pgSz w:w="11906" w:h="16838"/>
          <w:pgMar w:top="1440" w:right="1800" w:bottom="1440" w:left="1800" w:header="851" w:footer="992" w:gutter="0"/>
          <w:pgNumType w:start="1"/>
          <w:cols w:space="425" w:num="1"/>
          <w:docGrid w:type="lines" w:linePitch="312" w:charSpace="0"/>
        </w:sectPr>
      </w:pPr>
      <w:r>
        <w:drawing>
          <wp:inline distT="0" distB="0" distL="114300" distR="114300">
            <wp:extent cx="5273040" cy="7250430"/>
            <wp:effectExtent l="0" t="0" r="3810" b="7620"/>
            <wp:docPr id="6" name="图片 6" descr="acd954de58540d8e1df8e4fba4114c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cd954de58540d8e1df8e4fba4114ca8"/>
                    <pic:cNvPicPr>
                      <a:picLocks noChangeAspect="1"/>
                    </pic:cNvPicPr>
                  </pic:nvPicPr>
                  <pic:blipFill>
                    <a:blip r:embed="rId14"/>
                    <a:stretch>
                      <a:fillRect/>
                    </a:stretch>
                  </pic:blipFill>
                  <pic:spPr>
                    <a:xfrm>
                      <a:off x="0" y="0"/>
                      <a:ext cx="5273040" cy="7250430"/>
                    </a:xfrm>
                    <a:prstGeom prst="rect">
                      <a:avLst/>
                    </a:prstGeom>
                  </pic:spPr>
                </pic:pic>
              </a:graphicData>
            </a:graphic>
          </wp:inline>
        </w:drawing>
      </w:r>
      <w:r>
        <w:drawing>
          <wp:inline distT="0" distB="0" distL="114300" distR="114300">
            <wp:extent cx="5273040" cy="7250430"/>
            <wp:effectExtent l="0" t="0" r="3810" b="7620"/>
            <wp:docPr id="14" name="图片 14" descr="620cf8c56804e8a96d37e1c0020226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20cf8c56804e8a96d37e1c0020226ba"/>
                    <pic:cNvPicPr>
                      <a:picLocks noChangeAspect="1"/>
                    </pic:cNvPicPr>
                  </pic:nvPicPr>
                  <pic:blipFill>
                    <a:blip r:embed="rId15"/>
                    <a:stretch>
                      <a:fillRect/>
                    </a:stretch>
                  </pic:blipFill>
                  <pic:spPr>
                    <a:xfrm>
                      <a:off x="0" y="0"/>
                      <a:ext cx="5273040" cy="7250430"/>
                    </a:xfrm>
                    <a:prstGeom prst="rect">
                      <a:avLst/>
                    </a:prstGeom>
                  </pic:spPr>
                </pic:pic>
              </a:graphicData>
            </a:graphic>
          </wp:inline>
        </w:drawing>
      </w:r>
      <w:r>
        <w:drawing>
          <wp:inline distT="0" distB="0" distL="114300" distR="114300">
            <wp:extent cx="5269865" cy="7247255"/>
            <wp:effectExtent l="0" t="0" r="6985" b="10795"/>
            <wp:docPr id="15" name="图片 15" descr="f051743f40ee42859b90e25f1b29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051743f40ee42859b90e25f1b295423"/>
                    <pic:cNvPicPr>
                      <a:picLocks noChangeAspect="1"/>
                    </pic:cNvPicPr>
                  </pic:nvPicPr>
                  <pic:blipFill>
                    <a:blip r:embed="rId16"/>
                    <a:stretch>
                      <a:fillRect/>
                    </a:stretch>
                  </pic:blipFill>
                  <pic:spPr>
                    <a:xfrm>
                      <a:off x="0" y="0"/>
                      <a:ext cx="5269865" cy="7247255"/>
                    </a:xfrm>
                    <a:prstGeom prst="rect">
                      <a:avLst/>
                    </a:prstGeom>
                  </pic:spPr>
                </pic:pic>
              </a:graphicData>
            </a:graphic>
          </wp:inline>
        </w:drawing>
      </w:r>
      <w:r>
        <w:drawing>
          <wp:inline distT="0" distB="0" distL="114300" distR="114300">
            <wp:extent cx="5269865" cy="7247255"/>
            <wp:effectExtent l="0" t="0" r="6985" b="10795"/>
            <wp:docPr id="21" name="图片 21" descr="ddf548edd021c0b295421926077be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df548edd021c0b295421926077bee48"/>
                    <pic:cNvPicPr>
                      <a:picLocks noChangeAspect="1"/>
                    </pic:cNvPicPr>
                  </pic:nvPicPr>
                  <pic:blipFill>
                    <a:blip r:embed="rId17"/>
                    <a:stretch>
                      <a:fillRect/>
                    </a:stretch>
                  </pic:blipFill>
                  <pic:spPr>
                    <a:xfrm>
                      <a:off x="0" y="0"/>
                      <a:ext cx="5269865" cy="7247255"/>
                    </a:xfrm>
                    <a:prstGeom prst="rect">
                      <a:avLst/>
                    </a:prstGeom>
                  </pic:spPr>
                </pic:pic>
              </a:graphicData>
            </a:graphic>
          </wp:inline>
        </w:drawing>
      </w:r>
      <w:r>
        <w:drawing>
          <wp:inline distT="0" distB="0" distL="0" distR="0">
            <wp:extent cx="6875780" cy="5003800"/>
            <wp:effectExtent l="0" t="0" r="635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8"/>
                    <a:stretch>
                      <a:fillRect/>
                    </a:stretch>
                  </pic:blipFill>
                  <pic:spPr>
                    <a:xfrm rot="16200000">
                      <a:off x="0" y="0"/>
                      <a:ext cx="6875780" cy="5003800"/>
                    </a:xfrm>
                    <a:prstGeom prst="rect">
                      <a:avLst/>
                    </a:prstGeom>
                  </pic:spPr>
                </pic:pic>
              </a:graphicData>
            </a:graphic>
          </wp:inline>
        </w:drawing>
      </w:r>
      <w:r>
        <w:rPr>
          <w:b/>
          <w:sz w:val="28"/>
          <w:szCs w:val="28"/>
        </w:rPr>
        <w:drawing>
          <wp:inline distT="0" distB="0" distL="0" distR="0">
            <wp:extent cx="7807325" cy="5641975"/>
            <wp:effectExtent l="0" t="0" r="15875" b="3175"/>
            <wp:docPr id="19" name="图片 19" descr="G:\2025年7月10日特码斯派克环评\1、文本\资质申请\环境影响评价工程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G:\2025年7月10日特码斯派克环评\1、文本\资质申请\环境影响评价工程师.jpg"/>
                    <pic:cNvPicPr>
                      <a:picLocks noChangeAspect="1" noChangeArrowheads="1"/>
                    </pic:cNvPicPr>
                  </pic:nvPicPr>
                  <pic:blipFill>
                    <a:blip r:embed="rId19" cstate="print">
                      <a:extLst>
                        <a:ext uri="{28A0092B-C50C-407E-A947-70E740481C1C}">
                          <a14:useLocalDpi xmlns:a14="http://schemas.microsoft.com/office/drawing/2010/main" val="0"/>
                        </a:ext>
                      </a:extLst>
                    </a:blip>
                    <a:srcRect l="9359" t="25684" r="-3887" b="24850"/>
                    <a:stretch>
                      <a:fillRect/>
                    </a:stretch>
                  </pic:blipFill>
                  <pic:spPr>
                    <a:xfrm rot="16200000">
                      <a:off x="0" y="0"/>
                      <a:ext cx="7807325" cy="5641975"/>
                    </a:xfrm>
                    <a:prstGeom prst="rect">
                      <a:avLst/>
                    </a:prstGeom>
                    <a:noFill/>
                    <a:ln>
                      <a:noFill/>
                    </a:ln>
                  </pic:spPr>
                </pic:pic>
              </a:graphicData>
            </a:graphic>
          </wp:inline>
        </w:drawing>
      </w:r>
      <w:r>
        <w:rPr>
          <w:b/>
          <w:sz w:val="28"/>
          <w:szCs w:val="28"/>
        </w:rPr>
        <w:drawing>
          <wp:inline distT="0" distB="0" distL="0" distR="0">
            <wp:extent cx="5074285" cy="7176770"/>
            <wp:effectExtent l="0" t="0" r="12065" b="5080"/>
            <wp:docPr id="20" name="图片 20" descr="C:\Users\Administrator\Desktop\7个人参保证明打印-(3-7月）-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istrator\Desktop\7个人参保证明打印-(3-7月）-副本.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074285" cy="7176770"/>
                    </a:xfrm>
                    <a:prstGeom prst="rect">
                      <a:avLst/>
                    </a:prstGeom>
                    <a:noFill/>
                    <a:ln>
                      <a:noFill/>
                    </a:ln>
                  </pic:spPr>
                </pic:pic>
              </a:graphicData>
            </a:graphic>
          </wp:inline>
        </w:drawing>
      </w:r>
    </w:p>
    <w:p w14:paraId="240DCB70">
      <w:pPr>
        <w:pStyle w:val="2"/>
        <w:rPr>
          <w:rFonts w:hint="default" w:ascii="Times New Roman" w:hAnsi="Times New Roman" w:cs="Times New Roman"/>
        </w:rPr>
      </w:pPr>
    </w:p>
    <w:sdt>
      <w:sdtPr>
        <w:rPr>
          <w:rFonts w:hint="default" w:ascii="Times New Roman" w:hAnsi="Times New Roman" w:cs="Times New Roman" w:eastAsiaTheme="minorEastAsia"/>
        </w:rPr>
        <w:id w:val="147460733"/>
        <w15:color w:val="DBDBDB"/>
        <w:docPartObj>
          <w:docPartGallery w:val="Table of Contents"/>
          <w:docPartUnique/>
        </w:docPartObj>
      </w:sdtPr>
      <w:sdtEndPr>
        <w:rPr>
          <w:rFonts w:hint="default" w:ascii="Times New Roman" w:hAnsi="Times New Roman" w:cs="Times New Roman" w:eastAsiaTheme="minorEastAsia"/>
        </w:rPr>
      </w:sdtEndPr>
      <w:sdtContent>
        <w:p w14:paraId="47E0DB1C">
          <w:pPr>
            <w:jc w:val="center"/>
            <w:rPr>
              <w:rFonts w:hint="default" w:ascii="Times New Roman" w:hAnsi="Times New Roman" w:cs="Times New Roman" w:eastAsiaTheme="minorEastAsia"/>
              <w:sz w:val="28"/>
              <w:szCs w:val="28"/>
            </w:rPr>
          </w:pPr>
          <w:r>
            <w:rPr>
              <w:rFonts w:hint="default" w:ascii="Times New Roman" w:hAnsi="Times New Roman" w:cs="Times New Roman" w:eastAsiaTheme="minorEastAsia"/>
              <w:b/>
              <w:bCs/>
              <w:sz w:val="28"/>
              <w:szCs w:val="28"/>
            </w:rPr>
            <w:t>目  录</w:t>
          </w:r>
        </w:p>
        <w:p w14:paraId="1842A92D">
          <w:pPr>
            <w:pStyle w:val="15"/>
            <w:tabs>
              <w:tab w:val="right" w:leader="dot" w:pos="8306"/>
            </w:tabs>
            <w:rPr>
              <w:rFonts w:hint="default" w:ascii="Times New Roman" w:hAnsi="Times New Roman" w:cs="Times New Roman"/>
              <w:b/>
              <w:bCs/>
            </w:rPr>
          </w:pPr>
          <w:r>
            <w:rPr>
              <w:rFonts w:hint="default" w:ascii="Times New Roman" w:hAnsi="Times New Roman" w:cs="Times New Roman" w:eastAsiaTheme="minorEastAsia"/>
            </w:rPr>
            <w:fldChar w:fldCharType="begin"/>
          </w:r>
          <w:r>
            <w:rPr>
              <w:rFonts w:hint="default" w:ascii="Times New Roman" w:hAnsi="Times New Roman" w:cs="Times New Roman" w:eastAsiaTheme="minorEastAsia"/>
            </w:rPr>
            <w:instrText xml:space="preserve">TOC \o "1-1" \h \u </w:instrText>
          </w:r>
          <w:r>
            <w:rPr>
              <w:rFonts w:hint="default" w:ascii="Times New Roman" w:hAnsi="Times New Roman" w:cs="Times New Roman" w:eastAsiaTheme="minorEastAsia"/>
            </w:rPr>
            <w:fldChar w:fldCharType="separate"/>
          </w:r>
          <w:r>
            <w:rPr>
              <w:rFonts w:hint="default" w:ascii="Times New Roman" w:hAnsi="Times New Roman" w:cs="Times New Roman"/>
            </w:rPr>
            <w:fldChar w:fldCharType="begin"/>
          </w:r>
          <w:r>
            <w:rPr>
              <w:rFonts w:hint="default" w:ascii="Times New Roman" w:hAnsi="Times New Roman" w:cs="Times New Roman"/>
            </w:rPr>
            <w:instrText xml:space="preserve"> HYPERLINK \l "_Toc8920" </w:instrText>
          </w:r>
          <w:r>
            <w:rPr>
              <w:rFonts w:hint="default" w:ascii="Times New Roman" w:hAnsi="Times New Roman" w:cs="Times New Roman"/>
            </w:rPr>
            <w:fldChar w:fldCharType="separate"/>
          </w:r>
          <w:r>
            <w:rPr>
              <w:rFonts w:hint="default" w:ascii="Times New Roman" w:hAnsi="Times New Roman" w:cs="Times New Roman"/>
              <w:b/>
              <w:bCs/>
            </w:rPr>
            <w:t>一、建设项目基本情况</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_Toc8920 \h </w:instrText>
          </w:r>
          <w:r>
            <w:rPr>
              <w:rFonts w:hint="default" w:ascii="Times New Roman" w:hAnsi="Times New Roman" w:cs="Times New Roman"/>
              <w:b/>
              <w:bCs/>
            </w:rPr>
            <w:fldChar w:fldCharType="separate"/>
          </w:r>
          <w:r>
            <w:rPr>
              <w:rFonts w:hint="default" w:ascii="Times New Roman" w:hAnsi="Times New Roman" w:cs="Times New Roman"/>
              <w:b/>
              <w:bCs/>
            </w:rPr>
            <w:t>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060DB52">
          <w:pPr>
            <w:pStyle w:val="15"/>
            <w:tabs>
              <w:tab w:val="right" w:leader="dot" w:pos="8306"/>
            </w:tabs>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"_Toc28519" </w:instrText>
          </w:r>
          <w:r>
            <w:rPr>
              <w:rFonts w:hint="default" w:ascii="Times New Roman" w:hAnsi="Times New Roman" w:cs="Times New Roman"/>
            </w:rPr>
            <w:fldChar w:fldCharType="separate"/>
          </w:r>
          <w:r>
            <w:rPr>
              <w:rFonts w:hint="default" w:ascii="Times New Roman" w:hAnsi="Times New Roman" w:cs="Times New Roman"/>
              <w:b/>
              <w:bCs/>
            </w:rPr>
            <w:t>二、建设项目工程分析</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_Toc28519 \h </w:instrText>
          </w:r>
          <w:r>
            <w:rPr>
              <w:rFonts w:hint="default" w:ascii="Times New Roman" w:hAnsi="Times New Roman" w:cs="Times New Roman"/>
              <w:b/>
              <w:bCs/>
            </w:rPr>
            <w:fldChar w:fldCharType="separate"/>
          </w:r>
          <w:r>
            <w:rPr>
              <w:rFonts w:hint="default" w:ascii="Times New Roman" w:hAnsi="Times New Roman" w:cs="Times New Roman"/>
              <w:b/>
              <w:bCs/>
            </w:rPr>
            <w:t>23</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ECAA691">
          <w:pPr>
            <w:pStyle w:val="15"/>
            <w:tabs>
              <w:tab w:val="right" w:leader="dot" w:pos="8306"/>
            </w:tabs>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"_Toc14244" </w:instrText>
          </w:r>
          <w:r>
            <w:rPr>
              <w:rFonts w:hint="default" w:ascii="Times New Roman" w:hAnsi="Times New Roman" w:cs="Times New Roman"/>
            </w:rPr>
            <w:fldChar w:fldCharType="separate"/>
          </w:r>
          <w:r>
            <w:rPr>
              <w:rFonts w:hint="default" w:ascii="Times New Roman" w:hAnsi="Times New Roman" w:cs="Times New Roman"/>
              <w:b/>
              <w:bCs/>
            </w:rPr>
            <w:t>三、区域环境质量现状、环境保护目标及评价标准</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_Toc14244 \h </w:instrText>
          </w:r>
          <w:r>
            <w:rPr>
              <w:rFonts w:hint="default" w:ascii="Times New Roman" w:hAnsi="Times New Roman" w:cs="Times New Roman"/>
              <w:b/>
              <w:bCs/>
            </w:rPr>
            <w:fldChar w:fldCharType="separate"/>
          </w:r>
          <w:r>
            <w:rPr>
              <w:rFonts w:hint="default" w:ascii="Times New Roman" w:hAnsi="Times New Roman" w:cs="Times New Roman"/>
              <w:b/>
              <w:bCs/>
            </w:rPr>
            <w:t>40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F64D0FC">
          <w:pPr>
            <w:pStyle w:val="15"/>
            <w:tabs>
              <w:tab w:val="right" w:leader="dot" w:pos="8306"/>
            </w:tabs>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"_Toc1251" </w:instrText>
          </w:r>
          <w:r>
            <w:rPr>
              <w:rFonts w:hint="default" w:ascii="Times New Roman" w:hAnsi="Times New Roman" w:cs="Times New Roman"/>
            </w:rPr>
            <w:fldChar w:fldCharType="separate"/>
          </w:r>
          <w:r>
            <w:rPr>
              <w:rFonts w:hint="default" w:ascii="Times New Roman" w:hAnsi="Times New Roman" w:cs="Times New Roman"/>
              <w:b/>
              <w:bCs/>
            </w:rPr>
            <w:t>四、主要环境影响和保护措施</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_Toc1251 \h </w:instrText>
          </w:r>
          <w:r>
            <w:rPr>
              <w:rFonts w:hint="default" w:ascii="Times New Roman" w:hAnsi="Times New Roman" w:cs="Times New Roman"/>
              <w:b/>
              <w:bCs/>
            </w:rPr>
            <w:fldChar w:fldCharType="separate"/>
          </w:r>
          <w:r>
            <w:rPr>
              <w:rFonts w:hint="default" w:ascii="Times New Roman" w:hAnsi="Times New Roman" w:cs="Times New Roman"/>
              <w:b/>
              <w:bCs/>
            </w:rPr>
            <w:t>51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9B211E3">
          <w:pPr>
            <w:pStyle w:val="15"/>
            <w:tabs>
              <w:tab w:val="right" w:leader="dot" w:pos="8306"/>
            </w:tabs>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"_Toc23601" </w:instrText>
          </w:r>
          <w:r>
            <w:rPr>
              <w:rFonts w:hint="default" w:ascii="Times New Roman" w:hAnsi="Times New Roman" w:cs="Times New Roman"/>
            </w:rPr>
            <w:fldChar w:fldCharType="separate"/>
          </w:r>
          <w:r>
            <w:rPr>
              <w:rFonts w:hint="default" w:ascii="Times New Roman" w:hAnsi="Times New Roman" w:cs="Times New Roman"/>
              <w:b/>
              <w:bCs/>
            </w:rPr>
            <w:t>五、环境保护措施监督检查清单</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_Toc23601 \h </w:instrText>
          </w:r>
          <w:r>
            <w:rPr>
              <w:rFonts w:hint="default" w:ascii="Times New Roman" w:hAnsi="Times New Roman" w:cs="Times New Roman"/>
              <w:b/>
              <w:bCs/>
            </w:rPr>
            <w:fldChar w:fldCharType="separate"/>
          </w:r>
          <w:r>
            <w:rPr>
              <w:rFonts w:hint="default" w:ascii="Times New Roman" w:hAnsi="Times New Roman" w:cs="Times New Roman"/>
              <w:b/>
              <w:bCs/>
            </w:rPr>
            <w:t>93</w:t>
          </w:r>
          <w:r>
            <w:rPr>
              <w:rFonts w:hint="default" w:ascii="Times New Roman" w:hAnsi="Times New Roman" w:cs="Times New Roman"/>
              <w:b/>
              <w:bCs/>
            </w:rPr>
            <w:fldChar w:fldCharType="end"/>
          </w:r>
          <w:r>
            <w:rPr>
              <w:rFonts w:hint="default" w:ascii="Times New Roman" w:hAnsi="Times New Roman" w:cs="Times New Roman"/>
              <w:b/>
              <w:bCs/>
            </w:rPr>
            <w:fldChar w:fldCharType="end"/>
          </w:r>
          <w:bookmarkStart w:id="17" w:name="_GoBack"/>
          <w:bookmarkEnd w:id="17"/>
        </w:p>
        <w:p w14:paraId="4F651019">
          <w:pPr>
            <w:pStyle w:val="15"/>
            <w:tabs>
              <w:tab w:val="right" w:leader="dot" w:pos="8306"/>
            </w:tabs>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HYPERLINK \l "_Toc18008" </w:instrText>
          </w:r>
          <w:r>
            <w:rPr>
              <w:rFonts w:hint="default" w:ascii="Times New Roman" w:hAnsi="Times New Roman" w:cs="Times New Roman"/>
            </w:rPr>
            <w:fldChar w:fldCharType="separate"/>
          </w:r>
          <w:r>
            <w:rPr>
              <w:rFonts w:hint="default" w:ascii="Times New Roman" w:hAnsi="Times New Roman" w:cs="Times New Roman"/>
              <w:b/>
              <w:bCs/>
            </w:rPr>
            <w:t>六、结论</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_Toc18008 \h </w:instrText>
          </w:r>
          <w:r>
            <w:rPr>
              <w:rFonts w:hint="default" w:ascii="Times New Roman" w:hAnsi="Times New Roman" w:cs="Times New Roman"/>
              <w:b/>
              <w:bCs/>
            </w:rPr>
            <w:fldChar w:fldCharType="separate"/>
          </w:r>
          <w:r>
            <w:rPr>
              <w:rFonts w:hint="default" w:ascii="Times New Roman" w:hAnsi="Times New Roman" w:cs="Times New Roman"/>
              <w:b/>
              <w:bCs/>
            </w:rPr>
            <w:t>97</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32778BA">
          <w:pPr>
            <w:pStyle w:val="15"/>
            <w:tabs>
              <w:tab w:val="right" w:leader="dot" w:pos="8306"/>
            </w:tabs>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HYPERLINK \l "_Toc28698" </w:instrText>
          </w:r>
          <w:r>
            <w:rPr>
              <w:rFonts w:hint="default" w:ascii="Times New Roman" w:hAnsi="Times New Roman" w:cs="Times New Roman"/>
            </w:rPr>
            <w:fldChar w:fldCharType="separate"/>
          </w:r>
          <w:r>
            <w:rPr>
              <w:rFonts w:hint="default" w:ascii="Times New Roman" w:hAnsi="Times New Roman" w:cs="Times New Roman"/>
              <w:b/>
              <w:bCs/>
            </w:rPr>
            <w:t>附表</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_Toc28698 \h </w:instrText>
          </w:r>
          <w:r>
            <w:rPr>
              <w:rFonts w:hint="default" w:ascii="Times New Roman" w:hAnsi="Times New Roman" w:cs="Times New Roman"/>
              <w:b/>
              <w:bCs/>
            </w:rPr>
            <w:fldChar w:fldCharType="separate"/>
          </w:r>
          <w:r>
            <w:rPr>
              <w:rFonts w:hint="default" w:ascii="Times New Roman" w:hAnsi="Times New Roman" w:cs="Times New Roman"/>
              <w:b/>
              <w:bCs/>
            </w:rPr>
            <w:t>98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D03D036">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22"/>
              <w:szCs w:val="22"/>
            </w:rPr>
          </w:pPr>
          <w:r>
            <w:rPr>
              <w:rFonts w:hint="default" w:ascii="Times New Roman" w:hAnsi="Times New Roman" w:cs="Times New Roman" w:eastAsiaTheme="minorEastAsia"/>
            </w:rPr>
            <w:fldChar w:fldCharType="end"/>
          </w:r>
          <w:r>
            <w:rPr>
              <w:rFonts w:hint="default" w:ascii="Times New Roman" w:hAnsi="Times New Roman" w:cs="Times New Roman"/>
              <w:b/>
              <w:bCs/>
              <w:sz w:val="22"/>
              <w:szCs w:val="22"/>
            </w:rPr>
            <w:t>附图：</w:t>
          </w:r>
        </w:p>
        <w:tbl>
          <w:tblPr>
            <w:tblStyle w:val="22"/>
            <w:tblW w:w="865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11"/>
            <w:gridCol w:w="3748"/>
          </w:tblGrid>
          <w:tr w14:paraId="2D5A8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05" w:hRule="atLeast"/>
            </w:trPr>
            <w:tc>
              <w:tcPr>
                <w:tcW w:w="4911" w:type="dxa"/>
              </w:tcPr>
              <w:p w14:paraId="4FA89C68">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附图1 项目地理位置图</w:t>
                </w:r>
              </w:p>
              <w:p w14:paraId="7A43F09A">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附图2 项目四周环境照片</w:t>
                </w:r>
              </w:p>
              <w:p w14:paraId="5B32A90C">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附图3-1 本项目所在厂区总平面布置图</w:t>
                </w:r>
              </w:p>
              <w:p w14:paraId="08D3CED8">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附图3-2 本项目在普特机械厂区内总平面布置图</w:t>
                </w:r>
              </w:p>
              <w:p w14:paraId="1D492172">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附图4 项目周边环境关系图</w:t>
                </w:r>
              </w:p>
              <w:p w14:paraId="272C6C9A">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附图5 项目分区防渗图</w:t>
                </w:r>
              </w:p>
              <w:p w14:paraId="4A869BE4">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 xml:space="preserve">附图6 项目雨污管网图 </w:t>
                </w:r>
              </w:p>
              <w:p w14:paraId="471AE479">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附图7-1 淮南市国土空间总体规划图</w:t>
                </w:r>
              </w:p>
              <w:p w14:paraId="49DDE2DE">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附图7-2 淮南高新技术产业开发区用地布局规划图</w:t>
                </w:r>
              </w:p>
            </w:tc>
            <w:tc>
              <w:tcPr>
                <w:tcW w:w="3748" w:type="dxa"/>
              </w:tcPr>
              <w:p w14:paraId="6901DD75">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附图8 安徽淮南工业园区总体发展规划及本项目相对位置图</w:t>
                </w:r>
              </w:p>
              <w:p w14:paraId="73C8FA58">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附图9 淮南市“三区三线”划定图</w:t>
                </w:r>
              </w:p>
              <w:p w14:paraId="3E013A52">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附图9-1 淮南市大气环境分区管控图</w:t>
                </w:r>
              </w:p>
              <w:p w14:paraId="2F962BC3">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附图9-2 淮南市水环境分区管控图</w:t>
                </w:r>
              </w:p>
              <w:p w14:paraId="2CA1D3F8">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附图9-3 淮南市土壤污染风险管控图</w:t>
                </w:r>
              </w:p>
              <w:p w14:paraId="63C10C43">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附图9-4 淮南市环境管控单元图</w:t>
                </w:r>
              </w:p>
              <w:p w14:paraId="14E58E9F">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附图10 大气环境敏感目标图</w:t>
                </w:r>
              </w:p>
              <w:p w14:paraId="0AB8AC5B">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附图11 噪声环境敏感目标图</w:t>
                </w:r>
              </w:p>
            </w:tc>
          </w:tr>
        </w:tbl>
        <w:p w14:paraId="2A117787">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b/>
              <w:bCs/>
              <w:sz w:val="18"/>
              <w:szCs w:val="18"/>
            </w:rPr>
          </w:pPr>
          <w:r>
            <w:rPr>
              <w:rFonts w:hint="default" w:ascii="Times New Roman" w:hAnsi="Times New Roman" w:cs="Times New Roman"/>
              <w:b/>
              <w:bCs/>
              <w:sz w:val="22"/>
              <w:szCs w:val="22"/>
            </w:rPr>
            <w:t>附件</w:t>
          </w:r>
          <w:r>
            <w:rPr>
              <w:rFonts w:hint="default" w:ascii="Times New Roman" w:hAnsi="Times New Roman" w:cs="Times New Roman"/>
              <w:b/>
              <w:bCs/>
              <w:sz w:val="18"/>
              <w:szCs w:val="18"/>
            </w:rPr>
            <w:t>：</w:t>
          </w:r>
        </w:p>
        <w:tbl>
          <w:tblPr>
            <w:tblStyle w:val="22"/>
            <w:tblW w:w="855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4"/>
            <w:gridCol w:w="3705"/>
          </w:tblGrid>
          <w:tr w14:paraId="7D261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2" w:hRule="atLeast"/>
            </w:trPr>
            <w:tc>
              <w:tcPr>
                <w:tcW w:w="4854" w:type="dxa"/>
              </w:tcPr>
              <w:p w14:paraId="3192D709">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附件1  环评委托书</w:t>
                </w:r>
              </w:p>
              <w:p w14:paraId="7A10242E">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附件2  环评真实性承诺函</w:t>
                </w:r>
              </w:p>
              <w:p w14:paraId="2AD941AF">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附件3  备案表</w:t>
                </w:r>
              </w:p>
              <w:p w14:paraId="2D74E8C9">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w:t>
                </w:r>
                <w:r>
                  <w:rPr>
                    <w:rFonts w:hint="eastAsia" w:cs="Times New Roman"/>
                    <w:sz w:val="18"/>
                    <w:szCs w:val="18"/>
                    <w:lang w:val="en-US" w:eastAsia="zh-CN"/>
                  </w:rPr>
                  <w:t>4</w:t>
                </w:r>
                <w:r>
                  <w:rPr>
                    <w:rFonts w:hint="default" w:ascii="Times New Roman" w:hAnsi="Times New Roman" w:cs="Times New Roman"/>
                    <w:sz w:val="18"/>
                    <w:szCs w:val="18"/>
                  </w:rPr>
                  <w:t xml:space="preserve">  《国务院关于同意淮南高新技术产业开发区升级为国家高新技术产业开发区的批复》</w:t>
                </w:r>
              </w:p>
              <w:p w14:paraId="3B426BB4">
                <w:pPr>
                  <w:pStyle w:val="14"/>
                  <w:keepNext w:val="0"/>
                  <w:keepLines w:val="0"/>
                  <w:pageBreakBefore w:val="0"/>
                  <w:widowControl w:val="0"/>
                  <w:kinsoku/>
                  <w:wordWrap/>
                  <w:overflowPunct/>
                  <w:topLinePunct w:val="0"/>
                  <w:autoSpaceDE/>
                  <w:autoSpaceDN/>
                  <w:bidi w:val="0"/>
                  <w:adjustRightInd/>
                  <w:snapToGrid/>
                  <w:spacing w:line="240" w:lineRule="atLeast"/>
                  <w:textAlignment w:val="auto"/>
                  <w:rPr>
                    <w:rFonts w:hint="eastAsia" w:ascii="Times New Roman" w:hAnsi="Times New Roman" w:eastAsia="宋体" w:cs="Times New Roman"/>
                    <w:sz w:val="18"/>
                    <w:szCs w:val="18"/>
                    <w:lang w:val="en-US" w:eastAsia="zh-CN"/>
                  </w:rPr>
                </w:pPr>
                <w:r>
                  <w:rPr>
                    <w:rFonts w:hint="default" w:ascii="Times New Roman" w:hAnsi="Times New Roman" w:cs="Times New Roman"/>
                    <w:sz w:val="18"/>
                    <w:szCs w:val="18"/>
                  </w:rPr>
                  <w:t>附件5  关于印发《淮南高新技术产业开发区总体发展规划(2024-2035年)(主导产业变更)环境影响报告书》审查意见的函（淮环函[2024]43号</w:t>
                </w:r>
              </w:p>
            </w:tc>
            <w:tc>
              <w:tcPr>
                <w:tcW w:w="3705" w:type="dxa"/>
              </w:tcPr>
              <w:p w14:paraId="445D0A03">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w:t>
                </w:r>
                <w:r>
                  <w:rPr>
                    <w:rFonts w:hint="eastAsia" w:ascii="Times New Roman" w:hAnsi="Times New Roman" w:cs="Times New Roman"/>
                    <w:sz w:val="18"/>
                    <w:szCs w:val="18"/>
                    <w:lang w:val="en-US" w:eastAsia="zh-CN"/>
                  </w:rPr>
                  <w:t>6</w:t>
                </w:r>
                <w:r>
                  <w:rPr>
                    <w:rFonts w:hint="default" w:ascii="Times New Roman" w:hAnsi="Times New Roman" w:cs="Times New Roman"/>
                    <w:sz w:val="18"/>
                    <w:szCs w:val="18"/>
                  </w:rPr>
                  <w:t xml:space="preserve"> 安徽省环保厅关于安徽淮南工业园区总体发展规划环境影响报告书审查意见的函</w:t>
                </w:r>
              </w:p>
              <w:p w14:paraId="4A322D76">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w:t>
                </w:r>
                <w:r>
                  <w:rPr>
                    <w:rFonts w:hint="eastAsia" w:cs="Times New Roman"/>
                    <w:sz w:val="18"/>
                    <w:szCs w:val="18"/>
                    <w:lang w:val="en-US" w:eastAsia="zh-CN"/>
                  </w:rPr>
                  <w:t>7</w:t>
                </w:r>
                <w:r>
                  <w:rPr>
                    <w:rFonts w:hint="default" w:ascii="Times New Roman" w:hAnsi="Times New Roman" w:cs="Times New Roman"/>
                    <w:sz w:val="18"/>
                    <w:szCs w:val="18"/>
                  </w:rPr>
                  <w:t xml:space="preserve"> 安徽普特机械制造有限公司环保手续</w:t>
                </w:r>
              </w:p>
              <w:p w14:paraId="23215B5D">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w:t>
                </w:r>
                <w:r>
                  <w:rPr>
                    <w:rFonts w:hint="eastAsia" w:cs="Times New Roman"/>
                    <w:sz w:val="18"/>
                    <w:szCs w:val="18"/>
                    <w:lang w:val="en-US" w:eastAsia="zh-CN"/>
                  </w:rPr>
                  <w:t>8</w:t>
                </w:r>
                <w:r>
                  <w:rPr>
                    <w:rFonts w:hint="default" w:ascii="Times New Roman" w:hAnsi="Times New Roman" w:cs="Times New Roman"/>
                    <w:sz w:val="18"/>
                    <w:szCs w:val="18"/>
                  </w:rPr>
                  <w:t>孟岗村拆迁证明</w:t>
                </w:r>
              </w:p>
              <w:p w14:paraId="5BB3A560">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w:t>
                </w:r>
                <w:r>
                  <w:rPr>
                    <w:rFonts w:hint="eastAsia" w:cs="Times New Roman"/>
                    <w:sz w:val="18"/>
                    <w:szCs w:val="18"/>
                    <w:lang w:val="en-US" w:eastAsia="zh-CN"/>
                  </w:rPr>
                  <w:t>9</w:t>
                </w:r>
                <w:r>
                  <w:rPr>
                    <w:rFonts w:hint="default" w:ascii="Times New Roman" w:hAnsi="Times New Roman" w:cs="Times New Roman"/>
                    <w:sz w:val="18"/>
                    <w:szCs w:val="18"/>
                  </w:rPr>
                  <w:t xml:space="preserve">  水性油墨MSDS、检测报告</w:t>
                </w:r>
              </w:p>
              <w:p w14:paraId="43D67171">
                <w:pPr>
                  <w:keepNext w:val="0"/>
                  <w:keepLines w:val="0"/>
                  <w:pageBreakBefore w:val="0"/>
                  <w:widowControl w:val="0"/>
                  <w:kinsoku/>
                  <w:wordWrap/>
                  <w:overflowPunct/>
                  <w:topLinePunct w:val="0"/>
                  <w:autoSpaceDE/>
                  <w:autoSpaceDN/>
                  <w:bidi w:val="0"/>
                  <w:adjustRightInd/>
                  <w:snapToGrid/>
                  <w:spacing w:line="240" w:lineRule="atLeast"/>
                  <w:textAlignment w:val="auto"/>
                  <w:rPr>
                    <w:rFonts w:hint="default" w:ascii="Times New Roman" w:hAnsi="Times New Roman" w:cs="Times New Roman"/>
                    <w:sz w:val="18"/>
                    <w:szCs w:val="18"/>
                  </w:rPr>
                </w:pPr>
                <w:r>
                  <w:rPr>
                    <w:rFonts w:hint="default" w:ascii="Times New Roman" w:hAnsi="Times New Roman" w:cs="Times New Roman"/>
                    <w:sz w:val="18"/>
                    <w:szCs w:val="18"/>
                  </w:rPr>
                  <w:t>附件1</w:t>
                </w:r>
                <w:r>
                  <w:rPr>
                    <w:rFonts w:hint="eastAsia" w:cs="Times New Roman"/>
                    <w:sz w:val="18"/>
                    <w:szCs w:val="18"/>
                    <w:lang w:val="en-US" w:eastAsia="zh-CN"/>
                  </w:rPr>
                  <w:t>0</w:t>
                </w:r>
                <w:r>
                  <w:rPr>
                    <w:rFonts w:hint="default" w:ascii="Times New Roman" w:hAnsi="Times New Roman" w:cs="Times New Roman"/>
                    <w:sz w:val="18"/>
                    <w:szCs w:val="18"/>
                  </w:rPr>
                  <w:t xml:space="preserve"> 租赁协议</w:t>
                </w:r>
              </w:p>
            </w:tc>
          </w:tr>
        </w:tbl>
        <w:p w14:paraId="4C4F7C1E">
          <w:pPr>
            <w:rPr>
              <w:rFonts w:hint="default" w:ascii="Times New Roman" w:hAnsi="Times New Roman" w:cs="Times New Roman"/>
            </w:rPr>
          </w:pPr>
        </w:p>
      </w:sdtContent>
    </w:sdt>
    <w:p w14:paraId="2059712E">
      <w:pPr>
        <w:rPr>
          <w:rFonts w:hint="default" w:ascii="Times New Roman" w:hAnsi="Times New Roman" w:cs="Times New Roman"/>
        </w:rPr>
      </w:pPr>
      <w:r>
        <w:rPr>
          <w:rFonts w:hint="default" w:ascii="Times New Roman" w:hAnsi="Times New Roman" w:cs="Times New Roman"/>
        </w:rPr>
        <w:br w:type="page"/>
      </w:r>
    </w:p>
    <w:p w14:paraId="2257A2DE">
      <w:pPr>
        <w:rPr>
          <w:rFonts w:hint="default" w:ascii="Times New Roman" w:hAnsi="Times New Roman" w:cs="Times New Roman"/>
        </w:rPr>
        <w:sectPr>
          <w:pgSz w:w="11906" w:h="16838"/>
          <w:pgMar w:top="1440" w:right="1800" w:bottom="1440" w:left="1800" w:header="851" w:footer="992" w:gutter="0"/>
          <w:pgNumType w:start="1"/>
          <w:cols w:space="425" w:num="1"/>
          <w:docGrid w:type="lines" w:linePitch="312" w:charSpace="0"/>
        </w:sectPr>
      </w:pPr>
    </w:p>
    <w:p w14:paraId="1A7A453F">
      <w:pPr>
        <w:pStyle w:val="3"/>
        <w:rPr>
          <w:rFonts w:hint="default" w:ascii="Times New Roman" w:hAnsi="Times New Roman" w:cs="Times New Roman"/>
        </w:rPr>
      </w:pPr>
      <w:bookmarkStart w:id="3" w:name="_Toc8920"/>
      <w:r>
        <w:rPr>
          <w:rFonts w:hint="default" w:ascii="Times New Roman" w:hAnsi="Times New Roman" w:cs="Times New Roman"/>
        </w:rPr>
        <w:t>一、建设项目基本情况</w:t>
      </w:r>
      <w:bookmarkEnd w:id="3"/>
    </w:p>
    <w:tbl>
      <w:tblPr>
        <w:tblStyle w:val="21"/>
        <w:tblW w:w="498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22"/>
        <w:gridCol w:w="1222"/>
        <w:gridCol w:w="2097"/>
        <w:gridCol w:w="1726"/>
        <w:gridCol w:w="127"/>
        <w:gridCol w:w="3036"/>
      </w:tblGrid>
      <w:tr w14:paraId="276779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48ADBD15">
            <w:pPr>
              <w:adjustRightInd w:val="0"/>
              <w:spacing w:line="400" w:lineRule="exact"/>
              <w:jc w:val="center"/>
              <w:rPr>
                <w:rFonts w:hint="default" w:ascii="Times New Roman" w:hAnsi="Times New Roman" w:cs="Times New Roman"/>
              </w:rPr>
            </w:pPr>
            <w:r>
              <w:rPr>
                <w:rFonts w:hint="default" w:ascii="Times New Roman" w:hAnsi="Times New Roman" w:cs="Times New Roman"/>
              </w:rPr>
              <w:t>建设项目名称</w:t>
            </w:r>
          </w:p>
        </w:tc>
        <w:tc>
          <w:tcPr>
            <w:tcW w:w="6986" w:type="dxa"/>
            <w:gridSpan w:val="4"/>
            <w:vAlign w:val="center"/>
          </w:tcPr>
          <w:p w14:paraId="4C3BA64B">
            <w:pPr>
              <w:adjustRightInd w:val="0"/>
              <w:spacing w:line="400" w:lineRule="exact"/>
              <w:jc w:val="center"/>
              <w:rPr>
                <w:rFonts w:hint="default" w:ascii="Times New Roman" w:hAnsi="Times New Roman" w:cs="Times New Roman"/>
              </w:rPr>
            </w:pPr>
            <w:r>
              <w:rPr>
                <w:rFonts w:hint="default" w:ascii="Times New Roman" w:hAnsi="Times New Roman" w:cs="Times New Roman"/>
              </w:rPr>
              <w:t>年加工5000万平方米包装材料项目</w:t>
            </w:r>
          </w:p>
        </w:tc>
      </w:tr>
      <w:tr w14:paraId="2898BA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479A6C43">
            <w:pPr>
              <w:adjustRightInd w:val="0"/>
              <w:spacing w:line="400" w:lineRule="exact"/>
              <w:jc w:val="center"/>
              <w:rPr>
                <w:rFonts w:hint="default" w:ascii="Times New Roman" w:hAnsi="Times New Roman" w:cs="Times New Roman"/>
              </w:rPr>
            </w:pPr>
            <w:r>
              <w:rPr>
                <w:rFonts w:hint="default" w:ascii="Times New Roman" w:hAnsi="Times New Roman" w:cs="Times New Roman"/>
              </w:rPr>
              <w:t>项目代码</w:t>
            </w:r>
          </w:p>
        </w:tc>
        <w:tc>
          <w:tcPr>
            <w:tcW w:w="6986" w:type="dxa"/>
            <w:gridSpan w:val="4"/>
            <w:vAlign w:val="center"/>
          </w:tcPr>
          <w:p w14:paraId="0A383011">
            <w:pPr>
              <w:adjustRightInd w:val="0"/>
              <w:spacing w:line="400" w:lineRule="exact"/>
              <w:jc w:val="center"/>
              <w:rPr>
                <w:rFonts w:hint="default" w:ascii="Times New Roman" w:hAnsi="Times New Roman" w:cs="Times New Roman"/>
              </w:rPr>
            </w:pPr>
            <w:r>
              <w:rPr>
                <w:rFonts w:hint="default" w:ascii="Times New Roman" w:hAnsi="Times New Roman" w:cs="Times New Roman"/>
              </w:rPr>
              <w:t>2506-340404-04-01-929604</w:t>
            </w:r>
          </w:p>
        </w:tc>
      </w:tr>
      <w:tr w14:paraId="2079F6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064977D1">
            <w:pPr>
              <w:adjustRightInd w:val="0"/>
              <w:spacing w:line="400" w:lineRule="exact"/>
              <w:jc w:val="center"/>
              <w:rPr>
                <w:rFonts w:hint="default" w:ascii="Times New Roman" w:hAnsi="Times New Roman" w:cs="Times New Roman"/>
              </w:rPr>
            </w:pPr>
            <w:r>
              <w:rPr>
                <w:rFonts w:hint="default" w:ascii="Times New Roman" w:hAnsi="Times New Roman" w:cs="Times New Roman"/>
              </w:rPr>
              <w:t>建设单位</w:t>
            </w:r>
          </w:p>
          <w:p w14:paraId="4B86377C">
            <w:pPr>
              <w:adjustRightInd w:val="0"/>
              <w:spacing w:line="400" w:lineRule="exact"/>
              <w:jc w:val="center"/>
              <w:rPr>
                <w:rFonts w:hint="default" w:ascii="Times New Roman" w:hAnsi="Times New Roman" w:cs="Times New Roman"/>
              </w:rPr>
            </w:pPr>
            <w:r>
              <w:rPr>
                <w:rFonts w:hint="default" w:ascii="Times New Roman" w:hAnsi="Times New Roman" w:cs="Times New Roman"/>
              </w:rPr>
              <w:t>联系人</w:t>
            </w:r>
          </w:p>
        </w:tc>
        <w:tc>
          <w:tcPr>
            <w:tcW w:w="2097" w:type="dxa"/>
            <w:vAlign w:val="center"/>
          </w:tcPr>
          <w:p w14:paraId="770B707A">
            <w:pPr>
              <w:adjustRightInd w:val="0"/>
              <w:spacing w:line="400" w:lineRule="exact"/>
              <w:jc w:val="center"/>
              <w:rPr>
                <w:rFonts w:hint="default" w:ascii="Times New Roman" w:hAnsi="Times New Roman" w:cs="Times New Roman"/>
              </w:rPr>
            </w:pPr>
            <w:r>
              <w:rPr>
                <w:rFonts w:hint="default" w:ascii="Times New Roman" w:hAnsi="Times New Roman" w:cs="Times New Roman"/>
              </w:rPr>
              <w:t>霍殿远</w:t>
            </w:r>
          </w:p>
        </w:tc>
        <w:tc>
          <w:tcPr>
            <w:tcW w:w="1726" w:type="dxa"/>
            <w:vAlign w:val="center"/>
          </w:tcPr>
          <w:p w14:paraId="0CE6EFC2">
            <w:pPr>
              <w:adjustRightInd w:val="0"/>
              <w:spacing w:line="400" w:lineRule="exact"/>
              <w:jc w:val="center"/>
              <w:rPr>
                <w:rFonts w:hint="default" w:ascii="Times New Roman" w:hAnsi="Times New Roman" w:cs="Times New Roman"/>
              </w:rPr>
            </w:pPr>
            <w:r>
              <w:rPr>
                <w:rFonts w:hint="default" w:ascii="Times New Roman" w:hAnsi="Times New Roman" w:cs="Times New Roman"/>
              </w:rPr>
              <w:t>联系方式</w:t>
            </w:r>
          </w:p>
        </w:tc>
        <w:tc>
          <w:tcPr>
            <w:tcW w:w="3163" w:type="dxa"/>
            <w:gridSpan w:val="2"/>
            <w:vAlign w:val="center"/>
          </w:tcPr>
          <w:p w14:paraId="1288ADA3">
            <w:pPr>
              <w:adjustRightInd w:val="0"/>
              <w:spacing w:line="400" w:lineRule="exact"/>
              <w:jc w:val="center"/>
              <w:rPr>
                <w:rFonts w:hint="default" w:ascii="Times New Roman" w:hAnsi="Times New Roman" w:cs="Times New Roman"/>
              </w:rPr>
            </w:pPr>
            <w:r>
              <w:rPr>
                <w:rFonts w:hint="default" w:ascii="Times New Roman" w:hAnsi="Times New Roman" w:cs="Times New Roman"/>
              </w:rPr>
              <w:t>15956888999</w:t>
            </w:r>
          </w:p>
        </w:tc>
      </w:tr>
      <w:tr w14:paraId="554B8B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01F6F247">
            <w:pPr>
              <w:adjustRightInd w:val="0"/>
              <w:spacing w:line="400" w:lineRule="exact"/>
              <w:jc w:val="center"/>
              <w:rPr>
                <w:rFonts w:hint="default" w:ascii="Times New Roman" w:hAnsi="Times New Roman" w:cs="Times New Roman"/>
              </w:rPr>
            </w:pPr>
            <w:r>
              <w:rPr>
                <w:rFonts w:hint="default" w:ascii="Times New Roman" w:hAnsi="Times New Roman" w:cs="Times New Roman"/>
              </w:rPr>
              <w:t>建设地点</w:t>
            </w:r>
          </w:p>
        </w:tc>
        <w:tc>
          <w:tcPr>
            <w:tcW w:w="6986" w:type="dxa"/>
            <w:gridSpan w:val="4"/>
            <w:vAlign w:val="center"/>
          </w:tcPr>
          <w:p w14:paraId="79B95053">
            <w:pPr>
              <w:adjustRightInd w:val="0"/>
              <w:spacing w:line="400" w:lineRule="exact"/>
              <w:jc w:val="center"/>
              <w:rPr>
                <w:rFonts w:hint="default" w:ascii="Times New Roman" w:hAnsi="Times New Roman" w:cs="Times New Roman"/>
              </w:rPr>
            </w:pPr>
            <w:r>
              <w:rPr>
                <w:rFonts w:hint="default" w:ascii="Times New Roman" w:hAnsi="Times New Roman" w:cs="Times New Roman"/>
              </w:rPr>
              <w:t>淮南市谢家集区李郢孜镇经济开发区经五路与卧园路交叉口向西50米</w:t>
            </w:r>
          </w:p>
        </w:tc>
      </w:tr>
      <w:tr w14:paraId="3FAF70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4E3CF813">
            <w:pPr>
              <w:adjustRightInd w:val="0"/>
              <w:spacing w:line="400" w:lineRule="exact"/>
              <w:jc w:val="center"/>
              <w:rPr>
                <w:rFonts w:hint="default" w:ascii="Times New Roman" w:hAnsi="Times New Roman" w:cs="Times New Roman"/>
              </w:rPr>
            </w:pPr>
            <w:r>
              <w:rPr>
                <w:rFonts w:hint="default" w:ascii="Times New Roman" w:hAnsi="Times New Roman" w:cs="Times New Roman"/>
              </w:rPr>
              <w:t>地理坐标</w:t>
            </w:r>
          </w:p>
        </w:tc>
        <w:tc>
          <w:tcPr>
            <w:tcW w:w="6986" w:type="dxa"/>
            <w:gridSpan w:val="4"/>
            <w:vAlign w:val="center"/>
          </w:tcPr>
          <w:p w14:paraId="1405DB01">
            <w:pPr>
              <w:spacing w:line="400" w:lineRule="exact"/>
              <w:jc w:val="center"/>
              <w:rPr>
                <w:rFonts w:hint="default" w:ascii="Times New Roman" w:hAnsi="Times New Roman" w:cs="Times New Roman"/>
              </w:rPr>
            </w:pPr>
            <w:r>
              <w:rPr>
                <w:rFonts w:hint="default" w:ascii="Times New Roman" w:hAnsi="Times New Roman" w:cs="Times New Roman"/>
              </w:rPr>
              <w:t>（东经：116度53分29.692秒，北纬：32度33分52.641秒）</w:t>
            </w:r>
          </w:p>
        </w:tc>
      </w:tr>
      <w:tr w14:paraId="7BD2C9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4880C454">
            <w:pPr>
              <w:adjustRightInd w:val="0"/>
              <w:spacing w:line="400" w:lineRule="exact"/>
              <w:jc w:val="center"/>
              <w:rPr>
                <w:rFonts w:hint="default" w:ascii="Times New Roman" w:hAnsi="Times New Roman" w:cs="Times New Roman"/>
              </w:rPr>
            </w:pPr>
            <w:r>
              <w:rPr>
                <w:rFonts w:hint="default" w:ascii="Times New Roman" w:hAnsi="Times New Roman" w:cs="Times New Roman"/>
              </w:rPr>
              <w:t>国民经济</w:t>
            </w:r>
          </w:p>
          <w:p w14:paraId="0EF89D51">
            <w:pPr>
              <w:adjustRightInd w:val="0"/>
              <w:spacing w:line="400" w:lineRule="exact"/>
              <w:jc w:val="center"/>
              <w:rPr>
                <w:rFonts w:hint="default" w:ascii="Times New Roman" w:hAnsi="Times New Roman" w:cs="Times New Roman"/>
              </w:rPr>
            </w:pPr>
            <w:r>
              <w:rPr>
                <w:rFonts w:hint="default" w:ascii="Times New Roman" w:hAnsi="Times New Roman" w:cs="Times New Roman"/>
              </w:rPr>
              <w:t>行业类别</w:t>
            </w:r>
          </w:p>
        </w:tc>
        <w:tc>
          <w:tcPr>
            <w:tcW w:w="2097" w:type="dxa"/>
            <w:vAlign w:val="center"/>
          </w:tcPr>
          <w:p w14:paraId="72B7D4E2">
            <w:pPr>
              <w:spacing w:line="240" w:lineRule="auto"/>
              <w:jc w:val="center"/>
              <w:rPr>
                <w:rFonts w:hint="default" w:ascii="Times New Roman" w:hAnsi="Times New Roman" w:cs="Times New Roman"/>
              </w:rPr>
            </w:pPr>
            <w:r>
              <w:rPr>
                <w:rFonts w:hint="default" w:ascii="Times New Roman" w:hAnsi="Times New Roman" w:cs="Times New Roman"/>
              </w:rPr>
              <w:t>C2231纸和纸板容器制造</w:t>
            </w:r>
          </w:p>
        </w:tc>
        <w:tc>
          <w:tcPr>
            <w:tcW w:w="1853" w:type="dxa"/>
            <w:gridSpan w:val="2"/>
            <w:vAlign w:val="center"/>
          </w:tcPr>
          <w:p w14:paraId="116EE59B">
            <w:pPr>
              <w:adjustRightInd w:val="0"/>
              <w:spacing w:line="400" w:lineRule="exact"/>
              <w:jc w:val="center"/>
              <w:rPr>
                <w:rFonts w:hint="default" w:ascii="Times New Roman" w:hAnsi="Times New Roman" w:cs="Times New Roman"/>
              </w:rPr>
            </w:pPr>
            <w:bookmarkStart w:id="4" w:name="_Hlk49843745"/>
            <w:r>
              <w:rPr>
                <w:rFonts w:hint="default" w:ascii="Times New Roman" w:hAnsi="Times New Roman" w:cs="Times New Roman"/>
              </w:rPr>
              <w:t>建设项目</w:t>
            </w:r>
          </w:p>
          <w:p w14:paraId="666B1664">
            <w:pPr>
              <w:adjustRightInd w:val="0"/>
              <w:spacing w:line="400" w:lineRule="exact"/>
              <w:jc w:val="center"/>
              <w:rPr>
                <w:rFonts w:hint="default" w:ascii="Times New Roman" w:hAnsi="Times New Roman" w:cs="Times New Roman"/>
              </w:rPr>
            </w:pPr>
            <w:r>
              <w:rPr>
                <w:rFonts w:hint="default" w:ascii="Times New Roman" w:hAnsi="Times New Roman" w:cs="Times New Roman"/>
              </w:rPr>
              <w:t>行业类别</w:t>
            </w:r>
            <w:bookmarkEnd w:id="4"/>
          </w:p>
        </w:tc>
        <w:tc>
          <w:tcPr>
            <w:tcW w:w="3036" w:type="dxa"/>
            <w:vAlign w:val="center"/>
          </w:tcPr>
          <w:p w14:paraId="3546E52D">
            <w:pPr>
              <w:spacing w:line="240" w:lineRule="auto"/>
              <w:ind w:left="240" w:hanging="240" w:hangingChars="100"/>
              <w:jc w:val="left"/>
              <w:rPr>
                <w:rFonts w:hint="default" w:ascii="Times New Roman" w:hAnsi="Times New Roman" w:cs="Times New Roman"/>
                <w:kern w:val="0"/>
              </w:rPr>
            </w:pPr>
            <w:r>
              <w:rPr>
                <w:rFonts w:hint="default" w:ascii="Times New Roman" w:hAnsi="Times New Roman" w:cs="Times New Roman"/>
              </w:rPr>
              <w:t>十九、造纸和纸制品业22-38、纸制品制造223</w:t>
            </w:r>
          </w:p>
        </w:tc>
      </w:tr>
      <w:tr w14:paraId="3A677B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052" w:type="dxa"/>
            <w:gridSpan w:val="2"/>
            <w:tcMar>
              <w:top w:w="16" w:type="dxa"/>
              <w:left w:w="16" w:type="dxa"/>
              <w:right w:w="16" w:type="dxa"/>
            </w:tcMar>
            <w:vAlign w:val="center"/>
          </w:tcPr>
          <w:p w14:paraId="56E1D4A4">
            <w:pPr>
              <w:adjustRightInd/>
              <w:spacing w:line="240" w:lineRule="auto"/>
              <w:jc w:val="center"/>
              <w:rPr>
                <w:kern w:val="0"/>
                <w:szCs w:val="20"/>
              </w:rPr>
            </w:pPr>
            <w:r>
              <w:rPr>
                <w:rFonts w:hint="default" w:ascii="Times New Roman" w:hAnsi="Times New Roman" w:cs="Times New Roman"/>
              </w:rPr>
              <w:t>建设性质</w:t>
            </w:r>
          </w:p>
        </w:tc>
        <w:tc>
          <w:tcPr>
            <w:tcW w:w="2097" w:type="dxa"/>
            <w:tcFitText/>
            <w:vAlign w:val="center"/>
          </w:tcPr>
          <w:p w14:paraId="751727A9">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52"/>
            </w:r>
            <w:r>
              <w:rPr>
                <w:rFonts w:hint="default" w:ascii="Times New Roman" w:hAnsi="Times New Roman" w:cs="Times New Roman"/>
              </w:rPr>
              <w:t xml:space="preserve"> 新建（迁建）</w:t>
            </w:r>
          </w:p>
          <w:p w14:paraId="717062C7">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A3"/>
            </w:r>
            <w:r>
              <w:rPr>
                <w:rFonts w:hint="default" w:ascii="Times New Roman" w:hAnsi="Times New Roman" w:cs="Times New Roman"/>
              </w:rPr>
              <w:t xml:space="preserve"> 改建</w:t>
            </w:r>
          </w:p>
          <w:p w14:paraId="5901EF7E">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A3"/>
            </w:r>
            <w:r>
              <w:rPr>
                <w:rFonts w:hint="default" w:ascii="Times New Roman" w:hAnsi="Times New Roman" w:cs="Times New Roman"/>
              </w:rPr>
              <w:t xml:space="preserve"> 扩建</w:t>
            </w:r>
          </w:p>
          <w:p w14:paraId="0218CFEC">
            <w:pPr>
              <w:spacing w:line="240" w:lineRule="atLeast"/>
              <w:jc w:val="left"/>
              <w:rPr>
                <w:kern w:val="0"/>
                <w:szCs w:val="20"/>
              </w:rPr>
            </w:pPr>
            <w:r>
              <w:rPr>
                <w:rFonts w:hint="default" w:ascii="Times New Roman" w:hAnsi="Times New Roman" w:cs="Times New Roman"/>
              </w:rPr>
              <w:sym w:font="Wingdings 2" w:char="00A3"/>
            </w:r>
            <w:r>
              <w:rPr>
                <w:rFonts w:hint="default" w:ascii="Times New Roman" w:hAnsi="Times New Roman" w:cs="Times New Roman"/>
              </w:rPr>
              <w:t xml:space="preserve"> 技术改造</w:t>
            </w:r>
          </w:p>
        </w:tc>
        <w:tc>
          <w:tcPr>
            <w:tcW w:w="1853" w:type="dxa"/>
            <w:gridSpan w:val="2"/>
            <w:vAlign w:val="center"/>
          </w:tcPr>
          <w:p w14:paraId="61821DF1">
            <w:pPr>
              <w:spacing w:after="0"/>
              <w:jc w:val="center"/>
              <w:rPr>
                <w:rFonts w:hint="default" w:ascii="Times New Roman" w:hAnsi="Times New Roman" w:cs="Times New Roman"/>
              </w:rPr>
            </w:pPr>
            <w:r>
              <w:rPr>
                <w:rFonts w:hint="default" w:ascii="Times New Roman" w:hAnsi="Times New Roman" w:cs="Times New Roman"/>
              </w:rPr>
              <w:t>建设项目</w:t>
            </w:r>
          </w:p>
          <w:p w14:paraId="44ED3F93">
            <w:pPr>
              <w:spacing w:after="0"/>
              <w:jc w:val="center"/>
              <w:rPr>
                <w:rFonts w:hint="default" w:ascii="Times New Roman" w:hAnsi="Times New Roman" w:cs="Times New Roman"/>
              </w:rPr>
            </w:pPr>
            <w:r>
              <w:rPr>
                <w:rFonts w:hint="default" w:ascii="Times New Roman" w:hAnsi="Times New Roman" w:cs="Times New Roman"/>
              </w:rPr>
              <w:t>申报情形</w:t>
            </w:r>
          </w:p>
        </w:tc>
        <w:tc>
          <w:tcPr>
            <w:tcW w:w="3036" w:type="dxa"/>
            <w:vAlign w:val="center"/>
          </w:tcPr>
          <w:p w14:paraId="33A37FE3">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52"/>
            </w:r>
            <w:r>
              <w:rPr>
                <w:rFonts w:hint="default" w:ascii="Times New Roman" w:hAnsi="Times New Roman" w:cs="Times New Roman"/>
              </w:rPr>
              <w:t>首次申报项目</w:t>
            </w:r>
          </w:p>
          <w:p w14:paraId="29DA3088">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A3"/>
            </w:r>
            <w:r>
              <w:rPr>
                <w:rFonts w:hint="default" w:ascii="Times New Roman" w:hAnsi="Times New Roman" w:cs="Times New Roman"/>
              </w:rPr>
              <w:t xml:space="preserve"> 不予批准后再次申报项目</w:t>
            </w:r>
          </w:p>
          <w:p w14:paraId="0AFCBEAE">
            <w:pPr>
              <w:spacing w:after="0" w:line="240" w:lineRule="atLeast"/>
              <w:jc w:val="left"/>
              <w:rPr>
                <w:rFonts w:hint="default" w:ascii="Times New Roman" w:hAnsi="Times New Roman" w:cs="Times New Roman"/>
              </w:rPr>
            </w:pPr>
            <w:r>
              <w:rPr>
                <w:rFonts w:hint="default" w:ascii="Times New Roman" w:hAnsi="Times New Roman" w:cs="Times New Roman"/>
              </w:rPr>
              <w:sym w:font="Wingdings 2" w:char="00A3"/>
            </w:r>
            <w:r>
              <w:rPr>
                <w:rFonts w:hint="default" w:ascii="Times New Roman" w:hAnsi="Times New Roman" w:cs="Times New Roman"/>
              </w:rPr>
              <w:t xml:space="preserve"> 超五年重新审核项目</w:t>
            </w:r>
          </w:p>
          <w:p w14:paraId="3639360C">
            <w:pPr>
              <w:spacing w:line="240" w:lineRule="atLeast"/>
              <w:jc w:val="left"/>
              <w:rPr>
                <w:rFonts w:hint="default" w:ascii="Times New Roman" w:hAnsi="Times New Roman" w:cs="Times New Roman"/>
              </w:rPr>
            </w:pPr>
            <w:r>
              <w:rPr>
                <w:rFonts w:hint="default" w:ascii="Times New Roman" w:hAnsi="Times New Roman" w:cs="Times New Roman"/>
              </w:rPr>
              <w:sym w:font="Wingdings 2" w:char="00A3"/>
            </w:r>
            <w:r>
              <w:rPr>
                <w:rFonts w:hint="default" w:ascii="Times New Roman" w:hAnsi="Times New Roman" w:cs="Times New Roman"/>
              </w:rPr>
              <w:t xml:space="preserve"> 重大变动重新报批项目</w:t>
            </w:r>
          </w:p>
        </w:tc>
      </w:tr>
      <w:tr w14:paraId="76EB04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2F06489D">
            <w:pPr>
              <w:adjustRightInd w:val="0"/>
              <w:spacing w:line="400" w:lineRule="exact"/>
              <w:ind w:left="-120" w:leftChars="-50" w:right="-120" w:rightChars="-50"/>
              <w:jc w:val="center"/>
              <w:rPr>
                <w:rFonts w:hint="default" w:ascii="Times New Roman" w:hAnsi="Times New Roman" w:cs="Times New Roman"/>
              </w:rPr>
            </w:pPr>
            <w:r>
              <w:rPr>
                <w:rFonts w:hint="default" w:ascii="Times New Roman" w:hAnsi="Times New Roman" w:cs="Times New Roman"/>
              </w:rPr>
              <w:t>项目审批</w:t>
            </w:r>
          </w:p>
          <w:p w14:paraId="1F1C70C0">
            <w:pPr>
              <w:adjustRightInd w:val="0"/>
              <w:spacing w:line="400" w:lineRule="exact"/>
              <w:ind w:left="-120" w:leftChars="-50" w:right="-120" w:rightChars="-50"/>
              <w:jc w:val="center"/>
              <w:rPr>
                <w:rFonts w:hint="default" w:ascii="Times New Roman" w:hAnsi="Times New Roman" w:cs="Times New Roman"/>
              </w:rPr>
            </w:pPr>
            <w:r>
              <w:rPr>
                <w:rFonts w:hint="default" w:ascii="Times New Roman" w:hAnsi="Times New Roman" w:cs="Times New Roman"/>
              </w:rPr>
              <w:t>（核准/备案）</w:t>
            </w:r>
          </w:p>
          <w:p w14:paraId="211E34B1">
            <w:pPr>
              <w:adjustRightInd w:val="0"/>
              <w:spacing w:line="400" w:lineRule="exact"/>
              <w:ind w:left="-120" w:leftChars="-50" w:right="-120" w:rightChars="-50"/>
              <w:jc w:val="center"/>
              <w:rPr>
                <w:rFonts w:hint="default" w:ascii="Times New Roman" w:hAnsi="Times New Roman" w:cs="Times New Roman"/>
              </w:rPr>
            </w:pPr>
            <w:r>
              <w:rPr>
                <w:rFonts w:hint="default" w:ascii="Times New Roman" w:hAnsi="Times New Roman" w:cs="Times New Roman"/>
              </w:rPr>
              <w:t>部门</w:t>
            </w:r>
          </w:p>
        </w:tc>
        <w:tc>
          <w:tcPr>
            <w:tcW w:w="2097" w:type="dxa"/>
            <w:vAlign w:val="center"/>
          </w:tcPr>
          <w:p w14:paraId="1ED833F5">
            <w:pPr>
              <w:adjustRightInd w:val="0"/>
              <w:spacing w:line="400" w:lineRule="exact"/>
              <w:jc w:val="center"/>
              <w:rPr>
                <w:rFonts w:hint="default" w:ascii="Times New Roman" w:hAnsi="Times New Roman" w:cs="Times New Roman"/>
              </w:rPr>
            </w:pPr>
            <w:r>
              <w:rPr>
                <w:rFonts w:hint="default" w:ascii="Times New Roman" w:hAnsi="Times New Roman" w:cs="Times New Roman"/>
              </w:rPr>
              <w:t>淮南市谢家集区发展和改革委员会</w:t>
            </w:r>
          </w:p>
        </w:tc>
        <w:tc>
          <w:tcPr>
            <w:tcW w:w="1853" w:type="dxa"/>
            <w:gridSpan w:val="2"/>
            <w:vAlign w:val="center"/>
          </w:tcPr>
          <w:p w14:paraId="674E06AF">
            <w:pPr>
              <w:adjustRightInd w:val="0"/>
              <w:spacing w:line="400" w:lineRule="exact"/>
              <w:jc w:val="center"/>
              <w:rPr>
                <w:rFonts w:hint="default" w:ascii="Times New Roman" w:hAnsi="Times New Roman" w:cs="Times New Roman"/>
              </w:rPr>
            </w:pPr>
            <w:r>
              <w:rPr>
                <w:rFonts w:hint="default" w:ascii="Times New Roman" w:hAnsi="Times New Roman" w:cs="Times New Roman"/>
              </w:rPr>
              <w:t>项目审批（核准/备案）文号（选填）</w:t>
            </w:r>
          </w:p>
        </w:tc>
        <w:tc>
          <w:tcPr>
            <w:tcW w:w="3036" w:type="dxa"/>
            <w:vAlign w:val="center"/>
          </w:tcPr>
          <w:p w14:paraId="376348C2">
            <w:pPr>
              <w:adjustRightInd w:val="0"/>
              <w:spacing w:line="400" w:lineRule="exact"/>
              <w:jc w:val="center"/>
              <w:rPr>
                <w:rFonts w:hint="default" w:ascii="Times New Roman" w:hAnsi="Times New Roman" w:cs="Times New Roman"/>
              </w:rPr>
            </w:pPr>
            <w:r>
              <w:rPr>
                <w:rFonts w:hint="default" w:ascii="Times New Roman" w:hAnsi="Times New Roman" w:cs="Times New Roman"/>
              </w:rPr>
              <w:t>2506-340404-04-01-929604</w:t>
            </w:r>
          </w:p>
        </w:tc>
      </w:tr>
      <w:tr w14:paraId="327893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3118B463">
            <w:pPr>
              <w:adjustRightInd w:val="0"/>
              <w:spacing w:line="400" w:lineRule="exact"/>
              <w:jc w:val="center"/>
              <w:rPr>
                <w:rFonts w:hint="default" w:ascii="Times New Roman" w:hAnsi="Times New Roman" w:cs="Times New Roman"/>
              </w:rPr>
            </w:pPr>
            <w:r>
              <w:rPr>
                <w:rFonts w:hint="default" w:ascii="Times New Roman" w:hAnsi="Times New Roman" w:cs="Times New Roman"/>
              </w:rPr>
              <w:t>总投资</w:t>
            </w:r>
          </w:p>
          <w:p w14:paraId="1BCD069E">
            <w:pPr>
              <w:adjustRightInd w:val="0"/>
              <w:spacing w:line="400" w:lineRule="exact"/>
              <w:jc w:val="center"/>
              <w:rPr>
                <w:rFonts w:hint="default" w:ascii="Times New Roman" w:hAnsi="Times New Roman" w:cs="Times New Roman"/>
              </w:rPr>
            </w:pPr>
            <w:r>
              <w:rPr>
                <w:rFonts w:hint="default" w:ascii="Times New Roman" w:hAnsi="Times New Roman" w:cs="Times New Roman"/>
              </w:rPr>
              <w:t>（万元）</w:t>
            </w:r>
          </w:p>
        </w:tc>
        <w:tc>
          <w:tcPr>
            <w:tcW w:w="2097" w:type="dxa"/>
            <w:vAlign w:val="center"/>
          </w:tcPr>
          <w:p w14:paraId="2383AE45">
            <w:pPr>
              <w:adjustRightInd w:val="0"/>
              <w:spacing w:line="400" w:lineRule="exact"/>
              <w:jc w:val="center"/>
              <w:rPr>
                <w:rFonts w:hint="default" w:ascii="Times New Roman" w:hAnsi="Times New Roman" w:cs="Times New Roman"/>
                <w:color w:val="FF0000"/>
              </w:rPr>
            </w:pPr>
            <w:r>
              <w:rPr>
                <w:rFonts w:hint="default" w:ascii="Times New Roman" w:hAnsi="Times New Roman" w:cs="Times New Roman"/>
              </w:rPr>
              <w:t>4000</w:t>
            </w:r>
          </w:p>
        </w:tc>
        <w:tc>
          <w:tcPr>
            <w:tcW w:w="1853" w:type="dxa"/>
            <w:gridSpan w:val="2"/>
            <w:tcMar>
              <w:top w:w="16" w:type="dxa"/>
              <w:left w:w="16" w:type="dxa"/>
              <w:right w:w="16" w:type="dxa"/>
            </w:tcMar>
            <w:vAlign w:val="center"/>
          </w:tcPr>
          <w:p w14:paraId="0DC162DD">
            <w:pPr>
              <w:adjustRightInd w:val="0"/>
              <w:spacing w:line="400" w:lineRule="exact"/>
              <w:jc w:val="center"/>
              <w:rPr>
                <w:rFonts w:hint="default" w:ascii="Times New Roman" w:hAnsi="Times New Roman" w:cs="Times New Roman"/>
              </w:rPr>
            </w:pPr>
            <w:r>
              <w:rPr>
                <w:rFonts w:hint="default" w:ascii="Times New Roman" w:hAnsi="Times New Roman" w:cs="Times New Roman"/>
              </w:rPr>
              <w:t>环保投资</w:t>
            </w:r>
          </w:p>
          <w:p w14:paraId="4EFA6AF0">
            <w:pPr>
              <w:adjustRightInd w:val="0"/>
              <w:spacing w:line="400" w:lineRule="exact"/>
              <w:jc w:val="center"/>
              <w:rPr>
                <w:rFonts w:hint="default" w:ascii="Times New Roman" w:hAnsi="Times New Roman" w:cs="Times New Roman"/>
              </w:rPr>
            </w:pPr>
            <w:r>
              <w:rPr>
                <w:rFonts w:hint="default" w:ascii="Times New Roman" w:hAnsi="Times New Roman" w:cs="Times New Roman"/>
              </w:rPr>
              <w:t>（万元）</w:t>
            </w:r>
          </w:p>
        </w:tc>
        <w:tc>
          <w:tcPr>
            <w:tcW w:w="3036" w:type="dxa"/>
            <w:vAlign w:val="center"/>
          </w:tcPr>
          <w:p w14:paraId="77E54AEE">
            <w:pPr>
              <w:adjustRightInd w:val="0"/>
              <w:spacing w:line="400" w:lineRule="exact"/>
              <w:jc w:val="center"/>
              <w:rPr>
                <w:rFonts w:hint="default" w:ascii="Times New Roman" w:hAnsi="Times New Roman" w:cs="Times New Roman"/>
              </w:rPr>
            </w:pPr>
            <w:r>
              <w:rPr>
                <w:rFonts w:hint="default" w:ascii="Times New Roman" w:hAnsi="Times New Roman" w:cs="Times New Roman"/>
              </w:rPr>
              <w:t>19</w:t>
            </w:r>
          </w:p>
        </w:tc>
      </w:tr>
      <w:tr w14:paraId="0BD171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052" w:type="dxa"/>
            <w:gridSpan w:val="2"/>
            <w:tcMar>
              <w:top w:w="16" w:type="dxa"/>
              <w:left w:w="16" w:type="dxa"/>
              <w:right w:w="16" w:type="dxa"/>
            </w:tcMar>
            <w:vAlign w:val="center"/>
          </w:tcPr>
          <w:p w14:paraId="56B33C54">
            <w:pPr>
              <w:adjustRightInd w:val="0"/>
              <w:spacing w:line="400" w:lineRule="exact"/>
              <w:jc w:val="center"/>
              <w:rPr>
                <w:rFonts w:hint="default" w:ascii="Times New Roman" w:hAnsi="Times New Roman" w:cs="Times New Roman"/>
              </w:rPr>
            </w:pPr>
            <w:r>
              <w:rPr>
                <w:rFonts w:hint="default" w:ascii="Times New Roman" w:hAnsi="Times New Roman" w:cs="Times New Roman"/>
              </w:rPr>
              <w:t>环保投资占比（%）</w:t>
            </w:r>
          </w:p>
        </w:tc>
        <w:tc>
          <w:tcPr>
            <w:tcW w:w="2097" w:type="dxa"/>
            <w:vAlign w:val="center"/>
          </w:tcPr>
          <w:p w14:paraId="351E3C95">
            <w:pPr>
              <w:adjustRightInd w:val="0"/>
              <w:spacing w:line="400" w:lineRule="exact"/>
              <w:jc w:val="center"/>
              <w:rPr>
                <w:rFonts w:hint="default" w:ascii="Times New Roman" w:hAnsi="Times New Roman" w:cs="Times New Roman"/>
              </w:rPr>
            </w:pPr>
            <w:r>
              <w:rPr>
                <w:rFonts w:hint="default" w:ascii="Times New Roman" w:hAnsi="Times New Roman" w:cs="Times New Roman"/>
              </w:rPr>
              <w:t>0.47</w:t>
            </w:r>
          </w:p>
        </w:tc>
        <w:tc>
          <w:tcPr>
            <w:tcW w:w="1853" w:type="dxa"/>
            <w:gridSpan w:val="2"/>
            <w:tcMar>
              <w:top w:w="16" w:type="dxa"/>
              <w:left w:w="16" w:type="dxa"/>
              <w:right w:w="16" w:type="dxa"/>
            </w:tcMar>
            <w:vAlign w:val="center"/>
          </w:tcPr>
          <w:p w14:paraId="6406E057">
            <w:pPr>
              <w:adjustRightInd w:val="0"/>
              <w:spacing w:line="400" w:lineRule="exact"/>
              <w:jc w:val="center"/>
              <w:rPr>
                <w:rFonts w:hint="default" w:ascii="Times New Roman" w:hAnsi="Times New Roman" w:cs="Times New Roman"/>
              </w:rPr>
            </w:pPr>
            <w:r>
              <w:rPr>
                <w:rFonts w:hint="default" w:ascii="Times New Roman" w:hAnsi="Times New Roman" w:cs="Times New Roman"/>
              </w:rPr>
              <w:t>施工工期</w:t>
            </w:r>
          </w:p>
        </w:tc>
        <w:tc>
          <w:tcPr>
            <w:tcW w:w="3036" w:type="dxa"/>
            <w:vAlign w:val="center"/>
          </w:tcPr>
          <w:p w14:paraId="76D95CFE">
            <w:pPr>
              <w:adjustRightInd w:val="0"/>
              <w:spacing w:line="400" w:lineRule="exact"/>
              <w:jc w:val="center"/>
              <w:rPr>
                <w:rFonts w:hint="default" w:ascii="Times New Roman" w:hAnsi="Times New Roman" w:cs="Times New Roman"/>
              </w:rPr>
            </w:pPr>
            <w:r>
              <w:rPr>
                <w:rFonts w:hint="default" w:ascii="Times New Roman" w:hAnsi="Times New Roman" w:cs="Times New Roman"/>
              </w:rPr>
              <w:t>6个月</w:t>
            </w:r>
          </w:p>
        </w:tc>
      </w:tr>
      <w:tr w14:paraId="3A4CE7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71" w:hRule="atLeast"/>
          <w:jc w:val="center"/>
        </w:trPr>
        <w:tc>
          <w:tcPr>
            <w:tcW w:w="2052" w:type="dxa"/>
            <w:gridSpan w:val="2"/>
            <w:tcMar>
              <w:top w:w="16" w:type="dxa"/>
              <w:left w:w="16" w:type="dxa"/>
              <w:right w:w="16" w:type="dxa"/>
            </w:tcMar>
            <w:vAlign w:val="center"/>
          </w:tcPr>
          <w:p w14:paraId="7D0EB82B">
            <w:pPr>
              <w:adjustRightInd w:val="0"/>
              <w:spacing w:line="400" w:lineRule="exact"/>
              <w:jc w:val="center"/>
              <w:rPr>
                <w:rFonts w:hint="default" w:ascii="Times New Roman" w:hAnsi="Times New Roman" w:cs="Times New Roman"/>
              </w:rPr>
            </w:pPr>
            <w:r>
              <w:rPr>
                <w:rFonts w:hint="default" w:ascii="Times New Roman" w:hAnsi="Times New Roman" w:cs="Times New Roman"/>
              </w:rPr>
              <w:t>是否开工</w:t>
            </w:r>
          </w:p>
          <w:p w14:paraId="38BC51D7">
            <w:pPr>
              <w:adjustRightInd w:val="0"/>
              <w:spacing w:line="400" w:lineRule="exact"/>
              <w:jc w:val="center"/>
              <w:rPr>
                <w:rFonts w:hint="default" w:ascii="Times New Roman" w:hAnsi="Times New Roman" w:cs="Times New Roman"/>
              </w:rPr>
            </w:pPr>
            <w:r>
              <w:rPr>
                <w:rFonts w:hint="default" w:ascii="Times New Roman" w:hAnsi="Times New Roman" w:cs="Times New Roman"/>
              </w:rPr>
              <w:t>建设</w:t>
            </w:r>
          </w:p>
        </w:tc>
        <w:tc>
          <w:tcPr>
            <w:tcW w:w="2097" w:type="dxa"/>
            <w:vAlign w:val="center"/>
          </w:tcPr>
          <w:p w14:paraId="6D52662B">
            <w:pPr>
              <w:adjustRightInd/>
              <w:snapToGrid w:val="0"/>
              <w:jc w:val="left"/>
              <w:rPr>
                <w:rFonts w:hint="default" w:ascii="Times New Roman" w:hAnsi="Times New Roman" w:cs="Times New Roman"/>
              </w:rPr>
            </w:pPr>
            <w:r>
              <w:rPr>
                <w:rFonts w:hint="default" w:ascii="Times New Roman" w:hAnsi="Times New Roman" w:cs="Times New Roman"/>
              </w:rPr>
              <w:sym w:font="Wingdings 2" w:char="0052"/>
            </w:r>
            <w:r>
              <w:rPr>
                <w:rFonts w:hint="default" w:ascii="Times New Roman" w:hAnsi="Times New Roman" w:cs="Times New Roman"/>
              </w:rPr>
              <w:t xml:space="preserve"> 否</w:t>
            </w:r>
          </w:p>
          <w:p w14:paraId="0E09DFC8">
            <w:pPr>
              <w:adjustRightInd/>
              <w:snapToGrid w:val="0"/>
              <w:jc w:val="left"/>
              <w:rPr>
                <w:szCs w:val="24"/>
              </w:rPr>
            </w:pPr>
            <w:r>
              <w:rPr>
                <w:rFonts w:hint="default" w:ascii="Times New Roman" w:hAnsi="Times New Roman" w:cs="Times New Roman"/>
              </w:rPr>
              <w:sym w:font="Wingdings 2" w:char="00A3"/>
            </w:r>
            <w:r>
              <w:rPr>
                <w:rFonts w:hint="default" w:ascii="Times New Roman" w:hAnsi="Times New Roman" w:cs="Times New Roman"/>
              </w:rPr>
              <w:t xml:space="preserve"> 是：</w:t>
            </w:r>
          </w:p>
        </w:tc>
        <w:tc>
          <w:tcPr>
            <w:tcW w:w="1853" w:type="dxa"/>
            <w:gridSpan w:val="2"/>
            <w:vAlign w:val="center"/>
          </w:tcPr>
          <w:p w14:paraId="05E2DE34">
            <w:pPr>
              <w:adjustRightInd w:val="0"/>
              <w:snapToGrid/>
              <w:spacing w:line="400" w:lineRule="exact"/>
              <w:jc w:val="center"/>
              <w:rPr>
                <w:szCs w:val="24"/>
              </w:rPr>
            </w:pPr>
            <w:r>
              <w:rPr>
                <w:spacing w:val="0"/>
                <w:szCs w:val="24"/>
              </w:rPr>
              <w:t>用地面积（m</w:t>
            </w:r>
            <w:r>
              <w:rPr>
                <w:spacing w:val="0"/>
                <w:szCs w:val="24"/>
                <w:vertAlign w:val="superscript"/>
              </w:rPr>
              <w:t>2</w:t>
            </w:r>
            <w:r>
              <w:rPr>
                <w:spacing w:val="0"/>
                <w:szCs w:val="24"/>
              </w:rPr>
              <w:t>）</w:t>
            </w:r>
          </w:p>
        </w:tc>
        <w:tc>
          <w:tcPr>
            <w:tcW w:w="3036" w:type="dxa"/>
            <w:vAlign w:val="center"/>
          </w:tcPr>
          <w:p w14:paraId="6B731DD8">
            <w:pPr>
              <w:adjustRightInd w:val="0"/>
              <w:spacing w:line="400" w:lineRule="exact"/>
              <w:jc w:val="center"/>
              <w:rPr>
                <w:u w:val="none"/>
              </w:rPr>
            </w:pPr>
            <w:r>
              <w:rPr>
                <w:rFonts w:hint="default" w:ascii="Times New Roman" w:hAnsi="Times New Roman" w:cs="Times New Roman"/>
              </w:rPr>
              <w:t>6000</w:t>
            </w:r>
          </w:p>
        </w:tc>
      </w:tr>
      <w:tr w14:paraId="77158A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vAlign w:val="center"/>
          </w:tcPr>
          <w:p w14:paraId="33498444">
            <w:pPr>
              <w:adjustRightInd w:val="0"/>
              <w:spacing w:line="400" w:lineRule="exact"/>
              <w:ind w:left="-72" w:leftChars="-30" w:right="-72" w:rightChars="-30"/>
              <w:jc w:val="center"/>
              <w:rPr>
                <w:rFonts w:hint="default" w:ascii="Times New Roman" w:hAnsi="Times New Roman" w:cs="Times New Roman"/>
                <w:color w:val="0000FF"/>
                <w:kern w:val="0"/>
              </w:rPr>
            </w:pPr>
            <w:r>
              <w:rPr>
                <w:rFonts w:hint="default" w:ascii="Times New Roman" w:hAnsi="Times New Roman" w:cs="Times New Roman"/>
                <w:kern w:val="0"/>
              </w:rPr>
              <w:t>专项评价</w:t>
            </w:r>
            <w:r>
              <w:rPr>
                <w:rFonts w:hint="default" w:ascii="Times New Roman" w:hAnsi="Times New Roman" w:cs="Times New Roman"/>
              </w:rPr>
              <w:t>设置</w:t>
            </w:r>
            <w:r>
              <w:rPr>
                <w:rFonts w:hint="default" w:ascii="Times New Roman" w:hAnsi="Times New Roman" w:cs="Times New Roman"/>
                <w:kern w:val="0"/>
              </w:rPr>
              <w:t>情况</w:t>
            </w:r>
          </w:p>
        </w:tc>
        <w:tc>
          <w:tcPr>
            <w:tcW w:w="8208" w:type="dxa"/>
            <w:gridSpan w:val="5"/>
            <w:vAlign w:val="center"/>
          </w:tcPr>
          <w:p w14:paraId="050A9C17">
            <w:pPr>
              <w:pStyle w:val="45"/>
              <w:jc w:val="both"/>
              <w:rPr>
                <w:rFonts w:hint="default" w:ascii="Times New Roman" w:hAnsi="Times New Roman" w:cs="Times New Roman"/>
                <w:b/>
                <w:kern w:val="0"/>
                <w:sz w:val="21"/>
                <w:szCs w:val="22"/>
              </w:rPr>
            </w:pPr>
            <w:r>
              <w:rPr>
                <w:rFonts w:hint="default"/>
                <w:kern w:val="0"/>
                <w:szCs w:val="20"/>
              </w:rPr>
              <w:t>根据《建设项目环境影响报告表编制技术指南（污染影响类）》（试行）表1专项评价设置原则表，本项目不需要设置大气、地表水、环境风险、生态、海洋专项评价；项目专项评价设置分析见下表。</w:t>
            </w:r>
          </w:p>
          <w:p w14:paraId="64193B5E">
            <w:pPr>
              <w:spacing w:line="460" w:lineRule="exact"/>
              <w:jc w:val="center"/>
              <w:rPr>
                <w:rFonts w:hint="default" w:ascii="Times New Roman" w:hAnsi="Times New Roman" w:cs="Times New Roman"/>
              </w:rPr>
            </w:pPr>
            <w:r>
              <w:rPr>
                <w:rFonts w:hint="default" w:ascii="Times New Roman" w:hAnsi="Times New Roman" w:cs="Times New Roman"/>
                <w:b/>
                <w:kern w:val="0"/>
                <w:sz w:val="21"/>
                <w:szCs w:val="22"/>
              </w:rPr>
              <w:t>表 1-</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表 \* MERGEFORMAT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1</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专项评价设置情况表</w:t>
            </w:r>
          </w:p>
          <w:tbl>
            <w:tblPr>
              <w:tblStyle w:val="21"/>
              <w:tblW w:w="79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9"/>
              <w:gridCol w:w="3251"/>
              <w:gridCol w:w="2611"/>
              <w:gridCol w:w="997"/>
            </w:tblGrid>
            <w:tr w14:paraId="4A1C1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01" w:type="pct"/>
                  <w:vAlign w:val="center"/>
                </w:tcPr>
                <w:p w14:paraId="37077F5B">
                  <w:pPr>
                    <w:pStyle w:val="29"/>
                    <w:overflowPunct w:val="0"/>
                    <w:autoSpaceDE w:val="0"/>
                    <w:autoSpaceDN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专项评价类别</w:t>
                  </w:r>
                </w:p>
              </w:tc>
              <w:tc>
                <w:tcPr>
                  <w:tcW w:w="2037" w:type="pct"/>
                  <w:vAlign w:val="center"/>
                </w:tcPr>
                <w:p w14:paraId="35ADA9B7">
                  <w:pPr>
                    <w:pStyle w:val="29"/>
                    <w:overflowPunct w:val="0"/>
                    <w:autoSpaceDE w:val="0"/>
                    <w:autoSpaceDN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设置原则</w:t>
                  </w:r>
                </w:p>
              </w:tc>
              <w:tc>
                <w:tcPr>
                  <w:tcW w:w="1636" w:type="pct"/>
                  <w:vAlign w:val="center"/>
                </w:tcPr>
                <w:p w14:paraId="62549B48">
                  <w:pPr>
                    <w:pStyle w:val="29"/>
                    <w:overflowPunct w:val="0"/>
                    <w:autoSpaceDE w:val="0"/>
                    <w:autoSpaceDN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项目情况</w:t>
                  </w:r>
                </w:p>
              </w:tc>
              <w:tc>
                <w:tcPr>
                  <w:tcW w:w="624" w:type="pct"/>
                  <w:vAlign w:val="center"/>
                </w:tcPr>
                <w:p w14:paraId="62D61623">
                  <w:pPr>
                    <w:pStyle w:val="29"/>
                    <w:overflowPunct w:val="0"/>
                    <w:autoSpaceDE w:val="0"/>
                    <w:autoSpaceDN w:val="0"/>
                    <w:jc w:val="center"/>
                    <w:rPr>
                      <w:rFonts w:hint="default" w:ascii="Times New Roman" w:hAnsi="Times New Roman" w:cs="Times New Roman"/>
                      <w:b/>
                      <w:bCs/>
                      <w:sz w:val="21"/>
                      <w:szCs w:val="21"/>
                    </w:rPr>
                  </w:pPr>
                  <w:r>
                    <w:rPr>
                      <w:rFonts w:hint="default" w:ascii="Times New Roman" w:hAnsi="Times New Roman" w:cs="Times New Roman"/>
                      <w:b/>
                      <w:bCs/>
                      <w:sz w:val="21"/>
                      <w:szCs w:val="21"/>
                    </w:rPr>
                    <w:t>设置与否</w:t>
                  </w:r>
                </w:p>
              </w:tc>
            </w:tr>
            <w:tr w14:paraId="17A5F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1" w:type="pct"/>
                  <w:vAlign w:val="center"/>
                </w:tcPr>
                <w:p w14:paraId="327798D0">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大气</w:t>
                  </w:r>
                </w:p>
              </w:tc>
              <w:tc>
                <w:tcPr>
                  <w:tcW w:w="2037" w:type="pct"/>
                  <w:vAlign w:val="center"/>
                </w:tcPr>
                <w:p w14:paraId="312E21AE">
                  <w:pPr>
                    <w:pStyle w:val="29"/>
                    <w:overflowPunct w:val="0"/>
                    <w:autoSpaceDE w:val="0"/>
                    <w:autoSpaceDN w:val="0"/>
                    <w:jc w:val="both"/>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排放废气含有毒有害污染物、二噁英、苯并[a]芘、氰化物、氯气且厂界外500米范围内有环境空气保护目标的建设项目</w:t>
                  </w:r>
                </w:p>
              </w:tc>
              <w:tc>
                <w:tcPr>
                  <w:tcW w:w="1636" w:type="pct"/>
                  <w:vAlign w:val="center"/>
                </w:tcPr>
                <w:p w14:paraId="51CED9F1">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本项目不涉及有毒有害污染物、二噁英、苯并[a]芘、氰化物、氯气等物质</w:t>
                  </w:r>
                </w:p>
              </w:tc>
              <w:tc>
                <w:tcPr>
                  <w:tcW w:w="624" w:type="pct"/>
                  <w:vAlign w:val="center"/>
                </w:tcPr>
                <w:p w14:paraId="078BC234">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否</w:t>
                  </w:r>
                </w:p>
              </w:tc>
            </w:tr>
            <w:tr w14:paraId="7B792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1" w:type="pct"/>
                  <w:vAlign w:val="center"/>
                </w:tcPr>
                <w:p w14:paraId="55B19A42">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地表水</w:t>
                  </w:r>
                </w:p>
              </w:tc>
              <w:tc>
                <w:tcPr>
                  <w:tcW w:w="2037" w:type="pct"/>
                  <w:vAlign w:val="center"/>
                </w:tcPr>
                <w:p w14:paraId="1977BDFB">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新增工业废水直排建设项目（槽罐车外送污水处理厂的除外）；新增废水直排的污水集中处理厂</w:t>
                  </w:r>
                </w:p>
              </w:tc>
              <w:tc>
                <w:tcPr>
                  <w:tcW w:w="1636" w:type="pct"/>
                  <w:vAlign w:val="center"/>
                </w:tcPr>
                <w:p w14:paraId="21BFFE28">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本项目废水经废水处理设施处理达到接管标准后经市政污水管网进入</w:t>
                  </w:r>
                  <w:r>
                    <w:rPr>
                      <w:rFonts w:hint="default" w:ascii="Times New Roman" w:hAnsi="Times New Roman" w:cs="Times New Roman"/>
                      <w:sz w:val="21"/>
                      <w:szCs w:val="21"/>
                      <w:lang w:eastAsia="zh-CN"/>
                    </w:rPr>
                    <w:t>淮南首创八公山污水处理厂</w:t>
                  </w:r>
                  <w:r>
                    <w:rPr>
                      <w:rFonts w:hint="default" w:ascii="Times New Roman" w:hAnsi="Times New Roman" w:cs="Times New Roman"/>
                      <w:sz w:val="21"/>
                      <w:szCs w:val="21"/>
                    </w:rPr>
                    <w:t>，不直排</w:t>
                  </w:r>
                </w:p>
              </w:tc>
              <w:tc>
                <w:tcPr>
                  <w:tcW w:w="624" w:type="pct"/>
                  <w:vAlign w:val="center"/>
                </w:tcPr>
                <w:p w14:paraId="5D86124E">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否</w:t>
                  </w:r>
                </w:p>
              </w:tc>
            </w:tr>
            <w:tr w14:paraId="482DC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1" w:type="pct"/>
                  <w:vAlign w:val="center"/>
                </w:tcPr>
                <w:p w14:paraId="7226F010">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环境风险</w:t>
                  </w:r>
                </w:p>
              </w:tc>
              <w:tc>
                <w:tcPr>
                  <w:tcW w:w="2037" w:type="pct"/>
                  <w:vAlign w:val="center"/>
                </w:tcPr>
                <w:p w14:paraId="5AD49ACF">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有毒有害和易燃易爆危险物质存储量超过</w:t>
                  </w:r>
                </w:p>
              </w:tc>
              <w:tc>
                <w:tcPr>
                  <w:tcW w:w="1636" w:type="pct"/>
                  <w:vAlign w:val="center"/>
                </w:tcPr>
                <w:p w14:paraId="2943E0ED">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风险物质未超过临界量</w:t>
                  </w:r>
                </w:p>
              </w:tc>
              <w:tc>
                <w:tcPr>
                  <w:tcW w:w="624" w:type="pct"/>
                  <w:vAlign w:val="center"/>
                </w:tcPr>
                <w:p w14:paraId="2C18A2E4">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否</w:t>
                  </w:r>
                </w:p>
              </w:tc>
            </w:tr>
            <w:tr w14:paraId="71FD9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1" w:type="pct"/>
                  <w:vAlign w:val="center"/>
                </w:tcPr>
                <w:p w14:paraId="1E408BC9">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生态</w:t>
                  </w:r>
                </w:p>
              </w:tc>
              <w:tc>
                <w:tcPr>
                  <w:tcW w:w="2037" w:type="pct"/>
                  <w:vAlign w:val="center"/>
                </w:tcPr>
                <w:p w14:paraId="2D3F5817">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取水口下游500米范围内有重要水生生物的自然产卵场、索饵场、越冬场和洄游通道的新增河道取水的污染类建设项目</w:t>
                  </w:r>
                </w:p>
              </w:tc>
              <w:tc>
                <w:tcPr>
                  <w:tcW w:w="2611" w:type="dxa"/>
                  <w:vAlign w:val="center"/>
                </w:tcPr>
                <w:p w14:paraId="0282B07E">
                  <w:pPr>
                    <w:pStyle w:val="46"/>
                    <w:jc w:val="both"/>
                    <w:rPr>
                      <w:rFonts w:hint="default" w:ascii="Times New Roman" w:hAnsi="Times New Roman" w:cs="Times New Roman"/>
                      <w:sz w:val="21"/>
                      <w:szCs w:val="21"/>
                    </w:rPr>
                  </w:pPr>
                  <w:r>
                    <w:rPr>
                      <w:sz w:val="21"/>
                      <w:szCs w:val="21"/>
                    </w:rPr>
                    <w:t>本项目用水由市政给水系统提供，不在河道取水，不涉及取水口。</w:t>
                  </w:r>
                </w:p>
              </w:tc>
              <w:tc>
                <w:tcPr>
                  <w:tcW w:w="624" w:type="pct"/>
                  <w:vAlign w:val="center"/>
                </w:tcPr>
                <w:p w14:paraId="4CABB2F7">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否</w:t>
                  </w:r>
                </w:p>
              </w:tc>
            </w:tr>
            <w:tr w14:paraId="2E1C6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01" w:type="pct"/>
                  <w:vAlign w:val="center"/>
                </w:tcPr>
                <w:p w14:paraId="297CD8BA">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海洋</w:t>
                  </w:r>
                </w:p>
              </w:tc>
              <w:tc>
                <w:tcPr>
                  <w:tcW w:w="2037" w:type="pct"/>
                  <w:vAlign w:val="center"/>
                </w:tcPr>
                <w:p w14:paraId="3593153D">
                  <w:pPr>
                    <w:pStyle w:val="29"/>
                    <w:overflowPunct w:val="0"/>
                    <w:autoSpaceDE w:val="0"/>
                    <w:autoSpaceDN w:val="0"/>
                    <w:jc w:val="both"/>
                    <w:rPr>
                      <w:rFonts w:hint="default" w:ascii="Times New Roman" w:hAnsi="Times New Roman" w:cs="Times New Roman"/>
                      <w:sz w:val="21"/>
                      <w:szCs w:val="21"/>
                    </w:rPr>
                  </w:pPr>
                  <w:r>
                    <w:rPr>
                      <w:rFonts w:hint="default" w:ascii="Times New Roman" w:hAnsi="Times New Roman" w:cs="Times New Roman"/>
                      <w:sz w:val="21"/>
                      <w:szCs w:val="21"/>
                    </w:rPr>
                    <w:t>直接向海排放污染物的海洋工程建设项目</w:t>
                  </w:r>
                </w:p>
              </w:tc>
              <w:tc>
                <w:tcPr>
                  <w:tcW w:w="2611" w:type="dxa"/>
                  <w:vAlign w:val="center"/>
                </w:tcPr>
                <w:p w14:paraId="0E6FB481">
                  <w:pPr>
                    <w:pStyle w:val="46"/>
                    <w:jc w:val="both"/>
                    <w:rPr>
                      <w:rFonts w:hint="default" w:ascii="Times New Roman" w:hAnsi="Times New Roman" w:cs="Times New Roman"/>
                      <w:sz w:val="21"/>
                      <w:szCs w:val="21"/>
                    </w:rPr>
                  </w:pPr>
                  <w:r>
                    <w:rPr>
                      <w:sz w:val="21"/>
                      <w:szCs w:val="21"/>
                    </w:rPr>
                    <w:t>本项目不属于海洋工程建设项目。</w:t>
                  </w:r>
                </w:p>
              </w:tc>
              <w:tc>
                <w:tcPr>
                  <w:tcW w:w="624" w:type="pct"/>
                  <w:vAlign w:val="center"/>
                </w:tcPr>
                <w:p w14:paraId="04CC566E">
                  <w:pPr>
                    <w:pStyle w:val="29"/>
                    <w:overflowPunct w:val="0"/>
                    <w:autoSpaceDE w:val="0"/>
                    <w:autoSpaceDN w:val="0"/>
                    <w:jc w:val="center"/>
                    <w:rPr>
                      <w:rFonts w:hint="default" w:ascii="Times New Roman" w:hAnsi="Times New Roman" w:cs="Times New Roman"/>
                      <w:sz w:val="21"/>
                      <w:szCs w:val="21"/>
                    </w:rPr>
                  </w:pPr>
                  <w:r>
                    <w:rPr>
                      <w:rFonts w:hint="default" w:ascii="Times New Roman" w:hAnsi="Times New Roman" w:cs="Times New Roman"/>
                      <w:sz w:val="21"/>
                      <w:szCs w:val="21"/>
                    </w:rPr>
                    <w:t>否</w:t>
                  </w:r>
                </w:p>
              </w:tc>
            </w:tr>
          </w:tbl>
          <w:p w14:paraId="13C491AE">
            <w:pPr>
              <w:widowControl/>
              <w:spacing w:line="240" w:lineRule="auto"/>
              <w:jc w:val="both"/>
              <w:rPr>
                <w:rFonts w:hint="default" w:ascii="Times New Roman" w:hAnsi="Times New Roman" w:cs="Times New Roman"/>
                <w:color w:val="0000FF"/>
                <w:kern w:val="0"/>
              </w:rPr>
            </w:pPr>
            <w:r>
              <w:rPr>
                <w:rFonts w:hint="default" w:ascii="Times New Roman" w:hAnsi="Times New Roman" w:cs="Times New Roman"/>
                <w:kern w:val="0"/>
                <w:sz w:val="18"/>
                <w:szCs w:val="18"/>
              </w:rPr>
              <w:t>注：1、废气中有毒有害污染物指纳入《有毒有害大气污染物名录》的污染物（不包括无排放标准的污染物）。2、环境空气保护目标指自然保护区、风景名胜区、居住区、文化区和农村地区中人群较集中的区域。3、临界量及其计算方法可参考《建设项目环境风险评价技术导则》（HJ169）附录B、附录C。</w:t>
            </w:r>
          </w:p>
        </w:tc>
      </w:tr>
      <w:tr w14:paraId="3FAFD9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vAlign w:val="center"/>
          </w:tcPr>
          <w:p w14:paraId="106AF16D">
            <w:pPr>
              <w:adjustRightInd w:val="0"/>
              <w:snapToGrid w:val="0"/>
              <w:spacing w:line="278" w:lineRule="auto"/>
              <w:jc w:val="center"/>
              <w:rPr>
                <w:kern w:val="0"/>
                <w:szCs w:val="20"/>
              </w:rPr>
            </w:pPr>
            <w:r>
              <w:rPr>
                <w:kern w:val="0"/>
                <w:szCs w:val="20"/>
              </w:rPr>
              <w:t>规划情况</w:t>
            </w:r>
          </w:p>
        </w:tc>
        <w:tc>
          <w:tcPr>
            <w:tcW w:w="8208" w:type="dxa"/>
            <w:gridSpan w:val="5"/>
            <w:vAlign w:val="center"/>
          </w:tcPr>
          <w:p w14:paraId="71BCA701">
            <w:pPr>
              <w:widowControl/>
              <w:spacing w:line="460" w:lineRule="exact"/>
              <w:jc w:val="left"/>
              <w:rPr>
                <w:b/>
                <w:bCs/>
              </w:rPr>
            </w:pPr>
            <w:r>
              <w:rPr>
                <w:b/>
                <w:bCs/>
              </w:rPr>
              <w:t>1、规划名称：《淮南市国土空间总体规划》（2021-2035年）</w:t>
            </w:r>
          </w:p>
          <w:p w14:paraId="6D5FCB58">
            <w:pPr>
              <w:widowControl/>
              <w:spacing w:line="460" w:lineRule="exact"/>
              <w:ind w:firstLine="480" w:firstLineChars="200"/>
              <w:jc w:val="left"/>
              <w:rPr>
                <w:kern w:val="0"/>
                <w:szCs w:val="20"/>
              </w:rPr>
            </w:pPr>
            <w:r>
              <w:rPr>
                <w:bCs w:val="0"/>
                <w:kern w:val="0"/>
                <w:szCs w:val="20"/>
              </w:rPr>
              <w:t>审批机关：</w:t>
            </w:r>
            <w:r>
              <w:rPr>
                <w:kern w:val="0"/>
                <w:szCs w:val="20"/>
              </w:rPr>
              <w:t>安徽省人民政府</w:t>
            </w:r>
          </w:p>
          <w:p w14:paraId="0F08E416">
            <w:pPr>
              <w:widowControl/>
              <w:spacing w:line="460" w:lineRule="exact"/>
              <w:ind w:firstLine="480" w:firstLineChars="200"/>
              <w:jc w:val="left"/>
              <w:rPr>
                <w:kern w:val="0"/>
                <w:szCs w:val="20"/>
              </w:rPr>
            </w:pPr>
            <w:r>
              <w:rPr>
                <w:bCs w:val="0"/>
                <w:kern w:val="0"/>
                <w:szCs w:val="20"/>
              </w:rPr>
              <w:t>审批文件名称：</w:t>
            </w:r>
            <w:r>
              <w:rPr>
                <w:kern w:val="0"/>
                <w:szCs w:val="20"/>
              </w:rPr>
              <w:t>安徽省人民政府关于《淮南市国土空间总体规划（2021—2035年）》的批复</w:t>
            </w:r>
          </w:p>
          <w:p w14:paraId="6322CFDF">
            <w:pPr>
              <w:widowControl/>
              <w:spacing w:line="460" w:lineRule="exact"/>
              <w:ind w:firstLine="480" w:firstLineChars="200"/>
              <w:jc w:val="left"/>
              <w:rPr>
                <w:kern w:val="0"/>
                <w:szCs w:val="20"/>
              </w:rPr>
            </w:pPr>
            <w:r>
              <w:rPr>
                <w:bCs w:val="0"/>
                <w:kern w:val="0"/>
                <w:szCs w:val="20"/>
              </w:rPr>
              <w:t>审批文号：</w:t>
            </w:r>
            <w:r>
              <w:rPr>
                <w:kern w:val="0"/>
                <w:szCs w:val="20"/>
              </w:rPr>
              <w:t>皖政秘〔2024〕46号</w:t>
            </w:r>
          </w:p>
          <w:p w14:paraId="498D7A79">
            <w:pPr>
              <w:widowControl/>
              <w:jc w:val="left"/>
              <w:rPr>
                <w:b/>
                <w:bCs/>
              </w:rPr>
            </w:pPr>
            <w:r>
              <w:rPr>
                <w:b/>
                <w:bCs/>
              </w:rPr>
              <w:t>2、</w:t>
            </w:r>
            <w:r>
              <w:rPr>
                <w:b/>
                <w:bCs/>
                <w:color w:val="000000"/>
                <w:kern w:val="0"/>
                <w:lang w:bidi="ar"/>
              </w:rPr>
              <w:t>规划名称：《</w:t>
            </w:r>
            <w:r>
              <w:rPr>
                <w:b/>
                <w:bCs/>
              </w:rPr>
              <w:t>淮南高新技术产业开发区总体规划</w:t>
            </w:r>
            <w:r>
              <w:rPr>
                <w:b/>
                <w:bCs/>
                <w:color w:val="000000"/>
                <w:kern w:val="0"/>
                <w:lang w:bidi="ar"/>
              </w:rPr>
              <w:t>（2018-2035年）》</w:t>
            </w:r>
          </w:p>
          <w:p w14:paraId="53A05357">
            <w:pPr>
              <w:widowControl/>
              <w:spacing w:line="460" w:lineRule="exact"/>
              <w:ind w:firstLine="480" w:firstLineChars="200"/>
              <w:jc w:val="left"/>
              <w:rPr>
                <w:kern w:val="0"/>
                <w:szCs w:val="20"/>
              </w:rPr>
            </w:pPr>
            <w:r>
              <w:rPr>
                <w:color w:val="auto"/>
                <w:kern w:val="0"/>
                <w:szCs w:val="20"/>
                <w:lang w:bidi="ar"/>
              </w:rPr>
              <w:t>审批机关：</w:t>
            </w:r>
            <w:r>
              <w:rPr>
                <w:kern w:val="0"/>
                <w:szCs w:val="20"/>
              </w:rPr>
              <w:t>国务院</w:t>
            </w:r>
          </w:p>
          <w:p w14:paraId="48AA1336">
            <w:pPr>
              <w:widowControl/>
              <w:spacing w:line="460" w:lineRule="exact"/>
              <w:ind w:firstLine="480" w:firstLineChars="200"/>
              <w:jc w:val="left"/>
              <w:rPr>
                <w:rFonts w:hint="default" w:ascii="Times New Roman" w:hAnsi="Times New Roman" w:cs="Times New Roman"/>
              </w:rPr>
            </w:pPr>
            <w:r>
              <w:rPr>
                <w:color w:val="auto"/>
                <w:kern w:val="0"/>
                <w:szCs w:val="20"/>
                <w:lang w:bidi="ar"/>
              </w:rPr>
              <w:t>审批文件名称：</w:t>
            </w:r>
            <w:r>
              <w:rPr>
                <w:kern w:val="0"/>
                <w:szCs w:val="20"/>
              </w:rPr>
              <w:t>《国务院关于同意淮南高新技术产业开发区升级为国家高新技术产业开发区的批复》（国函〔2018〕46号）</w:t>
            </w:r>
          </w:p>
        </w:tc>
      </w:tr>
      <w:tr w14:paraId="2D3671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vAlign w:val="center"/>
          </w:tcPr>
          <w:p w14:paraId="58494F97">
            <w:pPr>
              <w:adjustRightInd w:val="0"/>
              <w:snapToGrid w:val="0"/>
              <w:spacing w:line="278" w:lineRule="auto"/>
              <w:jc w:val="center"/>
              <w:rPr>
                <w:kern w:val="0"/>
                <w:szCs w:val="20"/>
              </w:rPr>
            </w:pPr>
            <w:r>
              <w:rPr>
                <w:kern w:val="0"/>
                <w:szCs w:val="20"/>
              </w:rPr>
              <w:t>规划环境影响评价情况</w:t>
            </w:r>
          </w:p>
        </w:tc>
        <w:tc>
          <w:tcPr>
            <w:tcW w:w="8208" w:type="dxa"/>
            <w:gridSpan w:val="5"/>
            <w:vAlign w:val="center"/>
          </w:tcPr>
          <w:p w14:paraId="24ABEC99">
            <w:pPr>
              <w:pStyle w:val="45"/>
              <w:adjustRightInd w:val="0"/>
              <w:snapToGrid w:val="0"/>
              <w:ind w:firstLine="0" w:firstLineChars="0"/>
              <w:jc w:val="left"/>
              <w:rPr>
                <w:b/>
                <w:bCs/>
              </w:rPr>
            </w:pPr>
            <w:r>
              <w:rPr>
                <w:b/>
                <w:bCs/>
              </w:rPr>
              <w:t>1、规划环评名称：《</w:t>
            </w:r>
            <w:r>
              <w:rPr>
                <w:rFonts w:hint="default"/>
                <w:b/>
                <w:bCs/>
              </w:rPr>
              <w:t>淮南高新技术产业开发区总体发展规划（2024~2035年）（主导产业变更）</w:t>
            </w:r>
            <w:r>
              <w:rPr>
                <w:b/>
                <w:bCs/>
              </w:rPr>
              <w:t>环境影响评价报告书》</w:t>
            </w:r>
          </w:p>
          <w:p w14:paraId="56925796">
            <w:pPr>
              <w:pStyle w:val="45"/>
              <w:adjustRightInd w:val="0"/>
              <w:snapToGrid w:val="0"/>
              <w:jc w:val="left"/>
              <w:rPr>
                <w:kern w:val="0"/>
                <w:szCs w:val="20"/>
              </w:rPr>
            </w:pPr>
            <w:r>
              <w:rPr>
                <w:kern w:val="0"/>
                <w:szCs w:val="20"/>
              </w:rPr>
              <w:t>审查机关：淮南市环境保护局</w:t>
            </w:r>
          </w:p>
          <w:p w14:paraId="1CAFA428">
            <w:pPr>
              <w:pStyle w:val="45"/>
              <w:adjustRightInd w:val="0"/>
              <w:snapToGrid w:val="0"/>
              <w:jc w:val="left"/>
              <w:rPr>
                <w:rFonts w:hint="default" w:ascii="Times New Roman" w:hAnsi="Times New Roman" w:cs="Times New Roman"/>
                <w:kern w:val="0"/>
              </w:rPr>
            </w:pPr>
            <w:r>
              <w:rPr>
                <w:kern w:val="0"/>
                <w:szCs w:val="20"/>
              </w:rPr>
              <w:t>审查文件及文号：《关于淮南高新技术产业开发区总体规划环境影响报告书审查意见的函》（淮环函〔2010〕71号）</w:t>
            </w:r>
          </w:p>
        </w:tc>
      </w:tr>
      <w:tr w14:paraId="3D1BAE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vAlign w:val="center"/>
          </w:tcPr>
          <w:p w14:paraId="1CB9E135">
            <w:pPr>
              <w:adjustRightInd w:val="0"/>
              <w:snapToGrid w:val="0"/>
              <w:spacing w:line="278" w:lineRule="auto"/>
              <w:jc w:val="center"/>
              <w:rPr>
                <w:kern w:val="0"/>
                <w:szCs w:val="20"/>
              </w:rPr>
            </w:pPr>
            <w:r>
              <w:rPr>
                <w:kern w:val="0"/>
                <w:szCs w:val="20"/>
              </w:rPr>
              <w:t>规划及规划环境影响评价符合性分析</w:t>
            </w:r>
          </w:p>
        </w:tc>
        <w:tc>
          <w:tcPr>
            <w:tcW w:w="8208" w:type="dxa"/>
            <w:gridSpan w:val="5"/>
            <w:vAlign w:val="center"/>
          </w:tcPr>
          <w:p w14:paraId="7505A8B1">
            <w:pPr>
              <w:pStyle w:val="45"/>
              <w:ind w:left="0" w:leftChars="0" w:firstLine="0" w:firstLineChars="0"/>
              <w:rPr>
                <w:rFonts w:hint="default"/>
                <w:bCs/>
                <w:spacing w:val="0"/>
                <w:kern w:val="0"/>
                <w:lang w:bidi="ar"/>
              </w:rPr>
            </w:pPr>
            <w:r>
              <w:rPr>
                <w:rFonts w:hint="default"/>
                <w:b/>
                <w:bCs w:val="0"/>
                <w:spacing w:val="0"/>
                <w:kern w:val="0"/>
                <w:lang w:bidi="ar"/>
              </w:rPr>
              <w:t>1、与《淮南市国土空间总体规划（2021-2035年）》相符性分析</w:t>
            </w:r>
          </w:p>
          <w:p w14:paraId="490A5655">
            <w:pPr>
              <w:pStyle w:val="45"/>
              <w:ind w:firstLineChars="200"/>
              <w:rPr>
                <w:rFonts w:hint="default" w:ascii="Times New Roman" w:hAnsi="Times New Roman" w:cs="Times New Roman"/>
                <w:kern w:val="0"/>
                <w:szCs w:val="20"/>
              </w:rPr>
            </w:pPr>
            <w:r>
              <w:rPr>
                <w:rFonts w:hint="default"/>
                <w:kern w:val="0"/>
                <w:szCs w:val="20"/>
              </w:rPr>
              <w:t>《淮南市国土空间总体规划（2021-2035年）》提出“全力打造国家煤炭绿色开发利用基地、国家煤电和新能源清洁电力生产基地、国家现代煤化工产业园区；发展绿色低碳的生态经济，打造人与自然和谐共生的能源创新之都”的愿景，明确“3城”（资源型城市绿色转型发展示范城市、合肥都市圈副中心城市、文化休闲品质宜居城市）、“2基地”（全国重要的新型综合能源基地、长三角绿色农产品供应基地）、“1示范区”（承接长三角产业转移示范区）的功能定位。市域开发保护遵循“一轴、两带、四板块”发展格局，“一轴”即合淮蚌发展轴，“两带”即沿淮绿色发展带、江淮运河生态复合廊带，“四板块”即北部粮煤复合功能板块、中部城镇集中建设板块、南部现代农业与特色旅游功能板块、新桥临空板块。</w:t>
            </w:r>
          </w:p>
          <w:p w14:paraId="18F4B554">
            <w:pPr>
              <w:pStyle w:val="45"/>
              <w:rPr>
                <w:rFonts w:hint="default"/>
                <w:kern w:val="0"/>
                <w:szCs w:val="20"/>
              </w:rPr>
            </w:pPr>
            <w:r>
              <w:rPr>
                <w:rFonts w:hint="default"/>
                <w:kern w:val="0"/>
                <w:szCs w:val="20"/>
              </w:rPr>
              <w:t>规划范围：淮南市行政辖区范围，包括五区两县。即田家庵区、大通区、谢家集区、八公山区、潘集区、寿县、凤台县（含毛集实验区）。市域开发保护总体格局一轴、两带、四板块。</w:t>
            </w:r>
          </w:p>
          <w:p w14:paraId="15291443">
            <w:pPr>
              <w:pStyle w:val="45"/>
              <w:ind w:firstLineChars="200"/>
              <w:rPr>
                <w:rFonts w:hint="default"/>
                <w:kern w:val="0"/>
                <w:szCs w:val="20"/>
              </w:rPr>
            </w:pPr>
            <w:r>
              <w:drawing>
                <wp:anchor distT="0" distB="0" distL="114300" distR="114300" simplePos="0" relativeHeight="251666432" behindDoc="0" locked="0" layoutInCell="1" allowOverlap="1">
                  <wp:simplePos x="0" y="0"/>
                  <wp:positionH relativeFrom="column">
                    <wp:posOffset>36830</wp:posOffset>
                  </wp:positionH>
                  <wp:positionV relativeFrom="paragraph">
                    <wp:posOffset>929005</wp:posOffset>
                  </wp:positionV>
                  <wp:extent cx="5073650" cy="3656330"/>
                  <wp:effectExtent l="0" t="0" r="12700" b="1270"/>
                  <wp:wrapTopAndBottom/>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21"/>
                          <a:stretch>
                            <a:fillRect/>
                          </a:stretch>
                        </pic:blipFill>
                        <pic:spPr>
                          <a:xfrm>
                            <a:off x="0" y="0"/>
                            <a:ext cx="5073650" cy="3656330"/>
                          </a:xfrm>
                          <a:prstGeom prst="rect">
                            <a:avLst/>
                          </a:prstGeom>
                          <a:noFill/>
                          <a:ln>
                            <a:noFill/>
                          </a:ln>
                        </pic:spPr>
                      </pic:pic>
                    </a:graphicData>
                  </a:graphic>
                </wp:anchor>
              </w:drawing>
            </w:r>
            <w:r>
              <w:rPr>
                <w:rFonts w:hint="default"/>
                <w:kern w:val="0"/>
                <w:szCs w:val="20"/>
              </w:rPr>
              <w:t>一轴：合淮蚌发展轴；两带：沿淮绿色发展带、江淮运河生态复合廊带；四板块：北部粮煤复合功能板块、中部城镇集中建设板块、南部现代农业与特色旅游功能板块、新桥临空板块。</w:t>
            </w:r>
          </w:p>
          <w:p w14:paraId="53E877BB">
            <w:pPr>
              <w:pStyle w:val="45"/>
              <w:ind w:right="105"/>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图1</w:t>
            </w:r>
            <w:r>
              <w:rPr>
                <w:rFonts w:hint="default" w:ascii="Times New Roman" w:hAnsi="Times New Roman" w:cs="Times New Roman"/>
                <w:b/>
                <w:kern w:val="0"/>
                <w:sz w:val="21"/>
                <w:szCs w:val="22"/>
                <w:lang w:val="en-US" w:eastAsia="zh-CN"/>
              </w:rPr>
              <w:t>-</w:t>
            </w:r>
            <w:r>
              <w:rPr>
                <w:rFonts w:hint="default" w:ascii="Times New Roman" w:hAnsi="Times New Roman" w:cs="Times New Roman"/>
                <w:b/>
                <w:kern w:val="0"/>
                <w:sz w:val="21"/>
                <w:szCs w:val="22"/>
              </w:rPr>
              <w:t>1 本项目所在淮南高新技术产业开发区用地规划布局图（详见附图7）</w:t>
            </w:r>
          </w:p>
          <w:p w14:paraId="7BB01901">
            <w:pPr>
              <w:pStyle w:val="45"/>
              <w:ind w:firstLineChars="200"/>
              <w:rPr>
                <w:rFonts w:hint="default"/>
                <w:kern w:val="0"/>
                <w:szCs w:val="20"/>
              </w:rPr>
            </w:pPr>
            <w:r>
              <w:rPr>
                <w:rFonts w:hint="default"/>
                <w:kern w:val="0"/>
                <w:szCs w:val="20"/>
                <w:lang w:bidi="en-US"/>
              </w:rPr>
              <w:t>本项目</w:t>
            </w:r>
            <w:r>
              <w:rPr>
                <w:rFonts w:hint="default"/>
                <w:kern w:val="0"/>
                <w:szCs w:val="20"/>
                <w:lang w:eastAsia="zh-CN" w:bidi="en-US"/>
              </w:rPr>
              <w:t>位于</w:t>
            </w:r>
            <w:r>
              <w:rPr>
                <w:rFonts w:hint="default"/>
                <w:kern w:val="0"/>
                <w:szCs w:val="20"/>
                <w:lang w:bidi="en-US"/>
              </w:rPr>
              <w:t>淮南市谢家集区李郢孜镇经济开发区经五路与卧园路交叉口向西50米</w:t>
            </w:r>
            <w:r>
              <w:rPr>
                <w:rFonts w:hint="default"/>
                <w:kern w:val="0"/>
                <w:szCs w:val="20"/>
                <w:lang w:eastAsia="zh-CN"/>
              </w:rPr>
              <w:t>，属于</w:t>
            </w:r>
            <w:r>
              <w:rPr>
                <w:rFonts w:hint="default"/>
                <w:kern w:val="0"/>
                <w:szCs w:val="20"/>
              </w:rPr>
              <w:t>城乡发展空间中的淮南中心城市，地处江淮运河生态复合廊带，在市域开发保护总体格局中的属于城镇集中建设板块。对照《淮南市国土空间总体规划(2021-2035年)》（规划图见附图7），本项目用地为工业用地，在城镇开发边界之内，不涉及生态保护红线、永久基本农田保护红线。符合《淮南市国土空间总体规划（2021-2035年）》中相关要求。</w:t>
            </w:r>
          </w:p>
          <w:p w14:paraId="721D1D4A">
            <w:pPr>
              <w:pStyle w:val="45"/>
              <w:ind w:left="0" w:leftChars="0" w:firstLine="0" w:firstLineChars="0"/>
              <w:rPr>
                <w:rFonts w:hint="default"/>
                <w:b/>
                <w:bCs/>
                <w:kern w:val="0"/>
                <w:lang w:bidi="ar"/>
              </w:rPr>
            </w:pPr>
            <w:r>
              <w:rPr>
                <w:rFonts w:hint="default"/>
                <w:b/>
                <w:bCs/>
                <w:kern w:val="0"/>
                <w:lang w:bidi="ar"/>
              </w:rPr>
              <w:t>2、与《淮南高新技术产业开发区总体规划</w:t>
            </w:r>
            <w:r>
              <w:rPr>
                <w:rFonts w:hint="default"/>
                <w:b/>
                <w:bCs/>
                <w:color w:val="000000"/>
                <w:kern w:val="0"/>
                <w:lang w:bidi="ar"/>
              </w:rPr>
              <w:t>（2018-2035年）</w:t>
            </w:r>
            <w:r>
              <w:rPr>
                <w:rFonts w:hint="default"/>
                <w:b/>
                <w:bCs/>
                <w:kern w:val="0"/>
                <w:lang w:bidi="ar"/>
              </w:rPr>
              <w:t>》符合性分析</w:t>
            </w:r>
          </w:p>
          <w:p w14:paraId="121BA808">
            <w:pPr>
              <w:pStyle w:val="45"/>
              <w:rPr>
                <w:rFonts w:hint="default" w:ascii="Times New Roman" w:hAnsi="Times New Roman" w:cs="Times New Roman"/>
              </w:rPr>
            </w:pPr>
            <w:r>
              <w:rPr>
                <w:rFonts w:hint="default" w:ascii="Times New Roman" w:hAnsi="Times New Roman" w:cs="Times New Roman"/>
              </w:rPr>
              <w:t>淮南高新技术产业开发区规划范围包含区块一和区块二两部分。区块一东至淮河大道，南至泰丰大街，西至高压走廊，北至春申大街；区块二东至李园路，南至102省道，西至新河排洪渠，北至规划南纬一路。规划总面积约8.9平方公里，其中区块一面积约7.27平方公里，区块二面积约1.62平方公里。</w:t>
            </w:r>
          </w:p>
          <w:p w14:paraId="4A0A0562">
            <w:pPr>
              <w:pStyle w:val="45"/>
              <w:rPr>
                <w:rFonts w:hint="default" w:ascii="Times New Roman" w:hAnsi="Times New Roman" w:cs="Times New Roman"/>
              </w:rPr>
            </w:pPr>
            <w:r>
              <w:rPr>
                <w:rFonts w:hint="default" w:ascii="Times New Roman" w:hAnsi="Times New Roman" w:cs="Times New Roman"/>
              </w:rPr>
              <w:t>淮南高新技术产业开发区以供给侧结构性改革为主线，坚持创新发展，加快推进产业转型和结构优化，大力发展大数据产业创新集群，提升发展新能源、生物医药、先进装备制造产业，优化发展现代服务业，以龙头企业为引领，推动产业集聚和空间专业化发展，全力构建特色突出、活力迸发的“131”产业体系。</w:t>
            </w:r>
          </w:p>
          <w:p w14:paraId="7D7D6F91">
            <w:pPr>
              <w:pStyle w:val="45"/>
              <w:rPr>
                <w:rFonts w:hint="default" w:ascii="Times New Roman" w:hAnsi="Times New Roman" w:cs="Times New Roman"/>
              </w:rPr>
            </w:pPr>
            <w:r>
              <w:rPr>
                <w:rFonts w:hint="default" w:ascii="Times New Roman" w:hAnsi="Times New Roman" w:cs="Times New Roman"/>
              </w:rPr>
              <w:t>“1”新一代信息技术产业——大数据应用、云计算、物联网、智能终端。</w:t>
            </w:r>
          </w:p>
          <w:p w14:paraId="502E0E41">
            <w:pPr>
              <w:pStyle w:val="45"/>
              <w:rPr>
                <w:rFonts w:hint="default" w:ascii="Times New Roman" w:hAnsi="Times New Roman" w:cs="Times New Roman"/>
              </w:rPr>
            </w:pPr>
            <w:r>
              <w:rPr>
                <w:rFonts w:hint="default" w:ascii="Times New Roman" w:hAnsi="Times New Roman" w:cs="Times New Roman"/>
              </w:rPr>
              <w:t>“3”新能源（聚变新能源、新能源技术、智能光纤）、生物医药（化学制剂、生物制药）、先进制造业（新能源专用车辆、工业机器人）。</w:t>
            </w:r>
          </w:p>
          <w:p w14:paraId="43EF156B">
            <w:pPr>
              <w:pStyle w:val="45"/>
              <w:ind w:firstLineChars="200"/>
              <w:rPr>
                <w:rFonts w:hint="default" w:ascii="Times New Roman" w:hAnsi="Times New Roman" w:cs="Times New Roman"/>
              </w:rPr>
            </w:pPr>
            <w:r>
              <w:rPr>
                <w:rFonts w:hint="default" w:ascii="Times New Roman" w:hAnsi="Times New Roman" w:cs="Times New Roman"/>
              </w:rPr>
              <w:t>“1”现代服务业——煤矿技术服务、研发服务、科技中介服务。</w:t>
            </w:r>
          </w:p>
          <w:p w14:paraId="6E60C954">
            <w:pPr>
              <w:pStyle w:val="45"/>
              <w:ind w:firstLineChars="200"/>
              <w:rPr>
                <w:kern w:val="0"/>
                <w:szCs w:val="20"/>
              </w:rPr>
            </w:pPr>
            <w:r>
              <w:rPr>
                <w:kern w:val="0"/>
                <w:szCs w:val="20"/>
              </w:rPr>
              <w:t>（1）与用地规划相符性</w:t>
            </w:r>
          </w:p>
          <w:p w14:paraId="74F83932">
            <w:pPr>
              <w:pStyle w:val="45"/>
              <w:ind w:firstLineChars="200"/>
              <w:rPr>
                <w:color w:val="000000"/>
                <w:kern w:val="2"/>
                <w:lang w:bidi="ar"/>
              </w:rPr>
            </w:pPr>
            <w:r>
              <w:rPr>
                <w:rFonts w:hint="default" w:ascii="Times New Roman" w:hAnsi="Times New Roman" w:cs="Times New Roman"/>
              </w:rPr>
              <w:t>本项目位于淮南市谢家集区安徽普特机械制造有限公司厂区内，该项目地块属于</w:t>
            </w:r>
            <w:r>
              <w:rPr>
                <w:bCs w:val="0"/>
              </w:rPr>
              <w:t>淮南高新技术产业开发区总体规划范围内。</w:t>
            </w:r>
            <w:r>
              <w:rPr>
                <w:rFonts w:hint="default" w:ascii="Times New Roman" w:hAnsi="Times New Roman" w:cs="Times New Roman"/>
              </w:rPr>
              <w:t>对照</w:t>
            </w:r>
            <w:r>
              <w:rPr>
                <w:color w:val="000000"/>
                <w:kern w:val="2"/>
                <w:lang w:bidi="ar"/>
              </w:rPr>
              <w:t>《</w:t>
            </w:r>
            <w:r>
              <w:rPr>
                <w:bCs w:val="0"/>
              </w:rPr>
              <w:t>淮南高新技术产业开发区总体规划</w:t>
            </w:r>
            <w:r>
              <w:rPr>
                <w:color w:val="000000"/>
                <w:kern w:val="2"/>
                <w:lang w:bidi="ar"/>
              </w:rPr>
              <w:t>（2018-2035年）》（规划图见附图7-2），本项目所在地块为工业用地，因此符合淮南高新技术产业开发区总体规划。</w:t>
            </w:r>
          </w:p>
          <w:p w14:paraId="7815FA23">
            <w:pPr>
              <w:pStyle w:val="45"/>
              <w:ind w:firstLineChars="200"/>
              <w:rPr>
                <w:color w:val="000000"/>
                <w:kern w:val="0"/>
                <w:szCs w:val="20"/>
                <w:lang w:bidi="ar"/>
              </w:rPr>
            </w:pPr>
            <w:r>
              <w:rPr>
                <w:color w:val="000000"/>
                <w:kern w:val="0"/>
                <w:szCs w:val="20"/>
                <w:lang w:bidi="ar"/>
              </w:rPr>
              <w:t>（2）与规划主导产业的相符性</w:t>
            </w:r>
          </w:p>
          <w:p w14:paraId="19657358">
            <w:pPr>
              <w:pStyle w:val="45"/>
              <w:ind w:firstLine="0"/>
              <w:rPr>
                <w:rFonts w:hint="default" w:ascii="Times New Roman" w:hAnsi="Times New Roman" w:cs="Times New Roman"/>
              </w:rPr>
            </w:pPr>
            <w:r>
              <w:rPr>
                <w:rFonts w:hint="default" w:ascii="Times New Roman" w:hAnsi="Times New Roman" w:cs="Times New Roman"/>
              </w:rPr>
              <w:t>淮南高新技术产业开发区产业功能定位：作为合芜蚌和皖江城市带地区重要的高新技术产业生产制造基地，重点发展机械电子、新型材料和建材、生物医药、节能环保等产业，成为以科技研发、人才培养、孵化培育和生产性综合服务为主要内容的淮南市经济发展助推器。</w:t>
            </w:r>
          </w:p>
          <w:p w14:paraId="5EC59E1E">
            <w:pPr>
              <w:pStyle w:val="45"/>
              <w:ind w:firstLine="0"/>
              <w:rPr>
                <w:kern w:val="0"/>
                <w:szCs w:val="20"/>
              </w:rPr>
            </w:pPr>
            <w:r>
              <w:rPr>
                <w:kern w:val="0"/>
                <w:szCs w:val="20"/>
              </w:rPr>
              <w:t>本项目属于C2231纸和纸板容器制造，对照《淮南市高新技术产业开发区总体规划（2018-2035）》负面清单，本项目产业不在园区负面清单内。对照国家发改委</w:t>
            </w:r>
            <w:r>
              <w:rPr>
                <w:color w:val="auto"/>
                <w:kern w:val="0"/>
                <w:szCs w:val="20"/>
                <w:lang w:bidi="ar"/>
              </w:rPr>
              <w:t>《产业结构调整指导目录（2024年本）》，本项目不属于限制类或淘汰类项目。项目</w:t>
            </w:r>
            <w:r>
              <w:rPr>
                <w:kern w:val="0"/>
                <w:szCs w:val="20"/>
              </w:rPr>
              <w:t>对照淮南市高新技术产业开发区用地布局规划图，项目用地性质为工业用地，符合总体规划要求。</w:t>
            </w:r>
          </w:p>
          <w:p w14:paraId="5427B298">
            <w:pPr>
              <w:pStyle w:val="45"/>
              <w:ind w:left="0" w:leftChars="0" w:firstLine="0" w:firstLineChars="0"/>
              <w:rPr>
                <w:b/>
                <w:bCs/>
                <w:kern w:val="0"/>
              </w:rPr>
            </w:pPr>
            <w:r>
              <w:rPr>
                <w:b/>
                <w:bCs/>
                <w:kern w:val="0"/>
              </w:rPr>
              <w:t>3、与《</w:t>
            </w:r>
            <w:r>
              <w:rPr>
                <w:rFonts w:hint="default"/>
                <w:b/>
                <w:bCs/>
                <w:kern w:val="0"/>
              </w:rPr>
              <w:t>淮南高新技术产业开发区总体发展规划（2024~2035年）（主导产业变更）环境影响评价报告书</w:t>
            </w:r>
            <w:r>
              <w:rPr>
                <w:b/>
                <w:bCs/>
                <w:kern w:val="0"/>
              </w:rPr>
              <w:t>》符合性分析</w:t>
            </w:r>
          </w:p>
          <w:p w14:paraId="4FB6923F">
            <w:pPr>
              <w:pStyle w:val="45"/>
              <w:rPr>
                <w:rFonts w:hint="default" w:ascii="Times New Roman" w:hAnsi="Times New Roman" w:cs="Times New Roman"/>
              </w:rPr>
            </w:pPr>
            <w:r>
              <w:rPr>
                <w:rFonts w:hint="default" w:ascii="Times New Roman" w:hAnsi="Times New Roman" w:cs="Times New Roman"/>
              </w:rPr>
              <w:t>1、产业定位</w:t>
            </w:r>
          </w:p>
          <w:p w14:paraId="2A156C7B">
            <w:pPr>
              <w:pStyle w:val="45"/>
              <w:rPr>
                <w:rFonts w:hint="default" w:ascii="Times New Roman" w:hAnsi="Times New Roman" w:cs="Times New Roman"/>
              </w:rPr>
            </w:pPr>
            <w:r>
              <w:rPr>
                <w:rFonts w:hint="default" w:ascii="Times New Roman" w:hAnsi="Times New Roman" w:cs="Times New Roman"/>
              </w:rPr>
              <w:t>充分发挥淮南高新区产业特色优势，以“成链成群、又高又新、数智融合”为目标导向，坚持建圈强链，构建产业生态，积极发展汽车制造、新型显示、煤炭清洁利用三大主导产业，配套发展现代服务业，打造具备全国影响力、中部竞争力、安徽引领力的现代化产业体系。</w:t>
            </w:r>
          </w:p>
          <w:p w14:paraId="12EF6C40">
            <w:pPr>
              <w:pStyle w:val="45"/>
              <w:rPr>
                <w:rFonts w:hint="default" w:ascii="Times New Roman" w:hAnsi="Times New Roman" w:cs="Times New Roman"/>
              </w:rPr>
            </w:pPr>
            <w:r>
              <w:rPr>
                <w:rFonts w:hint="default" w:ascii="Times New Roman" w:hAnsi="Times New Roman" w:cs="Times New Roman"/>
              </w:rPr>
              <w:t>长三角地区汽车制造配套集聚区。抢抓全国及安徽大力发展汽车制造的战略机遇期，以整车制造、核心零部件、汽车智能化等领域为重点，强化开沃汽车（淮南）专用车生产项目、德力年产10万辆新能源专用车项目、合创新能源汽车零部件产业园项目等重大项目的牵引作用，推动补链延链，打造成为长三角汽车制造产业发展的重要配套基地。</w:t>
            </w:r>
          </w:p>
          <w:p w14:paraId="06188442">
            <w:pPr>
              <w:pStyle w:val="45"/>
              <w:rPr>
                <w:rFonts w:hint="default" w:ascii="Times New Roman" w:hAnsi="Times New Roman" w:cs="Times New Roman"/>
              </w:rPr>
            </w:pPr>
            <w:r>
              <w:rPr>
                <w:rFonts w:hint="default" w:ascii="Times New Roman" w:hAnsi="Times New Roman" w:cs="Times New Roman"/>
              </w:rPr>
              <w:t>省内知名的新型显示产业示范区。充分发挥龙头企业和重大项目的带动作用，聚焦显示面板、显示模组、智能显示终端等新型显示领域，加速汇聚产业链上下游企业，积极促进与长三角及国内产业高地的联动发展，塑造特色品牌，打造具有竞争力的新型显示产业集群。</w:t>
            </w:r>
          </w:p>
          <w:p w14:paraId="75968382">
            <w:pPr>
              <w:pStyle w:val="45"/>
              <w:rPr>
                <w:rFonts w:hint="default" w:ascii="Times New Roman" w:hAnsi="Times New Roman" w:cs="Times New Roman"/>
              </w:rPr>
            </w:pPr>
            <w:r>
              <w:rPr>
                <w:rFonts w:hint="default" w:ascii="Times New Roman" w:hAnsi="Times New Roman" w:cs="Times New Roman"/>
              </w:rPr>
              <w:t>皖北煤炭清洁利用产业新高地。依托煤炭领域高能级创新平台技术累积和人才优势，聚焦资源综合利用、矿用装备、矿区环境治理等方向，大力推动前沿成果转化，在煤炭分级高效利用、智能矿用装备等细分领域，研发高端特色产品，抢占产业链高附加值环节，打造皖北区域领先的煤炭清洁利用产业高地。</w:t>
            </w:r>
          </w:p>
          <w:p w14:paraId="2A400086">
            <w:pPr>
              <w:pStyle w:val="45"/>
              <w:rPr>
                <w:rFonts w:hint="default" w:ascii="Times New Roman" w:hAnsi="Times New Roman" w:cs="Times New Roman"/>
              </w:rPr>
            </w:pPr>
            <w:r>
              <w:rPr>
                <w:rFonts w:hint="default" w:ascii="Times New Roman" w:hAnsi="Times New Roman" w:cs="Times New Roman"/>
              </w:rPr>
              <w:t>全市领先的现代服务业标杆区。发挥毗邻长三角区位优势，以提升园区综合承载力为核心，重点发展科技服务、电子商务和现代物流等现代服务业态，在服务支撑淮南城市与产业发展中培育新的经济增长点，支撑现代服务业快速发展。</w:t>
            </w:r>
          </w:p>
          <w:p w14:paraId="7460D68A">
            <w:pPr>
              <w:pStyle w:val="45"/>
              <w:rPr>
                <w:rFonts w:hint="default" w:ascii="Times New Roman" w:hAnsi="Times New Roman" w:cs="Times New Roman"/>
              </w:rPr>
            </w:pPr>
            <w:r>
              <w:rPr>
                <w:rFonts w:hint="default" w:ascii="Times New Roman" w:hAnsi="Times New Roman" w:cs="Times New Roman"/>
              </w:rPr>
              <w:t>2、主导产业</w:t>
            </w:r>
          </w:p>
          <w:p w14:paraId="42135F5F">
            <w:pPr>
              <w:pStyle w:val="45"/>
              <w:rPr>
                <w:rFonts w:hint="default" w:ascii="Times New Roman" w:hAnsi="Times New Roman" w:cs="Times New Roman"/>
              </w:rPr>
            </w:pPr>
            <w:r>
              <w:rPr>
                <w:rFonts w:hint="default" w:ascii="Times New Roman" w:hAnsi="Times New Roman" w:cs="Times New Roman"/>
              </w:rPr>
              <w:t>淮南高新区主导产业确定为汽车制造（国民经济行业代码36）、新型显示（国民经济行业代码39）、煤炭清洁利用（国民经济行业代码06），其中汽车制造产业重点发展方向为汽车整车制造（361）、改装汽车制造（363）、汽车零部件及配件制造（367）；新型显示产业重点发展方向为计算机制造（391）、智能消费设备制造（396）、电子器件制造（397）；煤炭清洁利用产业烟煤和无烟煤开采洗选（061）、褐煤开采洗选（062）、其他煤炭采选（069），园区内不进行煤炭开采洗选，仅进行经济指标统计，重点发展方向为智能化平台控制、辅助设备生产等产业。</w:t>
            </w:r>
          </w:p>
          <w:p w14:paraId="7C3EA76F">
            <w:pPr>
              <w:pStyle w:val="45"/>
              <w:rPr>
                <w:rFonts w:hint="default" w:ascii="Times New Roman" w:hAnsi="Times New Roman" w:cs="Times New Roman"/>
              </w:rPr>
            </w:pPr>
            <w:r>
              <w:rPr>
                <w:rFonts w:hint="default" w:ascii="Times New Roman" w:hAnsi="Times New Roman" w:cs="Times New Roman"/>
              </w:rPr>
              <w:t>3、产业发展重点方向</w:t>
            </w:r>
          </w:p>
          <w:p w14:paraId="0AAA4B0F">
            <w:pPr>
              <w:pStyle w:val="45"/>
              <w:rPr>
                <w:rFonts w:hint="default" w:ascii="Times New Roman" w:hAnsi="Times New Roman" w:cs="Times New Roman"/>
              </w:rPr>
            </w:pPr>
            <w:r>
              <w:rPr>
                <w:rFonts w:hint="default" w:ascii="Times New Roman" w:hAnsi="Times New Roman" w:cs="Times New Roman"/>
              </w:rPr>
              <w:t>（1）首位发展汽车制造产业</w:t>
            </w:r>
          </w:p>
          <w:p w14:paraId="420E2A22">
            <w:pPr>
              <w:pStyle w:val="45"/>
              <w:rPr>
                <w:rFonts w:hint="default" w:ascii="Times New Roman" w:hAnsi="Times New Roman" w:cs="Times New Roman"/>
              </w:rPr>
            </w:pPr>
            <w:r>
              <w:rPr>
                <w:rFonts w:hint="default" w:ascii="Times New Roman" w:hAnsi="Times New Roman" w:cs="Times New Roman"/>
                <w:b/>
                <w:bCs/>
              </w:rPr>
              <w:t>整车制造领域</w:t>
            </w:r>
            <w:r>
              <w:rPr>
                <w:rFonts w:hint="default" w:ascii="Times New Roman" w:hAnsi="Times New Roman" w:cs="Times New Roman"/>
              </w:rPr>
              <w:t>。坚持电动化、网联化、智能化发展方向，以开沃汽车（淮南）专用车生产项目、德力新能源专用车项目等重大项目为牵引，重点发展纯电动运输物流车、冷藏保温车、环卫车、洒水车等专用车整车，加快突破智慧无人驾驶车关键核心技术，延伸布局中小型客车、货车等商用车整车，探索布局化工液体、低温液体特种运输车及罐车等。</w:t>
            </w:r>
          </w:p>
          <w:p w14:paraId="34733038">
            <w:pPr>
              <w:pStyle w:val="45"/>
              <w:rPr>
                <w:rFonts w:hint="default" w:ascii="Times New Roman" w:hAnsi="Times New Roman" w:cs="Times New Roman"/>
              </w:rPr>
            </w:pPr>
            <w:r>
              <w:rPr>
                <w:rFonts w:hint="default" w:ascii="Times New Roman" w:hAnsi="Times New Roman" w:cs="Times New Roman"/>
                <w:b/>
                <w:bCs/>
              </w:rPr>
              <w:t>关键零部件领域</w:t>
            </w:r>
            <w:r>
              <w:rPr>
                <w:rFonts w:hint="default" w:ascii="Times New Roman" w:hAnsi="Times New Roman" w:cs="Times New Roman"/>
              </w:rPr>
              <w:t>。依托合创新能源汽车零部件产业园、开沃动力能源（淮南）PACK生产项目、中柔年产50万吨绿色智能高精度高性能铝板带项目等重大项目，加快动力系统、光储充能系统的综合研发及智能制造，重点发展动力电池PACK、电源管理系统、热管理系统、驱动电机、电控系统等新能源汽车核心零部件，大力发展轮毂、轴承、齿轮、传动部件、底盘部件、车身面板系统、液压件、线束、玻璃、汽车内外饰等汽车通用零部件。依托淮南大数据产业集聚发展基地，培育发展基于大数据系统的智能网联汽车感知系统零部件、执行系统零部件等。</w:t>
            </w:r>
          </w:p>
          <w:p w14:paraId="420DB454">
            <w:pPr>
              <w:pStyle w:val="45"/>
              <w:rPr>
                <w:rFonts w:hint="default" w:ascii="Times New Roman" w:hAnsi="Times New Roman" w:cs="Times New Roman"/>
              </w:rPr>
            </w:pPr>
            <w:r>
              <w:rPr>
                <w:rFonts w:hint="default" w:ascii="Times New Roman" w:hAnsi="Times New Roman" w:cs="Times New Roman"/>
                <w:b/>
                <w:bCs/>
              </w:rPr>
              <w:t>后市场服务领域</w:t>
            </w:r>
            <w:r>
              <w:rPr>
                <w:rFonts w:hint="default" w:ascii="Times New Roman" w:hAnsi="Times New Roman" w:cs="Times New Roman"/>
              </w:rPr>
              <w:t>。借力开沃、德力两大整车制造项目，依托充电桩电源控制管理系统生产项目、汽车与零部件检测项目等配套服务项目，重点发展充电服务、物流服务和汽车检测服务。依托图联科技、佳诺电子等大数据骨干企业和北斗时空信息大数据应用等重点项目，培育发展高精度定位、高清地图、智慧交通等出行服务。</w:t>
            </w:r>
          </w:p>
          <w:p w14:paraId="22CBC825">
            <w:pPr>
              <w:pStyle w:val="45"/>
              <w:rPr>
                <w:rFonts w:hint="default" w:ascii="Times New Roman" w:hAnsi="Times New Roman" w:cs="Times New Roman"/>
                <w:bCs/>
              </w:rPr>
            </w:pPr>
            <w:r>
              <w:rPr>
                <w:rFonts w:hint="default" w:ascii="Times New Roman" w:hAnsi="Times New Roman" w:cs="Times New Roman"/>
                <w:bCs/>
              </w:rPr>
              <w:t>（2）大力发展新型显示产业</w:t>
            </w:r>
          </w:p>
          <w:p w14:paraId="7EC9EDCF">
            <w:pPr>
              <w:pStyle w:val="45"/>
              <w:rPr>
                <w:rFonts w:hint="default" w:ascii="Times New Roman" w:hAnsi="Times New Roman" w:cs="Times New Roman"/>
              </w:rPr>
            </w:pPr>
            <w:r>
              <w:rPr>
                <w:rFonts w:hint="default" w:ascii="Times New Roman" w:hAnsi="Times New Roman" w:cs="Times New Roman"/>
                <w:b/>
                <w:bCs/>
              </w:rPr>
              <w:t>上游核心材料领域</w:t>
            </w:r>
            <w:r>
              <w:rPr>
                <w:rFonts w:hint="default" w:ascii="Times New Roman" w:hAnsi="Times New Roman" w:cs="Times New Roman"/>
              </w:rPr>
              <w:t>。依托煜祺光学、鑫立鑫光电、晶桥光电、春雨光学等骨干企业，重点发展触控显示光学玻璃、钢化玻璃等玻璃材料，以及OCA光学胶膜、SCA光学胶膜、TOCK光学胶膜等光学膜材料，培育发展电子盖板玻璃、3D玻璃、新型柔性导电薄膜、密胺新材料等材料产品，加快突破超薄柔性玻璃、高世代显示玻璃基板等显示领域关键核心技术，提升高新区玻璃材料、光学膜行业市场竞争力。</w:t>
            </w:r>
          </w:p>
          <w:p w14:paraId="23B50B26">
            <w:pPr>
              <w:pStyle w:val="45"/>
              <w:rPr>
                <w:rFonts w:hint="default" w:ascii="Times New Roman" w:hAnsi="Times New Roman" w:cs="Times New Roman"/>
              </w:rPr>
            </w:pPr>
            <w:r>
              <w:rPr>
                <w:rFonts w:hint="default" w:ascii="Times New Roman" w:hAnsi="Times New Roman" w:cs="Times New Roman"/>
                <w:b/>
                <w:bCs/>
              </w:rPr>
              <w:t>中游面板组装领域</w:t>
            </w:r>
            <w:r>
              <w:rPr>
                <w:rFonts w:hint="default" w:ascii="Times New Roman" w:hAnsi="Times New Roman" w:cs="Times New Roman"/>
              </w:rPr>
              <w:t>。依托芯视佳半导体、宏视芯光电、探未光电、慧联精密、风平科技等骨干企业，重点发展硅基OLED显示面板、LED显示屏等显示面板，以及背光模组、显示模组、显示背板等模块组装产品，探索布局Mini-LED面板、Micro-LED面板、中小尺寸AMOLED柔性折叠屏等面板产品，积极开展量子点发光二极管QLED、激光显示、印刷显示等前沿技术领域研发。</w:t>
            </w:r>
          </w:p>
          <w:p w14:paraId="73796879">
            <w:pPr>
              <w:pStyle w:val="45"/>
              <w:rPr>
                <w:rFonts w:hint="default" w:ascii="Times New Roman" w:hAnsi="Times New Roman" w:cs="Times New Roman"/>
              </w:rPr>
            </w:pPr>
            <w:r>
              <w:rPr>
                <w:rFonts w:hint="default" w:ascii="Times New Roman" w:hAnsi="Times New Roman" w:cs="Times New Roman"/>
                <w:b/>
                <w:bCs/>
              </w:rPr>
              <w:t>下游终端应用领域</w:t>
            </w:r>
            <w:r>
              <w:rPr>
                <w:rFonts w:hint="default" w:ascii="Times New Roman" w:hAnsi="Times New Roman" w:cs="Times New Roman"/>
              </w:rPr>
              <w:t>。依托英联信息、灰熊视创、宇盛科技、崇盛光电等骨干企业，重点发展超高清大屏、笔记本电脑和平板、VR/AR眼镜等智能显示终端，延伸发展仪表显示屏、后排娱乐屏等车载显示终端，以及柔性屏智能手机、智能手表、智能手环等可穿戴设备，探索布局智能健康硬件、智能交互平板、数据标牌、电子标签等商业显示应用终端，推进智能显示终端在广播电视、文教娱乐、安防监控、医疗健康、智能交通、工业制造等领域的应用。</w:t>
            </w:r>
          </w:p>
          <w:p w14:paraId="13A9E897">
            <w:pPr>
              <w:pStyle w:val="45"/>
              <w:rPr>
                <w:rFonts w:hint="default" w:ascii="Times New Roman" w:hAnsi="Times New Roman" w:cs="Times New Roman"/>
                <w:bCs/>
              </w:rPr>
            </w:pPr>
            <w:r>
              <w:rPr>
                <w:rFonts w:hint="default" w:ascii="Times New Roman" w:hAnsi="Times New Roman" w:cs="Times New Roman"/>
                <w:bCs/>
              </w:rPr>
              <w:t>（3）特色发展煤炭清洁利用产业</w:t>
            </w:r>
          </w:p>
          <w:p w14:paraId="784C9B6E">
            <w:pPr>
              <w:pStyle w:val="45"/>
              <w:rPr>
                <w:rFonts w:hint="default" w:ascii="Times New Roman" w:hAnsi="Times New Roman" w:cs="Times New Roman"/>
              </w:rPr>
            </w:pPr>
            <w:r>
              <w:rPr>
                <w:rFonts w:hint="default" w:ascii="Times New Roman" w:hAnsi="Times New Roman" w:cs="Times New Roman"/>
                <w:b/>
                <w:bCs/>
              </w:rPr>
              <w:t>资源综合利用领域</w:t>
            </w:r>
            <w:r>
              <w:rPr>
                <w:rFonts w:hint="default" w:ascii="Times New Roman" w:hAnsi="Times New Roman" w:cs="Times New Roman"/>
              </w:rPr>
              <w:t>。借力煤炭开采国家工程技术研究院、安徽理工大学科技园、淮南新能源研究中心等科研载体的技术与人才优势，依托中煤新集、淮河能源、淮南矿业集团煤层气开发利用公司等骨干企业，积极开展产学研联合攻关，重点发展煤炭优质化加工、煤炭分质分级梯级利用、煤炭尾矿资源及废弃物资源综合利用等工业固废资源化利用，加快推进低阶煤提质、煤矿瓦斯抽采与综合利用、循环流化床燃烧技术等关键共性技术研发、产业化及应用示范。</w:t>
            </w:r>
          </w:p>
          <w:p w14:paraId="2DF3BC1B">
            <w:pPr>
              <w:pStyle w:val="45"/>
              <w:rPr>
                <w:rFonts w:hint="default" w:ascii="Times New Roman" w:hAnsi="Times New Roman" w:cs="Times New Roman"/>
              </w:rPr>
            </w:pPr>
            <w:r>
              <w:rPr>
                <w:rFonts w:hint="default" w:ascii="Times New Roman" w:hAnsi="Times New Roman" w:cs="Times New Roman"/>
                <w:b/>
                <w:bCs/>
              </w:rPr>
              <w:t>矿用装备制造领域</w:t>
            </w:r>
            <w:r>
              <w:rPr>
                <w:rFonts w:hint="default" w:ascii="Times New Roman" w:hAnsi="Times New Roman" w:cs="Times New Roman"/>
              </w:rPr>
              <w:t>。以淮南高新区零碳示范园区建设为牵引，依托中煤新集、福淮矿山、万泰电子、中车瑞达等骨干企业，重点发展矿用节能电机、防爆组合开关、金刚石复合钻头等核心零部件以及深部资源勘探开发装备、防爆电器设备、智能传动设备、气动流体控制设备、灾害防控智能装备等核心矿用设备，培育发展高效采矿装备、新能源矿用车、智能铲装及运输装备等节能化、智能化矿用装备。紧抓煤炭行业信息化、自动化和智能化趋势，大力发展矿井灾害防控系统、生产管理系统、能源管理系统、环境监测系统等智慧矿山系统，推动矿山生产、安全、管理全流程智能化。</w:t>
            </w:r>
          </w:p>
          <w:p w14:paraId="7A841612">
            <w:pPr>
              <w:pStyle w:val="45"/>
              <w:rPr>
                <w:rFonts w:hint="default" w:ascii="Times New Roman" w:hAnsi="Times New Roman" w:cs="Times New Roman"/>
              </w:rPr>
            </w:pPr>
            <w:r>
              <w:rPr>
                <w:rFonts w:hint="default" w:ascii="Times New Roman" w:hAnsi="Times New Roman" w:cs="Times New Roman"/>
                <w:b/>
                <w:bCs/>
              </w:rPr>
              <w:t>矿区综合治理领域</w:t>
            </w:r>
            <w:r>
              <w:rPr>
                <w:rFonts w:hint="default" w:ascii="Times New Roman" w:hAnsi="Times New Roman" w:cs="Times New Roman"/>
              </w:rPr>
              <w:t>。加快深部煤炭安全开采与环境保护全国重点实验室建设，开展地表土地资源和生态环境保护等新原理和新方法研究，延伸布局环境评估监测、环保技术研发等服务。加快淮南大气环境科技产业园共建步伐，重点发展万立方米级高空飞艇、VOCs监测一体化机柜等大气监测仪器及电子设备制造。依托中环新能源、中煤新集、淮河能源等骨干企业，探索布局“光伏+矿区生态修复”综合示范项目。依托中科院大气物理研究所创新转化基地、煤炭开采国家工程技术研究院、建立覆盖碳排放源分析、碳排放额度测算、煤矿塌陷区环境修复等环节的全流程解决方案。依托淮南大数据产业基地，深入推进煤炭全产业链、全生命周期的大数据资源整合，建立基于大数据、云技术的煤矿数据融合分析监测预警系统和平台，强化大数据在数字矿山建设、智能生产、安全监管等各领域的应用和服务。</w:t>
            </w:r>
          </w:p>
          <w:p w14:paraId="77649E22">
            <w:pPr>
              <w:pStyle w:val="45"/>
              <w:rPr>
                <w:rFonts w:hint="default" w:ascii="Times New Roman" w:hAnsi="Times New Roman" w:cs="Times New Roman"/>
              </w:rPr>
            </w:pPr>
            <w:r>
              <w:rPr>
                <w:rFonts w:hint="default" w:ascii="Times New Roman" w:hAnsi="Times New Roman" w:cs="Times New Roman"/>
                <w:kern w:val="0"/>
                <w:szCs w:val="20"/>
              </w:rPr>
              <w:t>本项目属于C2231纸和纸板容器制造，对照《淮南市高新技术产业开发区总体规划（2018-2035）》负面清单，本项目产业不在园区负面清单内。对照国家发改委</w:t>
            </w:r>
            <w:r>
              <w:rPr>
                <w:rFonts w:hint="default" w:ascii="Times New Roman" w:hAnsi="Times New Roman" w:cs="Times New Roman"/>
                <w:kern w:val="0"/>
                <w:szCs w:val="20"/>
                <w:lang w:bidi="ar"/>
              </w:rPr>
              <w:t>《产业结构调整指导目录（2024年本）》，本项目不属于限制类或淘汰类项目。项目</w:t>
            </w:r>
            <w:r>
              <w:rPr>
                <w:rFonts w:hint="default" w:ascii="Times New Roman" w:hAnsi="Times New Roman" w:cs="Times New Roman"/>
                <w:kern w:val="0"/>
                <w:szCs w:val="20"/>
              </w:rPr>
              <w:t>对照淮南市高新技术产业开发区用地布局规划图，项目用地性质为工业用地，符合总体规划要求。</w:t>
            </w:r>
          </w:p>
          <w:p w14:paraId="28DE73D8">
            <w:pPr>
              <w:pStyle w:val="45"/>
              <w:rPr>
                <w:rFonts w:hint="default" w:ascii="Times New Roman" w:hAnsi="Times New Roman" w:cs="Times New Roman"/>
              </w:rPr>
            </w:pPr>
            <w:r>
              <w:rPr>
                <w:rFonts w:hint="default" w:ascii="Times New Roman" w:hAnsi="Times New Roman" w:cs="Times New Roman"/>
                <w:b/>
                <w:bCs/>
                <w:lang w:val="en-US" w:eastAsia="zh-CN"/>
              </w:rPr>
              <w:t>4</w:t>
            </w:r>
            <w:r>
              <w:rPr>
                <w:rFonts w:hint="default" w:ascii="Times New Roman" w:hAnsi="Times New Roman" w:cs="Times New Roman"/>
                <w:b/>
                <w:bCs/>
              </w:rPr>
              <w:t>、</w:t>
            </w:r>
            <w:r>
              <w:rPr>
                <w:rFonts w:hint="default" w:ascii="Times New Roman" w:hAnsi="Times New Roman" w:cs="Times New Roman"/>
              </w:rPr>
              <w:t>与《淮南高新技术产业开发区总体发展规划（2024~2035年）（主导产业变更）环境影响评价报告书》审查意见的符合性分析</w:t>
            </w:r>
          </w:p>
          <w:p w14:paraId="23FD4037">
            <w:pPr>
              <w:pStyle w:val="45"/>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0"/>
                <w:lang w:eastAsia="zh-CN"/>
              </w:rPr>
              <w:t>表</w:t>
            </w:r>
            <w:r>
              <w:rPr>
                <w:rFonts w:hint="default" w:ascii="Times New Roman" w:hAnsi="Times New Roman" w:cs="Times New Roman"/>
                <w:b/>
                <w:kern w:val="0"/>
                <w:sz w:val="21"/>
                <w:szCs w:val="20"/>
                <w:lang w:val="en-US" w:eastAsia="zh-CN"/>
              </w:rPr>
              <w:t>1-</w:t>
            </w:r>
            <w:r>
              <w:rPr>
                <w:rFonts w:hint="default"/>
                <w:b/>
                <w:kern w:val="0"/>
                <w:sz w:val="21"/>
                <w:szCs w:val="20"/>
                <w:lang w:val="en-US" w:eastAsia="zh-CN"/>
              </w:rPr>
              <w:t>2</w:t>
            </w:r>
            <w:r>
              <w:rPr>
                <w:b/>
                <w:kern w:val="0"/>
                <w:sz w:val="21"/>
                <w:szCs w:val="20"/>
              </w:rPr>
              <w:t xml:space="preserve"> 本项目与《</w:t>
            </w:r>
            <w:r>
              <w:rPr>
                <w:rFonts w:hint="default"/>
                <w:b/>
                <w:kern w:val="0"/>
                <w:sz w:val="21"/>
                <w:szCs w:val="20"/>
              </w:rPr>
              <w:t>淮南高新技术产业开发区总体发展规划（2024~2035年）（主导产业变更）环境影响评价报告书</w:t>
            </w:r>
            <w:r>
              <w:rPr>
                <w:b/>
                <w:kern w:val="0"/>
                <w:sz w:val="21"/>
                <w:szCs w:val="20"/>
              </w:rPr>
              <w:t>》审查意见的符合性分析</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41"/>
              <w:gridCol w:w="3283"/>
              <w:gridCol w:w="852"/>
            </w:tblGrid>
            <w:tr w14:paraId="56081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2407" w:type="pct"/>
                  <w:tcMar>
                    <w:left w:w="57" w:type="dxa"/>
                    <w:right w:w="57" w:type="dxa"/>
                  </w:tcMar>
                  <w:vAlign w:val="center"/>
                </w:tcPr>
                <w:p w14:paraId="7CC1C79D">
                  <w:pPr>
                    <w:pStyle w:val="46"/>
                    <w:framePr w:hSpace="0" w:wrap="auto" w:vAnchor="margin" w:hAnchor="text" w:xAlign="left" w:yAlign="inline"/>
                    <w:overflowPunct w:val="0"/>
                    <w:autoSpaceDE w:val="0"/>
                    <w:autoSpaceDN w:val="0"/>
                    <w:rPr>
                      <w:rFonts w:hint="default"/>
                      <w:b/>
                      <w:bCs/>
                    </w:rPr>
                  </w:pPr>
                  <w:r>
                    <w:rPr>
                      <w:rFonts w:hint="default"/>
                      <w:b/>
                      <w:bCs/>
                    </w:rPr>
                    <w:t>审查意见内容</w:t>
                  </w:r>
                </w:p>
              </w:tc>
              <w:tc>
                <w:tcPr>
                  <w:tcW w:w="2057" w:type="pct"/>
                  <w:tcMar>
                    <w:left w:w="57" w:type="dxa"/>
                    <w:right w:w="57" w:type="dxa"/>
                  </w:tcMar>
                  <w:vAlign w:val="center"/>
                </w:tcPr>
                <w:p w14:paraId="060D0C0F">
                  <w:pPr>
                    <w:pStyle w:val="46"/>
                    <w:framePr w:hSpace="0" w:wrap="auto" w:vAnchor="margin" w:hAnchor="text" w:xAlign="left" w:yAlign="inline"/>
                    <w:overflowPunct w:val="0"/>
                    <w:autoSpaceDE w:val="0"/>
                    <w:autoSpaceDN w:val="0"/>
                    <w:rPr>
                      <w:rFonts w:hint="default"/>
                      <w:b/>
                      <w:bCs/>
                    </w:rPr>
                  </w:pPr>
                  <w:r>
                    <w:rPr>
                      <w:rFonts w:hint="default"/>
                      <w:b/>
                      <w:bCs/>
                    </w:rPr>
                    <w:t>本项目</w:t>
                  </w:r>
                </w:p>
              </w:tc>
              <w:tc>
                <w:tcPr>
                  <w:tcW w:w="534" w:type="pct"/>
                  <w:tcMar>
                    <w:left w:w="57" w:type="dxa"/>
                    <w:right w:w="57" w:type="dxa"/>
                  </w:tcMar>
                  <w:vAlign w:val="center"/>
                </w:tcPr>
                <w:p w14:paraId="3CD1C239">
                  <w:pPr>
                    <w:pStyle w:val="46"/>
                    <w:framePr w:hSpace="0" w:wrap="auto" w:vAnchor="margin" w:hAnchor="text" w:xAlign="left" w:yAlign="inline"/>
                    <w:overflowPunct w:val="0"/>
                    <w:autoSpaceDE w:val="0"/>
                    <w:autoSpaceDN w:val="0"/>
                    <w:rPr>
                      <w:rFonts w:hint="default"/>
                      <w:b w:val="0"/>
                      <w:bCs w:val="0"/>
                    </w:rPr>
                  </w:pPr>
                  <w:r>
                    <w:rPr>
                      <w:rFonts w:hint="default"/>
                      <w:b/>
                      <w:bCs/>
                    </w:rPr>
                    <w:t>符合性</w:t>
                  </w:r>
                </w:p>
              </w:tc>
            </w:tr>
            <w:tr w14:paraId="7C96A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2407" w:type="pct"/>
                  <w:tcMar>
                    <w:left w:w="57" w:type="dxa"/>
                    <w:right w:w="57" w:type="dxa"/>
                  </w:tcMar>
                  <w:vAlign w:val="center"/>
                </w:tcPr>
                <w:p w14:paraId="29EDEA7A">
                  <w:pPr>
                    <w:pStyle w:val="46"/>
                    <w:framePr w:hSpace="0" w:wrap="auto" w:vAnchor="margin" w:hAnchor="text" w:xAlign="left" w:yAlign="inline"/>
                    <w:jc w:val="both"/>
                    <w:rPr>
                      <w:rFonts w:hint="default"/>
                      <w:b w:val="0"/>
                      <w:bCs/>
                    </w:rPr>
                  </w:pPr>
                  <w:r>
                    <w:rPr>
                      <w:rFonts w:hint="default"/>
                      <w:b w:val="0"/>
                      <w:bCs/>
                    </w:rPr>
                    <w:t>(一)加强《规划》引领，坚持绿色协调发展</w:t>
                  </w:r>
                </w:p>
                <w:p w14:paraId="00CF64BE">
                  <w:pPr>
                    <w:pStyle w:val="46"/>
                    <w:overflowPunct w:val="0"/>
                    <w:autoSpaceDE w:val="0"/>
                    <w:autoSpaceDN w:val="0"/>
                    <w:rPr>
                      <w:rFonts w:hint="default"/>
                      <w:b w:val="0"/>
                      <w:bCs/>
                    </w:rPr>
                  </w:pPr>
                  <w:r>
                    <w:rPr>
                      <w:rFonts w:hint="default"/>
                      <w:b w:val="0"/>
                      <w:bCs/>
                      <w:lang w:val="zh-CN"/>
                    </w:rPr>
                    <w:t>《规划》应加强与区域生态环境分区管控的协调衔接。统筹推进开发区整体发展和生态保护，基于环境承载力合理控制开发利用强度和时序，进一步提高土地利用效率，协调好产业发展与区域环境保护的关系。统筹开发区减污降碳协同共治资源集约节约及循环化利用、能源智慧高效利用、环境风险防控等重大事项，引导开发区高质量发展。落实开发区发展规划结合区域生态环境承载力，确保产业发展与区域生态环境保护人居环境质量保障相协调。</w:t>
                  </w:r>
                </w:p>
              </w:tc>
              <w:tc>
                <w:tcPr>
                  <w:tcW w:w="2057" w:type="pct"/>
                  <w:tcMar>
                    <w:left w:w="57" w:type="dxa"/>
                    <w:right w:w="57" w:type="dxa"/>
                  </w:tcMar>
                  <w:vAlign w:val="center"/>
                </w:tcPr>
                <w:p w14:paraId="5594A64B">
                  <w:pPr>
                    <w:pStyle w:val="46"/>
                    <w:overflowPunct w:val="0"/>
                    <w:autoSpaceDE w:val="0"/>
                    <w:autoSpaceDN w:val="0"/>
                    <w:rPr>
                      <w:rFonts w:hint="default"/>
                      <w:b w:val="0"/>
                      <w:bCs/>
                    </w:rPr>
                  </w:pPr>
                  <w:r>
                    <w:rPr>
                      <w:rFonts w:hint="default"/>
                      <w:b w:val="0"/>
                      <w:bCs/>
                    </w:rPr>
                    <w:t>本项目租赁安徽普特机械制造有限公司内厂房，本项目属于C2231</w:t>
                  </w:r>
                  <w:r>
                    <w:rPr>
                      <w:rFonts w:hint="default"/>
                      <w:b w:val="0"/>
                      <w:bCs/>
                      <w:lang w:val="zh-CN"/>
                    </w:rPr>
                    <w:t>纸和纸板容器制造，</w:t>
                  </w:r>
                  <w:r>
                    <w:rPr>
                      <w:rFonts w:hint="default"/>
                      <w:b w:val="0"/>
                      <w:bCs/>
                    </w:rPr>
                    <w:t>对照国家发改委《产业结构调整指导目录（2024年本）》，本项目不属于限制类或淘汰类项目，不在园区准入负面清单内，视为允许建设项目</w:t>
                  </w:r>
                  <w:r>
                    <w:rPr>
                      <w:rFonts w:hint="default"/>
                      <w:b w:val="0"/>
                      <w:bCs/>
                      <w:lang w:val="zh-CN"/>
                    </w:rPr>
                    <w:t>。且生产产品可为园区内企业提供服务，符合淮南高新技术产业开发区产业定位。项目</w:t>
                  </w:r>
                  <w:r>
                    <w:rPr>
                      <w:rFonts w:hint="default"/>
                      <w:b w:val="0"/>
                      <w:bCs/>
                      <w:lang w:val="en-US"/>
                    </w:rPr>
                    <w:t>使用清洁能源和节能设备，项目环境</w:t>
                  </w:r>
                  <w:r>
                    <w:rPr>
                      <w:rFonts w:hint="default"/>
                      <w:b w:val="0"/>
                      <w:bCs/>
                    </w:rPr>
                    <w:t>污染小，能耗低。符合国家国家产业政策、环保政策，同时符合园区规划及规划环评、审查意见的要求。</w:t>
                  </w:r>
                </w:p>
              </w:tc>
              <w:tc>
                <w:tcPr>
                  <w:tcW w:w="534" w:type="pct"/>
                  <w:tcMar>
                    <w:left w:w="57" w:type="dxa"/>
                    <w:right w:w="57" w:type="dxa"/>
                  </w:tcMar>
                  <w:vAlign w:val="center"/>
                </w:tcPr>
                <w:p w14:paraId="174E7E51">
                  <w:pPr>
                    <w:pStyle w:val="45"/>
                    <w:overflowPunct w:val="0"/>
                    <w:autoSpaceDE w:val="0"/>
                    <w:autoSpaceDN w:val="0"/>
                    <w:ind w:firstLine="0" w:firstLineChars="0"/>
                    <w:jc w:val="center"/>
                    <w:rPr>
                      <w:rFonts w:hint="default" w:ascii="Times New Roman" w:hAnsi="Times New Roman" w:cs="Times New Roman"/>
                    </w:rPr>
                  </w:pPr>
                  <w:r>
                    <w:rPr>
                      <w:rFonts w:hint="default" w:ascii="Times New Roman" w:hAnsi="Times New Roman" w:cs="Times New Roman"/>
                    </w:rPr>
                    <w:t>符合</w:t>
                  </w:r>
                </w:p>
              </w:tc>
            </w:tr>
            <w:tr w14:paraId="6E7F2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407" w:type="pct"/>
                  <w:tcMar>
                    <w:left w:w="57" w:type="dxa"/>
                    <w:right w:w="57" w:type="dxa"/>
                  </w:tcMar>
                  <w:vAlign w:val="center"/>
                </w:tcPr>
                <w:p w14:paraId="4901F332">
                  <w:pPr>
                    <w:pStyle w:val="46"/>
                    <w:framePr w:hSpace="0" w:wrap="auto" w:vAnchor="margin" w:hAnchor="text" w:xAlign="left" w:yAlign="inline"/>
                    <w:jc w:val="both"/>
                    <w:rPr>
                      <w:b w:val="0"/>
                      <w:bCs/>
                    </w:rPr>
                  </w:pPr>
                  <w:r>
                    <w:rPr>
                      <w:rFonts w:hint="default"/>
                      <w:b w:val="0"/>
                      <w:bCs/>
                    </w:rPr>
                    <w:t>(二)严守环境质量底线，保护区域生态环境质量</w:t>
                  </w:r>
                </w:p>
                <w:p w14:paraId="34C2DA74">
                  <w:pPr>
                    <w:pStyle w:val="46"/>
                    <w:overflowPunct w:val="0"/>
                    <w:autoSpaceDE w:val="0"/>
                    <w:autoSpaceDN w:val="0"/>
                    <w:rPr>
                      <w:rFonts w:hint="default"/>
                      <w:b w:val="0"/>
                      <w:bCs/>
                    </w:rPr>
                  </w:pPr>
                  <w:r>
                    <w:rPr>
                      <w:rFonts w:hint="default"/>
                      <w:b w:val="0"/>
                      <w:bCs/>
                    </w:rPr>
                    <w:t>开发区应坚持生态优先、高效集约发展，以生态环境质量改善、防范环境风险为核心，明确开发区发展存在的制约因素，根据国家和我省大气、水、土壤、固废污染防治相关要求，妥善解决区域生态环境问题，确保开发区建设项目污染物长期稳定达标排放，区域生态环境质量持续优化。</w:t>
                  </w:r>
                </w:p>
              </w:tc>
              <w:tc>
                <w:tcPr>
                  <w:tcW w:w="2057" w:type="pct"/>
                  <w:tcMar>
                    <w:left w:w="57" w:type="dxa"/>
                    <w:right w:w="57" w:type="dxa"/>
                  </w:tcMar>
                  <w:vAlign w:val="center"/>
                </w:tcPr>
                <w:p w14:paraId="053BAD61">
                  <w:pPr>
                    <w:pStyle w:val="46"/>
                    <w:overflowPunct w:val="0"/>
                    <w:autoSpaceDE w:val="0"/>
                    <w:autoSpaceDN w:val="0"/>
                    <w:rPr>
                      <w:rFonts w:hint="default"/>
                      <w:b w:val="0"/>
                      <w:bCs/>
                    </w:rPr>
                  </w:pPr>
                  <w:r>
                    <w:rPr>
                      <w:rFonts w:hint="default" w:ascii="Times New Roman" w:hAnsi="Times New Roman"/>
                      <w:b w:val="0"/>
                      <w:bCs/>
                    </w:rPr>
                    <w:t>本项目运营过程中产生的污染物经环保措施处理后可达标排放，对周围环境造成的影响较小，不会降低当地环境质量，不会触碰区域环境质量底线。</w:t>
                  </w:r>
                </w:p>
              </w:tc>
              <w:tc>
                <w:tcPr>
                  <w:tcW w:w="534" w:type="pct"/>
                  <w:tcMar>
                    <w:left w:w="57" w:type="dxa"/>
                    <w:right w:w="57" w:type="dxa"/>
                  </w:tcMar>
                  <w:vAlign w:val="center"/>
                </w:tcPr>
                <w:p w14:paraId="1168D3B4">
                  <w:pPr>
                    <w:pStyle w:val="45"/>
                    <w:overflowPunct w:val="0"/>
                    <w:autoSpaceDE w:val="0"/>
                    <w:autoSpaceDN w:val="0"/>
                    <w:ind w:firstLine="0" w:firstLineChars="0"/>
                    <w:jc w:val="center"/>
                    <w:rPr>
                      <w:rFonts w:hint="default" w:ascii="Times New Roman" w:hAnsi="Times New Roman" w:cs="Times New Roman"/>
                    </w:rPr>
                  </w:pPr>
                  <w:r>
                    <w:rPr>
                      <w:rFonts w:hint="default" w:ascii="Times New Roman" w:hAnsi="Times New Roman" w:cs="Times New Roman"/>
                    </w:rPr>
                    <w:t>符合</w:t>
                  </w:r>
                </w:p>
              </w:tc>
            </w:tr>
            <w:tr w14:paraId="68B9E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407" w:type="pct"/>
                  <w:tcMar>
                    <w:left w:w="57" w:type="dxa"/>
                    <w:right w:w="57" w:type="dxa"/>
                  </w:tcMar>
                  <w:vAlign w:val="center"/>
                </w:tcPr>
                <w:p w14:paraId="0022885F">
                  <w:pPr>
                    <w:pStyle w:val="46"/>
                    <w:framePr w:hSpace="0" w:wrap="auto" w:vAnchor="margin" w:hAnchor="text" w:xAlign="left" w:yAlign="inline"/>
                    <w:jc w:val="both"/>
                    <w:rPr>
                      <w:rFonts w:hint="default"/>
                      <w:b w:val="0"/>
                      <w:bCs/>
                    </w:rPr>
                  </w:pPr>
                  <w:r>
                    <w:rPr>
                      <w:rFonts w:hint="default"/>
                      <w:b w:val="0"/>
                      <w:bCs/>
                    </w:rPr>
                    <w:t>(三)优化产业布局，加强生态环境分区管控</w:t>
                  </w:r>
                </w:p>
                <w:p w14:paraId="06A7AA0E">
                  <w:pPr>
                    <w:pStyle w:val="46"/>
                    <w:framePr w:hSpace="0" w:wrap="auto" w:vAnchor="margin" w:hAnchor="text" w:xAlign="left" w:yAlign="inline"/>
                    <w:jc w:val="both"/>
                    <w:rPr>
                      <w:rFonts w:hint="default"/>
                      <w:b w:val="0"/>
                      <w:bCs/>
                    </w:rPr>
                  </w:pPr>
                  <w:r>
                    <w:rPr>
                      <w:rFonts w:hint="default"/>
                      <w:b w:val="0"/>
                      <w:bCs/>
                    </w:rPr>
                    <w:t>落实生态环境分区管控要求，结合省长江经济带发展负面清单管控要求及区域资源优势和环境制约因素等，进一步完善产业发展规划，优化功能分区和空间布局。合理规划不同功能区的环境保护空间，严禁不符合管控要求的各类开发建设活动规划实施不得降低淮河、高塘湖、瓦埠湖等地表水体的环境质量。</w:t>
                  </w:r>
                </w:p>
              </w:tc>
              <w:tc>
                <w:tcPr>
                  <w:tcW w:w="2057" w:type="pct"/>
                  <w:tcMar>
                    <w:left w:w="57" w:type="dxa"/>
                    <w:right w:w="57" w:type="dxa"/>
                  </w:tcMar>
                  <w:vAlign w:val="center"/>
                </w:tcPr>
                <w:p w14:paraId="18A7200D">
                  <w:pPr>
                    <w:pStyle w:val="46"/>
                    <w:framePr w:hSpace="0" w:wrap="auto" w:vAnchor="margin" w:hAnchor="text" w:xAlign="left" w:yAlign="inline"/>
                    <w:jc w:val="both"/>
                    <w:rPr>
                      <w:rFonts w:hint="default" w:ascii="Times New Roman" w:hAnsi="Times New Roman"/>
                      <w:b w:val="0"/>
                      <w:bCs/>
                    </w:rPr>
                  </w:pPr>
                  <w:r>
                    <w:rPr>
                      <w:rFonts w:hint="default" w:cs="Times New Roman"/>
                      <w:b w:val="0"/>
                      <w:bCs/>
                    </w:rPr>
                    <w:t>项目运营过程中会产生一定的污染物，采取相应的污染防治措施后，各类污染物的排放对周围环境造成的影响较小，不会降低当地环境质量，不会触碰区域环境质量底线，符合“三线一单”管控单元的管理要求，</w:t>
                  </w:r>
                  <w:r>
                    <w:rPr>
                      <w:rFonts w:hint="default"/>
                      <w:b w:val="0"/>
                      <w:bCs/>
                    </w:rPr>
                    <w:t>不会降低高塘湖地表水体的环境质量。</w:t>
                  </w:r>
                </w:p>
              </w:tc>
              <w:tc>
                <w:tcPr>
                  <w:tcW w:w="534" w:type="pct"/>
                  <w:tcMar>
                    <w:left w:w="57" w:type="dxa"/>
                    <w:right w:w="57" w:type="dxa"/>
                  </w:tcMar>
                  <w:vAlign w:val="center"/>
                </w:tcPr>
                <w:p w14:paraId="169B84FA">
                  <w:pPr>
                    <w:pStyle w:val="45"/>
                    <w:ind w:firstLine="0" w:firstLineChars="0"/>
                    <w:jc w:val="center"/>
                    <w:rPr>
                      <w:rFonts w:hint="default" w:ascii="Times New Roman" w:hAnsi="Times New Roman" w:cs="Times New Roman"/>
                    </w:rPr>
                  </w:pPr>
                  <w:r>
                    <w:rPr>
                      <w:rFonts w:hint="default" w:ascii="Times New Roman" w:hAnsi="Times New Roman" w:cs="Times New Roman"/>
                    </w:rPr>
                    <w:t>符合</w:t>
                  </w:r>
                </w:p>
              </w:tc>
            </w:tr>
            <w:tr w14:paraId="11DF8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407" w:type="pct"/>
                  <w:tcMar>
                    <w:left w:w="57" w:type="dxa"/>
                    <w:right w:w="57" w:type="dxa"/>
                  </w:tcMar>
                  <w:vAlign w:val="center"/>
                </w:tcPr>
                <w:p w14:paraId="44A69433">
                  <w:pPr>
                    <w:pStyle w:val="46"/>
                    <w:framePr w:hSpace="0" w:wrap="auto" w:vAnchor="margin" w:hAnchor="text" w:xAlign="left" w:yAlign="inline"/>
                    <w:jc w:val="both"/>
                    <w:rPr>
                      <w:rFonts w:hint="default"/>
                      <w:b w:val="0"/>
                      <w:bCs/>
                    </w:rPr>
                  </w:pPr>
                  <w:r>
                    <w:rPr>
                      <w:rFonts w:hint="default"/>
                      <w:b w:val="0"/>
                      <w:bCs/>
                    </w:rPr>
                    <w:t>（四）完善环保基础设施建设，强化环境污染防控</w:t>
                  </w:r>
                </w:p>
                <w:p w14:paraId="4CD534C9">
                  <w:pPr>
                    <w:pStyle w:val="46"/>
                    <w:framePr w:hSpace="0" w:wrap="auto" w:vAnchor="margin" w:hAnchor="text" w:xAlign="left" w:yAlign="inline"/>
                    <w:jc w:val="both"/>
                    <w:rPr>
                      <w:rFonts w:hint="default"/>
                      <w:b w:val="0"/>
                      <w:bCs/>
                    </w:rPr>
                  </w:pPr>
                  <w:r>
                    <w:rPr>
                      <w:rFonts w:hint="default"/>
                      <w:b w:val="0"/>
                      <w:bCs/>
                    </w:rPr>
                    <w:t>根据开发时序和开发强度，进一步优化区域供水、排水、供气等规划，完善各项环保基础设施建设。结合区域环境质量现状，细化污染防治基础设施建设和运行管理要求，保障受纳水体的水环境功能、下游水环境保护目标及相关考核断面水质稳定达标。</w:t>
                  </w:r>
                </w:p>
              </w:tc>
              <w:tc>
                <w:tcPr>
                  <w:tcW w:w="2057" w:type="pct"/>
                  <w:tcMar>
                    <w:left w:w="57" w:type="dxa"/>
                    <w:right w:w="57" w:type="dxa"/>
                  </w:tcMar>
                  <w:vAlign w:val="center"/>
                </w:tcPr>
                <w:p w14:paraId="453AD088">
                  <w:pPr>
                    <w:pStyle w:val="46"/>
                    <w:framePr w:hSpace="0" w:wrap="auto" w:vAnchor="margin" w:hAnchor="text" w:xAlign="left" w:yAlign="inline"/>
                    <w:jc w:val="both"/>
                    <w:rPr>
                      <w:rFonts w:hint="default" w:cs="Times New Roman"/>
                      <w:b w:val="0"/>
                      <w:bCs/>
                    </w:rPr>
                  </w:pPr>
                  <w:r>
                    <w:rPr>
                      <w:rFonts w:hint="default"/>
                      <w:b w:val="0"/>
                      <w:bCs/>
                    </w:rPr>
                    <w:t>本项目生活污水经园区现有已建成化粪池处理达标后纳入</w:t>
                  </w:r>
                  <w:r>
                    <w:rPr>
                      <w:rFonts w:hint="default" w:ascii="Times New Roman" w:hAnsi="Times New Roman" w:cs="Times New Roman"/>
                      <w:b w:val="0"/>
                      <w:bCs/>
                      <w:lang w:val="en-US" w:eastAsia="zh-CN"/>
                    </w:rPr>
                    <w:t>淮南首创八公山污水处理厂</w:t>
                  </w:r>
                  <w:r>
                    <w:rPr>
                      <w:rFonts w:hint="default"/>
                      <w:b w:val="0"/>
                      <w:bCs/>
                      <w:lang w:val="en-US" w:eastAsia="zh-CN"/>
                    </w:rPr>
                    <w:t>；</w:t>
                  </w:r>
                  <w:r>
                    <w:rPr>
                      <w:rFonts w:hint="default" w:ascii="Times New Roman" w:hAnsi="Times New Roman" w:cs="Times New Roman"/>
                      <w:b w:val="0"/>
                      <w:bCs/>
                      <w:lang w:val="en-US" w:eastAsia="zh-CN"/>
                    </w:rPr>
                    <w:t>锅炉废水经新建排污口DW001依托园区污水管网排入淮南首创八公山污水处理厂</w:t>
                  </w:r>
                  <w:r>
                    <w:rPr>
                      <w:rFonts w:hint="default"/>
                      <w:b w:val="0"/>
                      <w:bCs/>
                      <w:lang w:val="en-US" w:eastAsia="zh-CN"/>
                    </w:rPr>
                    <w:t>，</w:t>
                  </w:r>
                  <w:r>
                    <w:rPr>
                      <w:rFonts w:hint="default"/>
                      <w:b w:val="0"/>
                      <w:bCs/>
                      <w:lang w:val="en-US"/>
                    </w:rPr>
                    <w:t>处理达标后排放，尾水排入</w:t>
                  </w:r>
                  <w:r>
                    <w:rPr>
                      <w:rFonts w:hint="default"/>
                      <w:b w:val="0"/>
                      <w:bCs/>
                      <w:lang w:val="en-US" w:eastAsia="zh-CN"/>
                    </w:rPr>
                    <w:t>淮河</w:t>
                  </w:r>
                  <w:r>
                    <w:rPr>
                      <w:rFonts w:hint="default"/>
                      <w:b w:val="0"/>
                      <w:bCs/>
                      <w:lang w:val="en-US"/>
                    </w:rPr>
                    <w:t>，对</w:t>
                  </w:r>
                  <w:r>
                    <w:rPr>
                      <w:rFonts w:hint="default"/>
                      <w:b w:val="0"/>
                      <w:bCs/>
                    </w:rPr>
                    <w:t>受纳水体产生影响较小，水质稳定达标。</w:t>
                  </w:r>
                </w:p>
              </w:tc>
              <w:tc>
                <w:tcPr>
                  <w:tcW w:w="534" w:type="pct"/>
                  <w:tcMar>
                    <w:left w:w="57" w:type="dxa"/>
                    <w:right w:w="57" w:type="dxa"/>
                  </w:tcMar>
                  <w:vAlign w:val="center"/>
                </w:tcPr>
                <w:p w14:paraId="0A20400F">
                  <w:pPr>
                    <w:pStyle w:val="45"/>
                    <w:ind w:firstLine="0" w:firstLineChars="0"/>
                    <w:jc w:val="center"/>
                    <w:rPr>
                      <w:rFonts w:hint="default" w:ascii="Times New Roman" w:hAnsi="Times New Roman" w:cs="Times New Roman"/>
                    </w:rPr>
                  </w:pPr>
                  <w:r>
                    <w:rPr>
                      <w:rFonts w:hint="default" w:ascii="Times New Roman" w:hAnsi="Times New Roman" w:cs="Times New Roman"/>
                    </w:rPr>
                    <w:t>符合</w:t>
                  </w:r>
                </w:p>
              </w:tc>
            </w:tr>
            <w:tr w14:paraId="2DB92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407" w:type="pct"/>
                  <w:shd w:val="clear" w:color="auto" w:fill="auto"/>
                  <w:tcMar>
                    <w:left w:w="57" w:type="dxa"/>
                    <w:right w:w="57" w:type="dxa"/>
                  </w:tcMar>
                  <w:vAlign w:val="center"/>
                </w:tcPr>
                <w:p w14:paraId="7E840CF1">
                  <w:pPr>
                    <w:pStyle w:val="46"/>
                    <w:framePr w:hSpace="0" w:wrap="auto" w:vAnchor="margin" w:hAnchor="text" w:xAlign="left" w:yAlign="inline"/>
                    <w:jc w:val="both"/>
                    <w:rPr>
                      <w:b w:val="0"/>
                      <w:bCs/>
                    </w:rPr>
                  </w:pPr>
                  <w:r>
                    <w:rPr>
                      <w:rFonts w:hint="default"/>
                      <w:b w:val="0"/>
                      <w:bCs/>
                    </w:rPr>
                    <w:t>(五)细化生态环境准入清单，推动高质量发展</w:t>
                  </w:r>
                </w:p>
                <w:p w14:paraId="46D2AE14">
                  <w:pPr>
                    <w:pStyle w:val="46"/>
                    <w:framePr w:hSpace="0" w:wrap="auto" w:vAnchor="margin" w:hAnchor="text" w:xAlign="left" w:yAlign="inline"/>
                    <w:jc w:val="both"/>
                    <w:rPr>
                      <w:rFonts w:hint="default" w:ascii="Times New Roman" w:hAnsi="Times New Roman" w:eastAsia="宋体" w:cs="Times New Roman"/>
                      <w:b w:val="0"/>
                      <w:bCs/>
                      <w:kern w:val="2"/>
                      <w:sz w:val="21"/>
                      <w:szCs w:val="21"/>
                      <w:lang w:val="zh-CN" w:eastAsia="zh-CN" w:bidi="ar-SA"/>
                    </w:rPr>
                  </w:pPr>
                  <w:r>
                    <w:rPr>
                      <w:rFonts w:hint="default"/>
                      <w:b w:val="0"/>
                      <w:bCs/>
                    </w:rPr>
                    <w:t>根据国家和区域发展战略，结合区域生态环境质量现状，国土空间规划等，严格落实《报告书》生态环境准入要求。严格执行国家产业政策，坚决遏制“两高一低”项目盲目发展严禁不符合淮河流域生态环境保护要求的项目入区。</w:t>
                  </w:r>
                </w:p>
              </w:tc>
              <w:tc>
                <w:tcPr>
                  <w:tcW w:w="2057" w:type="pct"/>
                  <w:shd w:val="clear" w:color="auto" w:fill="auto"/>
                  <w:tcMar>
                    <w:left w:w="57" w:type="dxa"/>
                    <w:right w:w="57" w:type="dxa"/>
                  </w:tcMar>
                  <w:vAlign w:val="center"/>
                </w:tcPr>
                <w:p w14:paraId="2E88AFD1">
                  <w:pPr>
                    <w:pStyle w:val="46"/>
                    <w:framePr w:hSpace="0" w:wrap="auto" w:vAnchor="margin" w:hAnchor="text" w:xAlign="left" w:yAlign="inline"/>
                    <w:jc w:val="both"/>
                    <w:rPr>
                      <w:rFonts w:hint="default" w:ascii="Times New Roman" w:hAnsi="Times New Roman" w:eastAsia="宋体" w:cs="Times New Roman"/>
                      <w:b w:val="0"/>
                      <w:bCs/>
                      <w:kern w:val="2"/>
                      <w:sz w:val="21"/>
                      <w:szCs w:val="21"/>
                      <w:lang w:val="zh-CN" w:eastAsia="zh-CN" w:bidi="ar-SA"/>
                    </w:rPr>
                  </w:pPr>
                  <w:r>
                    <w:rPr>
                      <w:rFonts w:hint="default"/>
                      <w:b w:val="0"/>
                      <w:bCs/>
                    </w:rPr>
                    <w:t>本项目属于C2231</w:t>
                  </w:r>
                  <w:r>
                    <w:rPr>
                      <w:rFonts w:hint="default"/>
                      <w:b w:val="0"/>
                      <w:bCs/>
                      <w:lang w:val="zh-CN"/>
                    </w:rPr>
                    <w:t>纸和纸板容器制造，</w:t>
                  </w:r>
                  <w:r>
                    <w:rPr>
                      <w:rFonts w:hint="default"/>
                      <w:b w:val="0"/>
                      <w:bCs/>
                    </w:rPr>
                    <w:t>对照国家发改委《产业结构调整指导目录（2024年本）》，本项目不属于限制类或淘汰类项目，不在园区准入负面清单内，视为允许建设项目</w:t>
                  </w:r>
                  <w:r>
                    <w:rPr>
                      <w:rFonts w:hint="default"/>
                      <w:b w:val="0"/>
                      <w:bCs/>
                      <w:lang w:val="zh-CN"/>
                    </w:rPr>
                    <w:t>。</w:t>
                  </w:r>
                  <w:r>
                    <w:rPr>
                      <w:rFonts w:hint="default"/>
                      <w:b w:val="0"/>
                      <w:bCs/>
                      <w:lang w:val="en-US"/>
                    </w:rPr>
                    <w:t>使用清洁能源和节能设备，项目环境</w:t>
                  </w:r>
                  <w:r>
                    <w:rPr>
                      <w:rFonts w:hint="default"/>
                      <w:b w:val="0"/>
                      <w:bCs/>
                    </w:rPr>
                    <w:t>污染小，能耗低。</w:t>
                  </w:r>
                  <w:r>
                    <w:rPr>
                      <w:rFonts w:hint="default"/>
                      <w:b w:val="0"/>
                      <w:bCs/>
                      <w:lang w:val="en-US"/>
                    </w:rPr>
                    <w:t>对照《安徽省”两高”项目管理目录》（2022年试行），</w:t>
                  </w:r>
                  <w:r>
                    <w:rPr>
                      <w:rFonts w:hint="default"/>
                      <w:b w:val="0"/>
                      <w:bCs/>
                      <w:szCs w:val="21"/>
                    </w:rPr>
                    <w:t>不属于</w:t>
                  </w:r>
                  <w:r>
                    <w:rPr>
                      <w:rFonts w:hint="default"/>
                      <w:b w:val="0"/>
                      <w:bCs/>
                    </w:rPr>
                    <w:t>高能耗、高水耗项目，符合产业园准入和生态环境准入要求。</w:t>
                  </w:r>
                </w:p>
              </w:tc>
              <w:tc>
                <w:tcPr>
                  <w:tcW w:w="534" w:type="pct"/>
                  <w:tcMar>
                    <w:left w:w="57" w:type="dxa"/>
                    <w:right w:w="57" w:type="dxa"/>
                  </w:tcMar>
                  <w:vAlign w:val="center"/>
                </w:tcPr>
                <w:p w14:paraId="4312A7BC">
                  <w:pPr>
                    <w:pStyle w:val="45"/>
                    <w:ind w:firstLine="0" w:firstLineChars="0"/>
                    <w:jc w:val="center"/>
                    <w:rPr>
                      <w:rFonts w:hint="default" w:ascii="Times New Roman" w:hAnsi="Times New Roman" w:cs="Times New Roman"/>
                    </w:rPr>
                  </w:pPr>
                  <w:r>
                    <w:rPr>
                      <w:rFonts w:hint="default" w:ascii="Times New Roman" w:hAnsi="Times New Roman" w:cs="Times New Roman"/>
                    </w:rPr>
                    <w:t>符合</w:t>
                  </w:r>
                </w:p>
              </w:tc>
            </w:tr>
            <w:tr w14:paraId="428F0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407" w:type="pct"/>
                  <w:shd w:val="clear" w:color="auto" w:fill="auto"/>
                  <w:tcMar>
                    <w:left w:w="57" w:type="dxa"/>
                    <w:right w:w="57" w:type="dxa"/>
                  </w:tcMar>
                  <w:vAlign w:val="center"/>
                </w:tcPr>
                <w:p w14:paraId="7FEEF53A">
                  <w:pPr>
                    <w:pStyle w:val="46"/>
                    <w:framePr w:hSpace="0" w:wrap="auto" w:vAnchor="margin" w:hAnchor="text" w:xAlign="left" w:yAlign="inline"/>
                    <w:jc w:val="left"/>
                    <w:rPr>
                      <w:b w:val="0"/>
                      <w:bCs/>
                    </w:rPr>
                  </w:pPr>
                  <w:r>
                    <w:rPr>
                      <w:rFonts w:hint="default"/>
                      <w:b w:val="0"/>
                      <w:bCs/>
                    </w:rPr>
                    <w:t>（六）提升环境管理水平，加强生态环境风险防控</w:t>
                  </w:r>
                </w:p>
                <w:p w14:paraId="4905D0EB">
                  <w:pPr>
                    <w:pStyle w:val="46"/>
                    <w:framePr w:hSpace="0" w:wrap="auto" w:vAnchor="margin" w:hAnchor="text" w:xAlign="left" w:yAlign="inline"/>
                    <w:jc w:val="left"/>
                    <w:rPr>
                      <w:rFonts w:hint="default" w:ascii="Times New Roman" w:hAnsi="Times New Roman" w:eastAsia="宋体" w:cs="Times New Roman"/>
                      <w:b w:val="0"/>
                      <w:bCs/>
                      <w:kern w:val="2"/>
                      <w:sz w:val="21"/>
                      <w:szCs w:val="21"/>
                      <w:lang w:val="zh-CN" w:eastAsia="zh-CN" w:bidi="ar-SA"/>
                    </w:rPr>
                  </w:pPr>
                  <w:r>
                    <w:rPr>
                      <w:rFonts w:hint="default"/>
                      <w:b w:val="0"/>
                      <w:bCs/>
                    </w:rPr>
                    <w:t>着力提升开发区环境管理水平，统筹考虑区域内污染物排放、大气环境保护、水环境保护、环境风险防范、环境管理等要求，加强日常环境监管与监测。做好开发区重大环境风险源的识别与管控，落实环境风险防控措施，确保事故废水与外环境有效隔离、及时处置。在规划实施过程中，适时开展规划环境影响的跟踪评价。结合规划环评及跟踪评价成果，同步更新“区域评估+环境标准”成果，若规划发生重大调整或修订的，应重新或补充进行环境影响评价。</w:t>
                  </w:r>
                </w:p>
              </w:tc>
              <w:tc>
                <w:tcPr>
                  <w:tcW w:w="2057" w:type="pct"/>
                  <w:shd w:val="clear" w:color="auto" w:fill="auto"/>
                  <w:tcMar>
                    <w:left w:w="57" w:type="dxa"/>
                    <w:right w:w="57" w:type="dxa"/>
                  </w:tcMar>
                  <w:vAlign w:val="center"/>
                </w:tcPr>
                <w:p w14:paraId="192FE125">
                  <w:pPr>
                    <w:pStyle w:val="46"/>
                    <w:framePr w:hSpace="0" w:wrap="auto" w:vAnchor="margin" w:hAnchor="text" w:xAlign="left" w:yAlign="inline"/>
                    <w:jc w:val="left"/>
                    <w:rPr>
                      <w:rFonts w:hint="default" w:ascii="Times New Roman" w:hAnsi="Times New Roman" w:eastAsia="宋体" w:cs="Times New Roman"/>
                      <w:b w:val="0"/>
                      <w:bCs/>
                      <w:kern w:val="2"/>
                      <w:sz w:val="21"/>
                      <w:szCs w:val="21"/>
                      <w:lang w:val="zh-CN" w:eastAsia="zh-CN" w:bidi="ar-SA"/>
                    </w:rPr>
                  </w:pPr>
                  <w:r>
                    <w:rPr>
                      <w:rFonts w:hint="default"/>
                      <w:b w:val="0"/>
                      <w:bCs/>
                    </w:rPr>
                    <w:t>本项目选址位于安徽普特机械制造有限公司内厂房，属于C2231</w:t>
                  </w:r>
                  <w:r>
                    <w:rPr>
                      <w:rFonts w:hint="default"/>
                      <w:b w:val="0"/>
                      <w:bCs/>
                      <w:lang w:val="zh-CN"/>
                    </w:rPr>
                    <w:t>纸和纸板容器制造</w:t>
                  </w:r>
                  <w:r>
                    <w:rPr>
                      <w:rFonts w:hint="default"/>
                      <w:b w:val="0"/>
                      <w:bCs/>
                    </w:rPr>
                    <w:t>，</w:t>
                  </w:r>
                  <w:r>
                    <w:rPr>
                      <w:rFonts w:hint="default"/>
                      <w:b w:val="0"/>
                      <w:bCs/>
                      <w:lang w:val="en-US"/>
                    </w:rPr>
                    <w:t>采用清洁生产工艺且不属于污染严重、有重大环境风险隐患、高能耗、高水耗的项目，符合国家产业政策、环保政策及高新区入园产业要求；同时对项目可能涉及的污染及污染途径制定环境风险防范措施，落实环评要求，编制突发环境事件应急预案，杜绝环境风险事故发生。</w:t>
                  </w:r>
                </w:p>
              </w:tc>
              <w:tc>
                <w:tcPr>
                  <w:tcW w:w="534" w:type="pct"/>
                  <w:tcMar>
                    <w:left w:w="57" w:type="dxa"/>
                    <w:right w:w="57" w:type="dxa"/>
                  </w:tcMar>
                  <w:vAlign w:val="center"/>
                </w:tcPr>
                <w:p w14:paraId="3D9AE4E9">
                  <w:pPr>
                    <w:pStyle w:val="45"/>
                    <w:ind w:firstLine="0" w:firstLineChars="0"/>
                    <w:jc w:val="center"/>
                    <w:rPr>
                      <w:rFonts w:hint="default" w:ascii="Times New Roman" w:hAnsi="Times New Roman" w:cs="Times New Roman"/>
                    </w:rPr>
                  </w:pPr>
                  <w:r>
                    <w:rPr>
                      <w:rFonts w:hint="default" w:ascii="Times New Roman" w:hAnsi="Times New Roman" w:cs="Times New Roman"/>
                    </w:rPr>
                    <w:t>符合</w:t>
                  </w:r>
                </w:p>
              </w:tc>
            </w:tr>
          </w:tbl>
          <w:p w14:paraId="4E0758CE">
            <w:pPr>
              <w:pStyle w:val="45"/>
              <w:ind w:firstLineChars="200"/>
              <w:rPr>
                <w:rFonts w:hint="default" w:ascii="Times New Roman" w:hAnsi="Times New Roman" w:cs="Times New Roman"/>
              </w:rPr>
            </w:pPr>
            <w:r>
              <w:rPr>
                <w:rFonts w:hint="default" w:ascii="Times New Roman" w:hAnsi="Times New Roman" w:cs="Times New Roman"/>
              </w:rPr>
              <w:t>根据上表可知，本项目与《淮南高新技术产业开发区总体发展规划（2024~2035年）（主导产业变更）环境影响评价报告书》规划环评及审查意见相符。</w:t>
            </w:r>
          </w:p>
        </w:tc>
      </w:tr>
      <w:tr w14:paraId="547447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830" w:type="dxa"/>
            <w:vAlign w:val="center"/>
          </w:tcPr>
          <w:p w14:paraId="6A113100">
            <w:pPr>
              <w:jc w:val="center"/>
              <w:rPr>
                <w:rFonts w:hint="default" w:ascii="Times New Roman" w:hAnsi="Times New Roman" w:cs="Times New Roman"/>
              </w:rPr>
            </w:pPr>
            <w:r>
              <w:rPr>
                <w:rFonts w:hint="default" w:ascii="Times New Roman" w:hAnsi="Times New Roman" w:cs="Times New Roman"/>
              </w:rPr>
              <w:t>其他符合性分析</w:t>
            </w:r>
          </w:p>
        </w:tc>
        <w:tc>
          <w:tcPr>
            <w:tcW w:w="8208" w:type="dxa"/>
            <w:gridSpan w:val="5"/>
            <w:vAlign w:val="center"/>
          </w:tcPr>
          <w:p w14:paraId="3091B47A">
            <w:pPr>
              <w:snapToGrid w:val="0"/>
              <w:spacing w:line="460" w:lineRule="exact"/>
              <w:ind w:firstLine="0" w:firstLineChars="0"/>
              <w:rPr>
                <w:b/>
                <w:bCs w:val="0"/>
                <w:kern w:val="0"/>
                <w:szCs w:val="20"/>
              </w:rPr>
            </w:pPr>
            <w:r>
              <w:rPr>
                <w:b/>
                <w:bCs w:val="0"/>
                <w:kern w:val="0"/>
                <w:szCs w:val="20"/>
              </w:rPr>
              <w:t>1、产业政策符合性分析</w:t>
            </w:r>
          </w:p>
          <w:p w14:paraId="13D58EC9">
            <w:pPr>
              <w:pStyle w:val="45"/>
              <w:wordWrap/>
              <w:adjustRightInd w:val="0"/>
              <w:snapToGrid w:val="0"/>
              <w:ind w:firstLineChars="0"/>
              <w:rPr>
                <w:rFonts w:hint="default"/>
                <w:kern w:val="0"/>
                <w:szCs w:val="20"/>
              </w:rPr>
            </w:pPr>
            <w:r>
              <w:rPr>
                <w:rFonts w:hint="default"/>
                <w:kern w:val="0"/>
                <w:szCs w:val="20"/>
              </w:rPr>
              <w:t>根据《国民经济行业分类与代码》（GB/T4754-2017），本项目属于C2231纸和纸板容器制造，对照国家发改委《产业结构调整指导目录（2024年本）》和《安徽省工业产业结构调整指导目录（2007年本）》，本项目产品生产规模、生产工艺和生产工艺装备不属于产业结构调整指导目录中鼓励类、限制类和淘汰类，不在园区准入负面清单内，可视为允许类建设项目。同时，项目已取得了淮南市谢家集区发展和改革委员会出具的备案文件，项目编码为2506-340404-04-01-929604。因此，本项目建设符合国家及地方的现行产业政策要求。</w:t>
            </w:r>
          </w:p>
          <w:p w14:paraId="02D37AB5">
            <w:pPr>
              <w:snapToGrid w:val="0"/>
              <w:spacing w:line="460" w:lineRule="exact"/>
              <w:ind w:firstLine="0" w:firstLineChars="0"/>
              <w:rPr>
                <w:b/>
                <w:bCs w:val="0"/>
                <w:kern w:val="0"/>
                <w:szCs w:val="20"/>
              </w:rPr>
            </w:pPr>
            <w:r>
              <w:rPr>
                <w:b/>
                <w:bCs w:val="0"/>
                <w:kern w:val="0"/>
                <w:szCs w:val="20"/>
              </w:rPr>
              <w:t>2、与“三线一单”符合性分析</w:t>
            </w:r>
          </w:p>
          <w:p w14:paraId="06172263">
            <w:pPr>
              <w:pStyle w:val="45"/>
              <w:wordWrap/>
              <w:adjustRightInd w:val="0"/>
              <w:snapToGrid w:val="0"/>
              <w:ind w:firstLineChars="0"/>
              <w:rPr>
                <w:rFonts w:hint="default"/>
                <w:b w:val="0"/>
                <w:kern w:val="0"/>
                <w:sz w:val="24"/>
                <w:szCs w:val="20"/>
              </w:rPr>
            </w:pPr>
            <w:r>
              <w:rPr>
                <w:kern w:val="0"/>
                <w:szCs w:val="20"/>
              </w:rPr>
              <w:t>根据环境保护部环评[2016]150号《关于以改善环境质量为核心加强环境影响评价管理的通知》要求：为适应以改善环境质量为核心的环境管理要求，切实加强环境影响评价（以下简称环评）管理，落实“生态保护红线、环境质量底线、资源利用上线和生态环境准入清单”（以下简称“三线一单”）约束，建立项目环评审批与规划环评、现有项目环境管理、区域环境质量联动机制，更好地发挥环评制度从源头防范环境污染和生态破坏的作用，加快推进改善环境质量。</w:t>
            </w:r>
          </w:p>
          <w:p w14:paraId="408EDF06">
            <w:pPr>
              <w:pStyle w:val="44"/>
              <w:framePr w:hSpace="0" w:wrap="auto" w:vAnchor="margin" w:hAnchor="text" w:xAlign="left" w:yAlign="inline"/>
              <w:spacing w:line="360" w:lineRule="auto"/>
              <w:ind w:firstLine="0"/>
              <w:rPr>
                <w:b/>
                <w:kern w:val="0"/>
                <w:sz w:val="21"/>
                <w:szCs w:val="20"/>
              </w:rPr>
            </w:pPr>
            <w:r>
              <w:rPr>
                <w:b/>
                <w:kern w:val="0"/>
                <w:sz w:val="21"/>
                <w:szCs w:val="20"/>
              </w:rPr>
              <w:t>表 1-</w:t>
            </w:r>
            <w:r>
              <w:rPr>
                <w:b/>
                <w:kern w:val="0"/>
                <w:sz w:val="21"/>
                <w:szCs w:val="20"/>
              </w:rPr>
              <w:fldChar w:fldCharType="begin"/>
            </w:r>
            <w:r>
              <w:rPr>
                <w:b/>
                <w:kern w:val="0"/>
                <w:sz w:val="21"/>
                <w:szCs w:val="20"/>
              </w:rPr>
              <w:instrText xml:space="preserve"> SEQ 表 \* ARABIC \s 1 </w:instrText>
            </w:r>
            <w:r>
              <w:rPr>
                <w:b/>
                <w:kern w:val="0"/>
                <w:sz w:val="21"/>
                <w:szCs w:val="20"/>
              </w:rPr>
              <w:fldChar w:fldCharType="separate"/>
            </w:r>
            <w:r>
              <w:rPr>
                <w:b/>
                <w:kern w:val="0"/>
                <w:sz w:val="21"/>
                <w:szCs w:val="20"/>
              </w:rPr>
              <w:t>4</w:t>
            </w:r>
            <w:r>
              <w:rPr>
                <w:b/>
                <w:kern w:val="0"/>
                <w:sz w:val="21"/>
                <w:szCs w:val="20"/>
              </w:rPr>
              <w:fldChar w:fldCharType="end"/>
            </w:r>
            <w:r>
              <w:rPr>
                <w:b/>
                <w:kern w:val="0"/>
                <w:sz w:val="21"/>
                <w:szCs w:val="20"/>
              </w:rPr>
              <w:t xml:space="preserve"> 本项目与淮南市“三线一单”符合性分析一览表</w:t>
            </w:r>
          </w:p>
          <w:tbl>
            <w:tblPr>
              <w:tblStyle w:val="21"/>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707"/>
              <w:gridCol w:w="2647"/>
              <w:gridCol w:w="3465"/>
              <w:gridCol w:w="1163"/>
            </w:tblGrid>
            <w:tr w14:paraId="49B9A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221" w:hRule="atLeast"/>
              </w:trPr>
              <w:tc>
                <w:tcPr>
                  <w:tcW w:w="443" w:type="pct"/>
                  <w:vAlign w:val="center"/>
                </w:tcPr>
                <w:p w14:paraId="440EB659">
                  <w:pPr>
                    <w:pStyle w:val="29"/>
                    <w:overflowPunct w:val="0"/>
                    <w:autoSpaceDE w:val="0"/>
                    <w:autoSpaceDN w:val="0"/>
                    <w:rPr>
                      <w:b/>
                      <w:bCs/>
                      <w:sz w:val="21"/>
                      <w:szCs w:val="21"/>
                    </w:rPr>
                  </w:pPr>
                  <w:r>
                    <w:rPr>
                      <w:b/>
                      <w:bCs/>
                      <w:sz w:val="21"/>
                      <w:szCs w:val="21"/>
                    </w:rPr>
                    <w:t>内容</w:t>
                  </w:r>
                </w:p>
              </w:tc>
              <w:tc>
                <w:tcPr>
                  <w:tcW w:w="1658" w:type="pct"/>
                  <w:vAlign w:val="center"/>
                </w:tcPr>
                <w:p w14:paraId="03764256">
                  <w:pPr>
                    <w:pStyle w:val="29"/>
                    <w:overflowPunct w:val="0"/>
                    <w:autoSpaceDE w:val="0"/>
                    <w:autoSpaceDN w:val="0"/>
                    <w:rPr>
                      <w:b/>
                      <w:bCs/>
                      <w:sz w:val="21"/>
                      <w:szCs w:val="21"/>
                    </w:rPr>
                  </w:pPr>
                  <w:r>
                    <w:rPr>
                      <w:b/>
                      <w:bCs/>
                      <w:sz w:val="21"/>
                      <w:szCs w:val="21"/>
                    </w:rPr>
                    <w:t>文件要求</w:t>
                  </w:r>
                </w:p>
              </w:tc>
              <w:tc>
                <w:tcPr>
                  <w:tcW w:w="2170" w:type="pct"/>
                  <w:vAlign w:val="center"/>
                </w:tcPr>
                <w:p w14:paraId="6ADB9416">
                  <w:pPr>
                    <w:pStyle w:val="29"/>
                    <w:overflowPunct w:val="0"/>
                    <w:autoSpaceDE w:val="0"/>
                    <w:autoSpaceDN w:val="0"/>
                    <w:rPr>
                      <w:b/>
                      <w:bCs/>
                      <w:sz w:val="21"/>
                      <w:szCs w:val="21"/>
                    </w:rPr>
                  </w:pPr>
                  <w:r>
                    <w:rPr>
                      <w:b/>
                      <w:bCs/>
                      <w:sz w:val="21"/>
                      <w:szCs w:val="21"/>
                    </w:rPr>
                    <w:t>本项目情况对照简析</w:t>
                  </w:r>
                </w:p>
              </w:tc>
              <w:tc>
                <w:tcPr>
                  <w:tcW w:w="728" w:type="pct"/>
                  <w:vAlign w:val="center"/>
                </w:tcPr>
                <w:p w14:paraId="04CD0EB3">
                  <w:pPr>
                    <w:pStyle w:val="29"/>
                    <w:overflowPunct w:val="0"/>
                    <w:autoSpaceDE w:val="0"/>
                    <w:autoSpaceDN w:val="0"/>
                    <w:rPr>
                      <w:b/>
                      <w:bCs/>
                      <w:sz w:val="21"/>
                      <w:szCs w:val="21"/>
                    </w:rPr>
                  </w:pPr>
                  <w:r>
                    <w:rPr>
                      <w:b/>
                      <w:bCs/>
                      <w:sz w:val="21"/>
                      <w:szCs w:val="21"/>
                    </w:rPr>
                    <w:t>分析结果</w:t>
                  </w:r>
                </w:p>
              </w:tc>
            </w:tr>
            <w:tr w14:paraId="1C09F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315" w:hRule="atLeast"/>
              </w:trPr>
              <w:tc>
                <w:tcPr>
                  <w:tcW w:w="443" w:type="pct"/>
                  <w:vAlign w:val="center"/>
                </w:tcPr>
                <w:p w14:paraId="719BC830">
                  <w:pPr>
                    <w:pStyle w:val="29"/>
                    <w:overflowPunct w:val="0"/>
                    <w:autoSpaceDE w:val="0"/>
                    <w:autoSpaceDN w:val="0"/>
                    <w:rPr>
                      <w:sz w:val="21"/>
                      <w:szCs w:val="21"/>
                    </w:rPr>
                  </w:pPr>
                  <w:r>
                    <w:rPr>
                      <w:sz w:val="21"/>
                      <w:szCs w:val="21"/>
                    </w:rPr>
                    <w:t>生态保护红线</w:t>
                  </w:r>
                </w:p>
              </w:tc>
              <w:tc>
                <w:tcPr>
                  <w:tcW w:w="1658" w:type="pct"/>
                  <w:vAlign w:val="center"/>
                </w:tcPr>
                <w:p w14:paraId="005BC26B">
                  <w:pPr>
                    <w:pStyle w:val="46"/>
                    <w:overflowPunct w:val="0"/>
                    <w:autoSpaceDE w:val="0"/>
                    <w:autoSpaceDN w:val="0"/>
                    <w:jc w:val="both"/>
                    <w:rPr>
                      <w:rFonts w:hint="default"/>
                      <w:b w:val="0"/>
                      <w:bCs/>
                    </w:rPr>
                  </w:pPr>
                  <w:r>
                    <w:rPr>
                      <w:rFonts w:hint="default"/>
                      <w:b w:val="0"/>
                      <w:bCs/>
                    </w:rPr>
                    <w:t>生态保护红线是生态空间范围内具有特殊重要生态功能必须实行强制性严格保护的区域。在生态保护红线范围内，严控各类开发建设活动，依法不予审批新建工业项目和矿产开发。</w:t>
                  </w:r>
                </w:p>
              </w:tc>
              <w:tc>
                <w:tcPr>
                  <w:tcW w:w="2170" w:type="pct"/>
                  <w:vAlign w:val="center"/>
                </w:tcPr>
                <w:p w14:paraId="5B3E226A">
                  <w:pPr>
                    <w:pStyle w:val="46"/>
                    <w:overflowPunct w:val="0"/>
                    <w:autoSpaceDE w:val="0"/>
                    <w:autoSpaceDN w:val="0"/>
                    <w:jc w:val="both"/>
                    <w:rPr>
                      <w:rFonts w:hint="default"/>
                      <w:b w:val="0"/>
                      <w:bCs/>
                    </w:rPr>
                  </w:pPr>
                  <w:r>
                    <w:rPr>
                      <w:rFonts w:hint="default"/>
                      <w:b w:val="0"/>
                      <w:bCs/>
                    </w:rPr>
                    <w:t>本项目建设地位于谢家集区，不在生态红线范围内。</w:t>
                  </w:r>
                </w:p>
              </w:tc>
              <w:tc>
                <w:tcPr>
                  <w:tcW w:w="728" w:type="pct"/>
                  <w:vAlign w:val="center"/>
                </w:tcPr>
                <w:p w14:paraId="79BB2867">
                  <w:pPr>
                    <w:pStyle w:val="29"/>
                    <w:overflowPunct w:val="0"/>
                    <w:autoSpaceDE w:val="0"/>
                    <w:autoSpaceDN w:val="0"/>
                    <w:rPr>
                      <w:sz w:val="21"/>
                      <w:szCs w:val="21"/>
                    </w:rPr>
                  </w:pPr>
                  <w:r>
                    <w:rPr>
                      <w:sz w:val="21"/>
                      <w:szCs w:val="21"/>
                    </w:rPr>
                    <w:t>符合</w:t>
                  </w:r>
                </w:p>
              </w:tc>
            </w:tr>
            <w:tr w14:paraId="4B597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443" w:type="pct"/>
                  <w:vAlign w:val="center"/>
                </w:tcPr>
                <w:p w14:paraId="451164A6">
                  <w:pPr>
                    <w:pStyle w:val="29"/>
                    <w:overflowPunct w:val="0"/>
                    <w:autoSpaceDE w:val="0"/>
                    <w:autoSpaceDN w:val="0"/>
                    <w:rPr>
                      <w:sz w:val="21"/>
                      <w:szCs w:val="21"/>
                    </w:rPr>
                  </w:pPr>
                  <w:r>
                    <w:rPr>
                      <w:sz w:val="21"/>
                      <w:szCs w:val="21"/>
                    </w:rPr>
                    <w:t>环境质量底线</w:t>
                  </w:r>
                </w:p>
              </w:tc>
              <w:tc>
                <w:tcPr>
                  <w:tcW w:w="1658" w:type="pct"/>
                  <w:vAlign w:val="center"/>
                </w:tcPr>
                <w:p w14:paraId="474EFF15">
                  <w:pPr>
                    <w:pStyle w:val="46"/>
                    <w:overflowPunct w:val="0"/>
                    <w:autoSpaceDE w:val="0"/>
                    <w:autoSpaceDN w:val="0"/>
                    <w:jc w:val="both"/>
                    <w:rPr>
                      <w:rFonts w:hint="default"/>
                      <w:b w:val="0"/>
                      <w:bCs/>
                    </w:rPr>
                  </w:pPr>
                  <w:r>
                    <w:rPr>
                      <w:rFonts w:hint="default"/>
                      <w:b w:val="0"/>
                      <w:bCs/>
                    </w:rPr>
                    <w:t>环境质量现状超标地区以及未达到环境质量目标考核要求的地区上新项目将受到限制；对环境质量现状超标的地区，项目拟采取的措施不能满足区域环境质量改善目标管理要求的，依法不予审批其环评文件。</w:t>
                  </w:r>
                </w:p>
              </w:tc>
              <w:tc>
                <w:tcPr>
                  <w:tcW w:w="2170" w:type="pct"/>
                  <w:vAlign w:val="center"/>
                </w:tcPr>
                <w:p w14:paraId="3C9CAD1C">
                  <w:pPr>
                    <w:pStyle w:val="46"/>
                    <w:overflowPunct w:val="0"/>
                    <w:autoSpaceDE w:val="0"/>
                    <w:autoSpaceDN w:val="0"/>
                    <w:jc w:val="both"/>
                    <w:rPr>
                      <w:rFonts w:hint="default"/>
                      <w:b w:val="0"/>
                      <w:bCs/>
                    </w:rPr>
                  </w:pPr>
                  <w:r>
                    <w:rPr>
                      <w:rFonts w:hint="default"/>
                      <w:b w:val="0"/>
                      <w:bCs/>
                      <w:lang w:val="zh-CN"/>
                    </w:rPr>
                    <w:t>根据《</w:t>
                  </w:r>
                  <w:r>
                    <w:rPr>
                      <w:rFonts w:hint="default"/>
                      <w:b w:val="0"/>
                      <w:bCs/>
                    </w:rPr>
                    <w:t>2024年淮南市生态环境质量状况公报</w:t>
                  </w:r>
                  <w:r>
                    <w:rPr>
                      <w:rFonts w:hint="default"/>
                      <w:b w:val="0"/>
                      <w:bCs/>
                      <w:lang w:val="zh-CN"/>
                    </w:rPr>
                    <w:t>》，本项目所在区域为大气环境</w:t>
                  </w:r>
                  <w:r>
                    <w:rPr>
                      <w:rFonts w:hint="default"/>
                      <w:b w:val="0"/>
                      <w:bCs/>
                    </w:rPr>
                    <w:t>PM</w:t>
                  </w:r>
                  <w:r>
                    <w:rPr>
                      <w:rFonts w:hint="default"/>
                      <w:b w:val="0"/>
                      <w:bCs/>
                      <w:vertAlign w:val="subscript"/>
                    </w:rPr>
                    <w:t>2.5</w:t>
                  </w:r>
                  <w:r>
                    <w:rPr>
                      <w:rFonts w:hint="default"/>
                      <w:b w:val="0"/>
                      <w:bCs/>
                      <w:lang w:val="zh-CN"/>
                    </w:rPr>
                    <w:t>不达标区，</w:t>
                  </w:r>
                  <w:r>
                    <w:rPr>
                      <w:rFonts w:hint="default"/>
                      <w:b w:val="0"/>
                      <w:bCs/>
                    </w:rPr>
                    <w:t>为进一步缓解大气不达标情况，改善淮南市环境空气质量，淮南市通过集中专项整治“小散乱污”企业、企业清洁生产技术改造、小锅炉升级改造、燃煤机组超低排放改造，整治散装物料堆场，督促企业完成挥发性有机物整改任务等措施改善环境空气质量；根据《2025年5月淮南市环境质量月报》地表水总体状况，</w:t>
                  </w:r>
                  <w:r>
                    <w:rPr>
                      <w:rFonts w:hint="default"/>
                      <w:b w:val="0"/>
                      <w:bCs/>
                      <w:lang w:val="zh-CN"/>
                    </w:rPr>
                    <w:t>区域地表水淮河各监测断面水质保持稳定；</w:t>
                  </w:r>
                  <w:r>
                    <w:rPr>
                      <w:rFonts w:hint="default"/>
                      <w:b w:val="0"/>
                      <w:bCs/>
                    </w:rPr>
                    <w:t>员工生活污水进入化粪池处理后经市政污水管网排入</w:t>
                  </w:r>
                  <w:r>
                    <w:rPr>
                      <w:rFonts w:hint="default" w:ascii="Times New Roman" w:hAnsi="Times New Roman" w:cs="Times New Roman"/>
                      <w:b w:val="0"/>
                      <w:bCs/>
                      <w:lang w:eastAsia="zh-CN"/>
                    </w:rPr>
                    <w:t>淮南首创八公山污水处理厂</w:t>
                  </w:r>
                  <w:r>
                    <w:rPr>
                      <w:rFonts w:hint="default"/>
                      <w:b w:val="0"/>
                      <w:bCs/>
                    </w:rPr>
                    <w:t>；</w:t>
                  </w:r>
                  <w:r>
                    <w:rPr>
                      <w:rFonts w:hint="default" w:ascii="Times New Roman" w:hAnsi="Times New Roman" w:cs="Times New Roman"/>
                      <w:b w:val="0"/>
                      <w:bCs/>
                      <w:snapToGrid/>
                      <w:shd w:val="clear" w:color="auto" w:fill="FFFFFF"/>
                    </w:rPr>
                    <w:t>锅炉废水经新建排污口DW001依托园区污水管网排入</w:t>
                  </w:r>
                  <w:r>
                    <w:rPr>
                      <w:rFonts w:hint="default" w:ascii="Times New Roman" w:hAnsi="Times New Roman" w:cs="Times New Roman"/>
                      <w:b w:val="0"/>
                      <w:bCs/>
                      <w:lang w:eastAsia="zh-CN"/>
                    </w:rPr>
                    <w:t>淮南首创八公山污水处理厂</w:t>
                  </w:r>
                  <w:r>
                    <w:rPr>
                      <w:rFonts w:hint="default"/>
                      <w:b w:val="0"/>
                      <w:bCs/>
                    </w:rPr>
                    <w:t>处理。区域声环境质量达到《声环境质量标准》（GB3096-2008）3类区标准。该项目运营过程中会产生一定的污染物，采取相应的污染防治措施后，各类污染物的排放对周围环境造成的影响较小，不会降低当地环境质量，不会触碰区域环境质量底线。</w:t>
                  </w:r>
                </w:p>
              </w:tc>
              <w:tc>
                <w:tcPr>
                  <w:tcW w:w="728" w:type="pct"/>
                  <w:vAlign w:val="center"/>
                </w:tcPr>
                <w:p w14:paraId="61A9D4E6">
                  <w:pPr>
                    <w:pStyle w:val="29"/>
                    <w:overflowPunct w:val="0"/>
                    <w:autoSpaceDE w:val="0"/>
                    <w:autoSpaceDN w:val="0"/>
                    <w:rPr>
                      <w:sz w:val="21"/>
                      <w:szCs w:val="21"/>
                    </w:rPr>
                  </w:pPr>
                  <w:r>
                    <w:rPr>
                      <w:sz w:val="21"/>
                      <w:szCs w:val="21"/>
                    </w:rPr>
                    <w:t>符合</w:t>
                  </w:r>
                </w:p>
              </w:tc>
            </w:tr>
            <w:tr w14:paraId="3F9E7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443" w:type="pct"/>
                  <w:vAlign w:val="center"/>
                </w:tcPr>
                <w:p w14:paraId="4166A4BD">
                  <w:pPr>
                    <w:pStyle w:val="29"/>
                    <w:overflowPunct w:val="0"/>
                    <w:autoSpaceDE w:val="0"/>
                    <w:autoSpaceDN w:val="0"/>
                    <w:rPr>
                      <w:sz w:val="21"/>
                      <w:szCs w:val="21"/>
                    </w:rPr>
                  </w:pPr>
                  <w:r>
                    <w:rPr>
                      <w:sz w:val="21"/>
                      <w:szCs w:val="21"/>
                    </w:rPr>
                    <w:t>资源 利用 上线</w:t>
                  </w:r>
                </w:p>
              </w:tc>
              <w:tc>
                <w:tcPr>
                  <w:tcW w:w="1658" w:type="pct"/>
                  <w:vAlign w:val="center"/>
                </w:tcPr>
                <w:p w14:paraId="19CAB111">
                  <w:pPr>
                    <w:pStyle w:val="46"/>
                    <w:overflowPunct w:val="0"/>
                    <w:autoSpaceDE w:val="0"/>
                    <w:autoSpaceDN w:val="0"/>
                    <w:jc w:val="both"/>
                    <w:rPr>
                      <w:rFonts w:hint="default"/>
                      <w:b w:val="0"/>
                      <w:bCs/>
                    </w:rPr>
                  </w:pPr>
                  <w:r>
                    <w:rPr>
                      <w:rFonts w:hint="default"/>
                      <w:b w:val="0"/>
                      <w:bCs/>
                    </w:rPr>
                    <w:t>依据有关资源利用上线要求，即各地区能源、水、土地等资源消耗是不得突破的“天花板”。</w:t>
                  </w:r>
                </w:p>
              </w:tc>
              <w:tc>
                <w:tcPr>
                  <w:tcW w:w="2170" w:type="pct"/>
                  <w:vAlign w:val="center"/>
                </w:tcPr>
                <w:p w14:paraId="0FF79AD1">
                  <w:pPr>
                    <w:pStyle w:val="46"/>
                    <w:overflowPunct w:val="0"/>
                    <w:autoSpaceDE w:val="0"/>
                    <w:autoSpaceDN w:val="0"/>
                    <w:jc w:val="both"/>
                    <w:rPr>
                      <w:rFonts w:hint="default"/>
                      <w:b w:val="0"/>
                      <w:bCs/>
                    </w:rPr>
                  </w:pPr>
                  <w:r>
                    <w:rPr>
                      <w:rFonts w:hint="default"/>
                      <w:b w:val="0"/>
                      <w:bCs/>
                    </w:rPr>
                    <w:t>本项目运营过程主要资源消耗为电能和天然气 ，由市政供电供给，对当地能源、水、土地资源影响不大，不会超出当地资源利用上线。</w:t>
                  </w:r>
                </w:p>
              </w:tc>
              <w:tc>
                <w:tcPr>
                  <w:tcW w:w="728" w:type="pct"/>
                  <w:vAlign w:val="center"/>
                </w:tcPr>
                <w:p w14:paraId="28FAFBE6">
                  <w:pPr>
                    <w:pStyle w:val="29"/>
                    <w:overflowPunct w:val="0"/>
                    <w:autoSpaceDE w:val="0"/>
                    <w:autoSpaceDN w:val="0"/>
                    <w:rPr>
                      <w:sz w:val="21"/>
                      <w:szCs w:val="21"/>
                    </w:rPr>
                  </w:pPr>
                  <w:r>
                    <w:rPr>
                      <w:sz w:val="21"/>
                      <w:szCs w:val="21"/>
                    </w:rPr>
                    <w:t>符合</w:t>
                  </w:r>
                </w:p>
              </w:tc>
            </w:tr>
            <w:tr w14:paraId="0AB8E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443" w:type="pct"/>
                  <w:vAlign w:val="center"/>
                </w:tcPr>
                <w:p w14:paraId="3CE1A92F">
                  <w:pPr>
                    <w:pStyle w:val="29"/>
                    <w:overflowPunct w:val="0"/>
                    <w:autoSpaceDE w:val="0"/>
                    <w:autoSpaceDN w:val="0"/>
                    <w:rPr>
                      <w:sz w:val="21"/>
                      <w:szCs w:val="21"/>
                    </w:rPr>
                  </w:pPr>
                  <w:r>
                    <w:rPr>
                      <w:sz w:val="21"/>
                      <w:szCs w:val="21"/>
                    </w:rPr>
                    <w:t>生态环境准入负面清单</w:t>
                  </w:r>
                </w:p>
              </w:tc>
              <w:tc>
                <w:tcPr>
                  <w:tcW w:w="1658" w:type="pct"/>
                  <w:vAlign w:val="center"/>
                </w:tcPr>
                <w:p w14:paraId="382454C7">
                  <w:pPr>
                    <w:pStyle w:val="46"/>
                    <w:overflowPunct w:val="0"/>
                    <w:autoSpaceDE w:val="0"/>
                    <w:autoSpaceDN w:val="0"/>
                    <w:jc w:val="both"/>
                    <w:rPr>
                      <w:rFonts w:hint="default"/>
                      <w:b w:val="0"/>
                      <w:bCs/>
                    </w:rPr>
                  </w:pPr>
                  <w:r>
                    <w:rPr>
                      <w:rFonts w:hint="default"/>
                      <w:b w:val="0"/>
                      <w:bCs/>
                    </w:rPr>
                    <w:t>生态环境准入负面清单是基于生态保护红线、环境质量底线和资源利用上线，以清单方式列出的禁止、限制等差别化环境准入条件和要求。要在规划环评清单式管理试点的基础上，从布局选址、资源利用效率、资源配置方式等方面入手，制定环境准入负面清单，充分发挥负面清单对产业发展和项目准入的指导和约束作用。</w:t>
                  </w:r>
                </w:p>
              </w:tc>
              <w:tc>
                <w:tcPr>
                  <w:tcW w:w="2170" w:type="pct"/>
                  <w:vAlign w:val="center"/>
                </w:tcPr>
                <w:p w14:paraId="64D534ED">
                  <w:pPr>
                    <w:pStyle w:val="46"/>
                    <w:overflowPunct w:val="0"/>
                    <w:autoSpaceDE w:val="0"/>
                    <w:autoSpaceDN w:val="0"/>
                    <w:jc w:val="both"/>
                    <w:rPr>
                      <w:rFonts w:hint="default"/>
                      <w:b w:val="0"/>
                      <w:bCs/>
                    </w:rPr>
                  </w:pPr>
                  <w:r>
                    <w:rPr>
                      <w:rFonts w:hint="default"/>
                      <w:b w:val="0"/>
                      <w:bCs/>
                    </w:rPr>
                    <w:t>本项目属于C2231纸和纸板容器制造，不属于高耗能高污染项目，对照《产业结构调整指导目录》（2024年本）不属于禁止、限制类项目。且该项目已经淮南市谢家集区发展和改革委员会备案。</w:t>
                  </w:r>
                </w:p>
              </w:tc>
              <w:tc>
                <w:tcPr>
                  <w:tcW w:w="728" w:type="pct"/>
                  <w:vAlign w:val="center"/>
                </w:tcPr>
                <w:p w14:paraId="625C51BF">
                  <w:pPr>
                    <w:pStyle w:val="29"/>
                    <w:overflowPunct w:val="0"/>
                    <w:autoSpaceDE w:val="0"/>
                    <w:autoSpaceDN w:val="0"/>
                    <w:rPr>
                      <w:sz w:val="21"/>
                      <w:szCs w:val="21"/>
                    </w:rPr>
                  </w:pPr>
                  <w:r>
                    <w:rPr>
                      <w:sz w:val="21"/>
                      <w:szCs w:val="21"/>
                    </w:rPr>
                    <w:t>符合</w:t>
                  </w:r>
                </w:p>
              </w:tc>
            </w:tr>
          </w:tbl>
          <w:p w14:paraId="730BC93D">
            <w:pPr>
              <w:pStyle w:val="61"/>
              <w:ind w:firstLineChars="200"/>
              <w:rPr>
                <w:b/>
                <w:bCs/>
                <w:kern w:val="0"/>
              </w:rPr>
            </w:pPr>
            <w:r>
              <w:rPr>
                <w:b/>
                <w:bCs/>
                <w:kern w:val="0"/>
              </w:rPr>
              <w:t>3、与淮南市“三线一单”生态管控单元符合性分析</w:t>
            </w:r>
          </w:p>
          <w:p w14:paraId="26342013">
            <w:pPr>
              <w:pStyle w:val="45"/>
              <w:wordWrap/>
              <w:adjustRightInd w:val="0"/>
              <w:snapToGrid w:val="0"/>
              <w:ind w:firstLine="480"/>
              <w:rPr>
                <w:kern w:val="0"/>
                <w:szCs w:val="20"/>
              </w:rPr>
            </w:pPr>
            <w:r>
              <w:rPr>
                <w:kern w:val="0"/>
                <w:szCs w:val="20"/>
              </w:rPr>
              <w:t>本项目位于淮南市谢家集区安徽普特机械制造有限公司厂区内，经查阅“安徽省三线一单公众服务平台”（http://39.145.8.156:1509/ah/public/#/home），本项目所在区域管控单元分类属于“重点管控单元”，涉及的管控单元细类为大气重点和水重点。本项目生态管控单元查询情况如下图所示。</w:t>
            </w:r>
          </w:p>
          <w:p w14:paraId="38BF3692">
            <w:pPr>
              <w:jc w:val="center"/>
              <w:rPr>
                <w:rFonts w:hint="default" w:ascii="Times New Roman" w:hAnsi="Times New Roman" w:cs="Times New Roman"/>
              </w:rPr>
            </w:pPr>
            <w:r>
              <w:rPr>
                <w:rFonts w:hint="default" w:ascii="Times New Roman" w:hAnsi="Times New Roman" w:cs="Times New Roman"/>
              </w:rPr>
              <mc:AlternateContent>
                <mc:Choice Requires="wps">
                  <w:drawing>
                    <wp:anchor distT="0" distB="0" distL="114300" distR="114300" simplePos="0" relativeHeight="251660288" behindDoc="0" locked="0" layoutInCell="1" allowOverlap="1">
                      <wp:simplePos x="0" y="0"/>
                      <wp:positionH relativeFrom="column">
                        <wp:posOffset>2205990</wp:posOffset>
                      </wp:positionH>
                      <wp:positionV relativeFrom="paragraph">
                        <wp:posOffset>1165225</wp:posOffset>
                      </wp:positionV>
                      <wp:extent cx="154305" cy="76200"/>
                      <wp:effectExtent l="17145" t="36195" r="19050" b="40005"/>
                      <wp:wrapNone/>
                      <wp:docPr id="10" name="矩形 10"/>
                      <wp:cNvGraphicFramePr/>
                      <a:graphic xmlns:a="http://schemas.openxmlformats.org/drawingml/2006/main">
                        <a:graphicData uri="http://schemas.microsoft.com/office/word/2010/wordprocessingShape">
                          <wps:wsp>
                            <wps:cNvSpPr/>
                            <wps:spPr>
                              <a:xfrm rot="1440000" flipV="1">
                                <a:off x="3778250" y="2086610"/>
                                <a:ext cx="154305" cy="76200"/>
                              </a:xfrm>
                              <a:prstGeom prst="rect">
                                <a:avLst/>
                              </a:prstGeom>
                              <a:ln>
                                <a:solidFill>
                                  <a:srgbClr val="FF0000"/>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flip:y;margin-left:173.7pt;margin-top:91.75pt;height:6pt;width:12.15pt;rotation:-1572864f;z-index:251660288;v-text-anchor:middle;mso-width-relative:page;mso-height-relative:page;" filled="f" stroked="t" coordsize="21600,21600" o:gfxdata="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GbOXDzZAAAACwEAAA8AAAAAAAAA&#10;AQAgAAAAIgAAAGRycy9kb3ducmV2LnhtbFBLAQIUABQAAAAIAIdO4kCtg/vrggIAAO8EAAAOAAAA&#10;AAAAAAEAIAAAACgBAABkcnMvZTJvRG9jLnhtbFBLBQYAAAAABgAGAFkBAAAcBgAAAAA=&#10;">
                      <v:fill on="f" focussize="0,0"/>
                      <v:stroke weight="1pt" color="#FF0000 [3204]" miterlimit="8" joinstyle="miter"/>
                      <v:imagedata o:title=""/>
                      <o:lock v:ext="edit" aspectratio="f"/>
                    </v:rect>
                  </w:pict>
                </mc:Fallback>
              </mc:AlternateContent>
            </w:r>
            <w:r>
              <w:rPr>
                <w:rFonts w:hint="default" w:ascii="Times New Roman" w:hAnsi="Times New Roman" w:cs="Times New Roman"/>
              </w:rPr>
              <w:drawing>
                <wp:inline distT="0" distB="0" distL="114300" distR="114300">
                  <wp:extent cx="4640580" cy="2590800"/>
                  <wp:effectExtent l="9525" t="9525" r="17145" b="952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22"/>
                          <a:stretch>
                            <a:fillRect/>
                          </a:stretch>
                        </pic:blipFill>
                        <pic:spPr>
                          <a:xfrm>
                            <a:off x="0" y="0"/>
                            <a:ext cx="4640580" cy="2590800"/>
                          </a:xfrm>
                          <a:prstGeom prst="rect">
                            <a:avLst/>
                          </a:prstGeom>
                          <a:noFill/>
                          <a:ln>
                            <a:solidFill>
                              <a:schemeClr val="tx1"/>
                            </a:solidFill>
                          </a:ln>
                        </pic:spPr>
                      </pic:pic>
                    </a:graphicData>
                  </a:graphic>
                </wp:inline>
              </w:drawing>
            </w:r>
          </w:p>
          <w:p w14:paraId="1A9D4553">
            <w:pPr>
              <w:spacing w:line="460" w:lineRule="exact"/>
              <w:jc w:val="center"/>
              <w:rPr>
                <w:rFonts w:hint="default" w:ascii="Times New Roman" w:hAnsi="Times New Roman" w:cs="Times New Roman"/>
                <w:b/>
                <w:kern w:val="0"/>
                <w:sz w:val="21"/>
                <w:szCs w:val="22"/>
              </w:rPr>
            </w:pPr>
            <w:r>
              <w:rPr>
                <w:b/>
                <w:kern w:val="0"/>
                <w:sz w:val="21"/>
                <w:szCs w:val="20"/>
              </w:rPr>
              <w:t>图 1-2 本项目在生态环境分区管控单元的点位图</w:t>
            </w:r>
          </w:p>
          <w:p w14:paraId="1E79432B">
            <w:pPr>
              <w:pStyle w:val="45"/>
              <w:adjustRightInd w:val="0"/>
              <w:snapToGrid w:val="0"/>
              <w:ind w:firstLineChars="200"/>
              <w:rPr>
                <w:kern w:val="0"/>
                <w:szCs w:val="20"/>
              </w:rPr>
            </w:pPr>
            <w:r>
              <w:rPr>
                <w:kern w:val="0"/>
                <w:szCs w:val="20"/>
              </w:rPr>
              <w:t>本项目与生态管控单元的符合性分析见下表。</w:t>
            </w:r>
          </w:p>
          <w:p w14:paraId="2D127D13">
            <w:pPr>
              <w:spacing w:line="460" w:lineRule="exact"/>
              <w:jc w:val="center"/>
              <w:rPr>
                <w:rFonts w:hint="default" w:ascii="Times New Roman" w:hAnsi="Times New Roman" w:cs="Times New Roman"/>
              </w:rPr>
            </w:pPr>
            <w:r>
              <w:rPr>
                <w:rFonts w:hint="default" w:ascii="Times New Roman" w:hAnsi="Times New Roman" w:cs="Times New Roman"/>
                <w:b/>
                <w:kern w:val="0"/>
                <w:sz w:val="21"/>
                <w:szCs w:val="22"/>
              </w:rPr>
              <w:t>表 1-</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表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5</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本项目与生态管控单元的符合性分析</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3"/>
              <w:gridCol w:w="704"/>
              <w:gridCol w:w="3104"/>
              <w:gridCol w:w="2288"/>
              <w:gridCol w:w="950"/>
            </w:tblGrid>
            <w:tr w14:paraId="1E0BD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Align w:val="center"/>
                </w:tcPr>
                <w:p w14:paraId="3954FB13">
                  <w:pPr>
                    <w:pStyle w:val="29"/>
                    <w:overflowPunct w:val="0"/>
                    <w:autoSpaceDE w:val="0"/>
                    <w:autoSpaceDN w:val="0"/>
                    <w:rPr>
                      <w:b/>
                      <w:bCs/>
                      <w:sz w:val="21"/>
                      <w:szCs w:val="21"/>
                    </w:rPr>
                  </w:pPr>
                  <w:r>
                    <w:rPr>
                      <w:b/>
                      <w:bCs/>
                      <w:sz w:val="21"/>
                      <w:szCs w:val="21"/>
                    </w:rPr>
                    <w:t>区域管控要求</w:t>
                  </w:r>
                </w:p>
              </w:tc>
              <w:tc>
                <w:tcPr>
                  <w:tcW w:w="441" w:type="pct"/>
                  <w:vAlign w:val="center"/>
                </w:tcPr>
                <w:p w14:paraId="0C30D216">
                  <w:pPr>
                    <w:pStyle w:val="29"/>
                    <w:overflowPunct w:val="0"/>
                    <w:autoSpaceDE w:val="0"/>
                    <w:autoSpaceDN w:val="0"/>
                    <w:rPr>
                      <w:b/>
                      <w:bCs/>
                      <w:sz w:val="21"/>
                      <w:szCs w:val="21"/>
                    </w:rPr>
                  </w:pPr>
                  <w:r>
                    <w:rPr>
                      <w:b/>
                      <w:bCs/>
                      <w:sz w:val="21"/>
                      <w:szCs w:val="21"/>
                    </w:rPr>
                    <w:t>管控</w:t>
                  </w:r>
                </w:p>
                <w:p w14:paraId="47F842B9">
                  <w:pPr>
                    <w:pStyle w:val="29"/>
                    <w:overflowPunct w:val="0"/>
                    <w:autoSpaceDE w:val="0"/>
                    <w:autoSpaceDN w:val="0"/>
                    <w:rPr>
                      <w:b/>
                      <w:bCs/>
                      <w:sz w:val="21"/>
                      <w:szCs w:val="21"/>
                    </w:rPr>
                  </w:pPr>
                  <w:r>
                    <w:rPr>
                      <w:b/>
                      <w:bCs/>
                      <w:sz w:val="21"/>
                      <w:szCs w:val="21"/>
                    </w:rPr>
                    <w:t>类别</w:t>
                  </w:r>
                </w:p>
              </w:tc>
              <w:tc>
                <w:tcPr>
                  <w:tcW w:w="1944" w:type="pct"/>
                  <w:vAlign w:val="center"/>
                </w:tcPr>
                <w:p w14:paraId="1A249DE8">
                  <w:pPr>
                    <w:pStyle w:val="29"/>
                    <w:overflowPunct w:val="0"/>
                    <w:autoSpaceDE w:val="0"/>
                    <w:autoSpaceDN w:val="0"/>
                    <w:rPr>
                      <w:b/>
                      <w:bCs/>
                      <w:sz w:val="21"/>
                      <w:szCs w:val="21"/>
                    </w:rPr>
                  </w:pPr>
                  <w:r>
                    <w:rPr>
                      <w:b/>
                      <w:bCs/>
                      <w:sz w:val="21"/>
                      <w:szCs w:val="21"/>
                    </w:rPr>
                    <w:t>管控要求</w:t>
                  </w:r>
                </w:p>
              </w:tc>
              <w:tc>
                <w:tcPr>
                  <w:tcW w:w="1433" w:type="pct"/>
                  <w:vAlign w:val="center"/>
                </w:tcPr>
                <w:p w14:paraId="09CA99F0">
                  <w:pPr>
                    <w:pStyle w:val="29"/>
                    <w:overflowPunct w:val="0"/>
                    <w:autoSpaceDE w:val="0"/>
                    <w:autoSpaceDN w:val="0"/>
                    <w:rPr>
                      <w:b/>
                      <w:bCs/>
                      <w:sz w:val="21"/>
                      <w:szCs w:val="21"/>
                    </w:rPr>
                  </w:pPr>
                  <w:r>
                    <w:rPr>
                      <w:b/>
                      <w:bCs/>
                      <w:sz w:val="21"/>
                      <w:szCs w:val="21"/>
                    </w:rPr>
                    <w:t>协调性分析</w:t>
                  </w:r>
                </w:p>
              </w:tc>
              <w:tc>
                <w:tcPr>
                  <w:tcW w:w="595" w:type="pct"/>
                  <w:vAlign w:val="center"/>
                </w:tcPr>
                <w:p w14:paraId="3C8038B2">
                  <w:pPr>
                    <w:pStyle w:val="29"/>
                    <w:overflowPunct w:val="0"/>
                    <w:autoSpaceDE w:val="0"/>
                    <w:autoSpaceDN w:val="0"/>
                    <w:rPr>
                      <w:b/>
                      <w:bCs/>
                      <w:sz w:val="21"/>
                      <w:szCs w:val="21"/>
                    </w:rPr>
                  </w:pPr>
                  <w:r>
                    <w:rPr>
                      <w:b/>
                      <w:bCs/>
                      <w:sz w:val="21"/>
                      <w:szCs w:val="21"/>
                    </w:rPr>
                    <w:t>符合性分析</w:t>
                  </w:r>
                </w:p>
              </w:tc>
            </w:tr>
            <w:tr w14:paraId="0AF8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restart"/>
                  <w:vAlign w:val="center"/>
                </w:tcPr>
                <w:p w14:paraId="47C89385">
                  <w:pPr>
                    <w:pStyle w:val="29"/>
                    <w:overflowPunct w:val="0"/>
                    <w:autoSpaceDE w:val="0"/>
                    <w:autoSpaceDN w:val="0"/>
                    <w:rPr>
                      <w:sz w:val="21"/>
                      <w:szCs w:val="21"/>
                    </w:rPr>
                  </w:pPr>
                  <w:r>
                    <w:rPr>
                      <w:sz w:val="21"/>
                      <w:szCs w:val="21"/>
                    </w:rPr>
                    <w:t>重点管控单元</w:t>
                  </w:r>
                </w:p>
              </w:tc>
              <w:tc>
                <w:tcPr>
                  <w:tcW w:w="441" w:type="pct"/>
                  <w:vMerge w:val="restart"/>
                  <w:vAlign w:val="center"/>
                </w:tcPr>
                <w:p w14:paraId="74D0270F">
                  <w:pPr>
                    <w:pStyle w:val="29"/>
                    <w:overflowPunct w:val="0"/>
                    <w:autoSpaceDE w:val="0"/>
                    <w:autoSpaceDN w:val="0"/>
                    <w:rPr>
                      <w:sz w:val="21"/>
                      <w:szCs w:val="21"/>
                    </w:rPr>
                  </w:pPr>
                  <w:r>
                    <w:rPr>
                      <w:sz w:val="21"/>
                      <w:szCs w:val="21"/>
                    </w:rPr>
                    <w:t>空间布局约束</w:t>
                  </w:r>
                </w:p>
              </w:tc>
              <w:tc>
                <w:tcPr>
                  <w:tcW w:w="1944" w:type="pct"/>
                  <w:vAlign w:val="center"/>
                </w:tcPr>
                <w:p w14:paraId="7077712B">
                  <w:pPr>
                    <w:pStyle w:val="29"/>
                    <w:overflowPunct w:val="0"/>
                    <w:autoSpaceDE w:val="0"/>
                    <w:autoSpaceDN w:val="0"/>
                    <w:jc w:val="left"/>
                    <w:rPr>
                      <w:sz w:val="21"/>
                      <w:szCs w:val="21"/>
                    </w:rPr>
                  </w:pPr>
                  <w:r>
                    <w:rPr>
                      <w:sz w:val="21"/>
                      <w:szCs w:val="21"/>
                    </w:rPr>
                    <w:t>1在城市城区及其近郊禁止新建、扩建钢铁、有色、石化、水泥、化工等重污染企业。2禁止新建燃料类煤气发生炉（园区现有企业统一建设的清洁煤制气中心除外）。3严禁新增钢铁、焦化、电解铝、铸造、水泥、平板玻璃等产能；严格执行铸造、水泥、平板玻璃等行业产能置换实施办法</w:t>
                  </w:r>
                </w:p>
              </w:tc>
              <w:tc>
                <w:tcPr>
                  <w:tcW w:w="1433" w:type="pct"/>
                  <w:vAlign w:val="center"/>
                </w:tcPr>
                <w:p w14:paraId="313D6F3D">
                  <w:pPr>
                    <w:pStyle w:val="29"/>
                    <w:overflowPunct w:val="0"/>
                    <w:autoSpaceDE w:val="0"/>
                    <w:autoSpaceDN w:val="0"/>
                    <w:jc w:val="left"/>
                    <w:rPr>
                      <w:sz w:val="21"/>
                      <w:szCs w:val="21"/>
                    </w:rPr>
                  </w:pPr>
                  <w:r>
                    <w:rPr>
                      <w:sz w:val="21"/>
                      <w:szCs w:val="21"/>
                    </w:rPr>
                    <w:t>本项目不属于钢铁、有色、石化、水泥、化工等重污染企业；项目无燃料类煤气发生炉。</w:t>
                  </w:r>
                </w:p>
              </w:tc>
              <w:tc>
                <w:tcPr>
                  <w:tcW w:w="595" w:type="pct"/>
                  <w:vAlign w:val="center"/>
                </w:tcPr>
                <w:p w14:paraId="1CE1514D">
                  <w:pPr>
                    <w:pStyle w:val="29"/>
                    <w:overflowPunct w:val="0"/>
                    <w:autoSpaceDE w:val="0"/>
                    <w:autoSpaceDN w:val="0"/>
                    <w:rPr>
                      <w:sz w:val="21"/>
                      <w:szCs w:val="21"/>
                    </w:rPr>
                  </w:pPr>
                  <w:r>
                    <w:rPr>
                      <w:sz w:val="21"/>
                      <w:szCs w:val="21"/>
                    </w:rPr>
                    <w:t>符合</w:t>
                  </w:r>
                </w:p>
              </w:tc>
            </w:tr>
            <w:tr w14:paraId="6CA98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2" w:hRule="atLeast"/>
                <w:jc w:val="center"/>
              </w:trPr>
              <w:tc>
                <w:tcPr>
                  <w:tcW w:w="584" w:type="pct"/>
                  <w:vMerge w:val="continue"/>
                  <w:vAlign w:val="center"/>
                </w:tcPr>
                <w:p w14:paraId="03A3CD71">
                  <w:pPr>
                    <w:pStyle w:val="29"/>
                    <w:overflowPunct w:val="0"/>
                    <w:autoSpaceDE w:val="0"/>
                    <w:autoSpaceDN w:val="0"/>
                    <w:rPr>
                      <w:sz w:val="21"/>
                      <w:szCs w:val="21"/>
                    </w:rPr>
                  </w:pPr>
                </w:p>
              </w:tc>
              <w:tc>
                <w:tcPr>
                  <w:tcW w:w="441" w:type="pct"/>
                  <w:vMerge w:val="continue"/>
                  <w:vAlign w:val="center"/>
                </w:tcPr>
                <w:p w14:paraId="3E0D1169">
                  <w:pPr>
                    <w:pStyle w:val="29"/>
                    <w:overflowPunct w:val="0"/>
                    <w:autoSpaceDE w:val="0"/>
                    <w:autoSpaceDN w:val="0"/>
                    <w:rPr>
                      <w:sz w:val="21"/>
                      <w:szCs w:val="21"/>
                    </w:rPr>
                  </w:pPr>
                </w:p>
              </w:tc>
              <w:tc>
                <w:tcPr>
                  <w:tcW w:w="1944" w:type="pct"/>
                  <w:vAlign w:val="center"/>
                </w:tcPr>
                <w:p w14:paraId="1661CD2D">
                  <w:pPr>
                    <w:pStyle w:val="29"/>
                    <w:overflowPunct w:val="0"/>
                    <w:autoSpaceDE w:val="0"/>
                    <w:autoSpaceDN w:val="0"/>
                    <w:jc w:val="left"/>
                    <w:rPr>
                      <w:sz w:val="21"/>
                      <w:szCs w:val="21"/>
                    </w:rPr>
                  </w:pPr>
                  <w:r>
                    <w:rPr>
                      <w:sz w:val="21"/>
                      <w:szCs w:val="21"/>
                    </w:rPr>
                    <w:t>4严格执行国家关于“两高”产业准入目录和产能总量控制政策措施。严禁新增钢铁、焦化、电解铝、铸造、水泥和平板玻璃等产能；新、改、扩建涉及大宗物料运输的建设项目，原则上不得采用公路运输。</w:t>
                  </w:r>
                </w:p>
              </w:tc>
              <w:tc>
                <w:tcPr>
                  <w:tcW w:w="1433" w:type="pct"/>
                  <w:vAlign w:val="center"/>
                </w:tcPr>
                <w:p w14:paraId="4108FDA1">
                  <w:pPr>
                    <w:pStyle w:val="29"/>
                    <w:overflowPunct w:val="0"/>
                    <w:autoSpaceDE w:val="0"/>
                    <w:autoSpaceDN w:val="0"/>
                    <w:jc w:val="left"/>
                    <w:rPr>
                      <w:sz w:val="21"/>
                      <w:szCs w:val="21"/>
                    </w:rPr>
                  </w:pPr>
                  <w:r>
                    <w:rPr>
                      <w:sz w:val="21"/>
                      <w:szCs w:val="21"/>
                    </w:rPr>
                    <w:t>对照《安徽省“两高”项目管理目录（试行）》，本项目不属于两高项目。本项目不属于钢铁、焦化、电解铝、铸造、水泥和平板玻璃。项目</w:t>
                  </w:r>
                  <w:r>
                    <w:rPr>
                      <w:rFonts w:hint="default" w:ascii="Times New Roman" w:hAnsi="Times New Roman" w:cs="Times New Roman"/>
                      <w:sz w:val="21"/>
                      <w:szCs w:val="21"/>
                      <w:lang w:eastAsia="zh-CN"/>
                    </w:rPr>
                    <w:t>不涉及大宗物料运输，</w:t>
                  </w:r>
                  <w:r>
                    <w:rPr>
                      <w:sz w:val="21"/>
                      <w:szCs w:val="21"/>
                    </w:rPr>
                    <w:t>物料运输采用公路运输，运输车辆选用新能源或达到国六标准车辆。</w:t>
                  </w:r>
                </w:p>
              </w:tc>
              <w:tc>
                <w:tcPr>
                  <w:tcW w:w="595" w:type="pct"/>
                  <w:vAlign w:val="center"/>
                </w:tcPr>
                <w:p w14:paraId="10F6F1DE">
                  <w:pPr>
                    <w:pStyle w:val="29"/>
                    <w:overflowPunct w:val="0"/>
                    <w:autoSpaceDE w:val="0"/>
                    <w:autoSpaceDN w:val="0"/>
                    <w:rPr>
                      <w:sz w:val="21"/>
                      <w:szCs w:val="21"/>
                    </w:rPr>
                  </w:pPr>
                  <w:r>
                    <w:rPr>
                      <w:sz w:val="21"/>
                      <w:szCs w:val="21"/>
                    </w:rPr>
                    <w:t>符合</w:t>
                  </w:r>
                </w:p>
              </w:tc>
            </w:tr>
            <w:tr w14:paraId="74D9A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3E8A4C9E">
                  <w:pPr>
                    <w:pStyle w:val="29"/>
                    <w:overflowPunct w:val="0"/>
                    <w:autoSpaceDE w:val="0"/>
                    <w:autoSpaceDN w:val="0"/>
                    <w:rPr>
                      <w:sz w:val="21"/>
                      <w:szCs w:val="21"/>
                    </w:rPr>
                  </w:pPr>
                </w:p>
              </w:tc>
              <w:tc>
                <w:tcPr>
                  <w:tcW w:w="441" w:type="pct"/>
                  <w:vMerge w:val="continue"/>
                  <w:vAlign w:val="center"/>
                </w:tcPr>
                <w:p w14:paraId="5AAA13A7">
                  <w:pPr>
                    <w:pStyle w:val="29"/>
                    <w:overflowPunct w:val="0"/>
                    <w:autoSpaceDE w:val="0"/>
                    <w:autoSpaceDN w:val="0"/>
                    <w:rPr>
                      <w:sz w:val="21"/>
                      <w:szCs w:val="21"/>
                    </w:rPr>
                  </w:pPr>
                </w:p>
              </w:tc>
              <w:tc>
                <w:tcPr>
                  <w:tcW w:w="1944" w:type="pct"/>
                  <w:vAlign w:val="center"/>
                </w:tcPr>
                <w:p w14:paraId="49C0C7BB">
                  <w:pPr>
                    <w:pStyle w:val="29"/>
                    <w:overflowPunct w:val="0"/>
                    <w:autoSpaceDE w:val="0"/>
                    <w:autoSpaceDN w:val="0"/>
                    <w:jc w:val="left"/>
                    <w:rPr>
                      <w:sz w:val="21"/>
                      <w:szCs w:val="21"/>
                    </w:rPr>
                  </w:pPr>
                  <w:r>
                    <w:rPr>
                      <w:sz w:val="21"/>
                      <w:szCs w:val="21"/>
                    </w:rPr>
                    <w:t>10禁止建设生产和使用高挥发性有机物含量涂料、油墨、胶粘剂、清洗剂等项目</w:t>
                  </w:r>
                </w:p>
              </w:tc>
              <w:tc>
                <w:tcPr>
                  <w:tcW w:w="1433" w:type="pct"/>
                  <w:vMerge w:val="restart"/>
                  <w:vAlign w:val="center"/>
                </w:tcPr>
                <w:p w14:paraId="03BB3784">
                  <w:pPr>
                    <w:pStyle w:val="29"/>
                    <w:overflowPunct w:val="0"/>
                    <w:autoSpaceDE w:val="0"/>
                    <w:autoSpaceDN w:val="0"/>
                    <w:jc w:val="left"/>
                    <w:rPr>
                      <w:sz w:val="21"/>
                      <w:szCs w:val="21"/>
                    </w:rPr>
                  </w:pPr>
                  <w:r>
                    <w:rPr>
                      <w:sz w:val="21"/>
                      <w:szCs w:val="21"/>
                    </w:rPr>
                    <w:t>根据检测报告，本项目使用水性油墨为环保低VOCs含量原辅材料，不属于高挥发性有机物含量油墨；项目使用胶粘剂为玉米淀粉胶</w:t>
                  </w:r>
                  <w:r>
                    <w:rPr>
                      <w:rStyle w:val="25"/>
                      <w:rFonts w:hint="default" w:ascii="Times New Roman" w:hAnsi="Times New Roman" w:cs="Times New Roman"/>
                      <w:kern w:val="2"/>
                      <w:szCs w:val="21"/>
                      <w:lang w:val="en-US" w:eastAsia="zh-CN"/>
                    </w:rPr>
                    <w:t>,主要成分为玉米淀粉、水、硼砂、氢氧化钠</w:t>
                  </w:r>
                  <w:r>
                    <w:rPr>
                      <w:sz w:val="21"/>
                      <w:szCs w:val="21"/>
                    </w:rPr>
                    <w:t>，为环保型胶粘剂。</w:t>
                  </w:r>
                </w:p>
              </w:tc>
              <w:tc>
                <w:tcPr>
                  <w:tcW w:w="595" w:type="pct"/>
                  <w:vAlign w:val="center"/>
                </w:tcPr>
                <w:p w14:paraId="404D699E">
                  <w:pPr>
                    <w:pStyle w:val="29"/>
                    <w:overflowPunct w:val="0"/>
                    <w:autoSpaceDE w:val="0"/>
                    <w:autoSpaceDN w:val="0"/>
                    <w:rPr>
                      <w:sz w:val="21"/>
                      <w:szCs w:val="21"/>
                    </w:rPr>
                  </w:pPr>
                  <w:r>
                    <w:rPr>
                      <w:sz w:val="21"/>
                      <w:szCs w:val="21"/>
                    </w:rPr>
                    <w:t>符合</w:t>
                  </w:r>
                </w:p>
              </w:tc>
            </w:tr>
            <w:tr w14:paraId="46A0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5C1F03F0">
                  <w:pPr>
                    <w:pStyle w:val="29"/>
                    <w:overflowPunct w:val="0"/>
                    <w:autoSpaceDE w:val="0"/>
                    <w:autoSpaceDN w:val="0"/>
                    <w:rPr>
                      <w:sz w:val="21"/>
                      <w:szCs w:val="21"/>
                    </w:rPr>
                  </w:pPr>
                </w:p>
              </w:tc>
              <w:tc>
                <w:tcPr>
                  <w:tcW w:w="441" w:type="pct"/>
                  <w:vMerge w:val="continue"/>
                  <w:vAlign w:val="center"/>
                </w:tcPr>
                <w:p w14:paraId="2CE6E93A">
                  <w:pPr>
                    <w:pStyle w:val="29"/>
                    <w:overflowPunct w:val="0"/>
                    <w:autoSpaceDE w:val="0"/>
                    <w:autoSpaceDN w:val="0"/>
                    <w:rPr>
                      <w:sz w:val="21"/>
                      <w:szCs w:val="21"/>
                    </w:rPr>
                  </w:pPr>
                </w:p>
              </w:tc>
              <w:tc>
                <w:tcPr>
                  <w:tcW w:w="1944" w:type="pct"/>
                  <w:vAlign w:val="center"/>
                </w:tcPr>
                <w:p w14:paraId="318E2426">
                  <w:pPr>
                    <w:pStyle w:val="29"/>
                    <w:overflowPunct w:val="0"/>
                    <w:autoSpaceDE w:val="0"/>
                    <w:autoSpaceDN w:val="0"/>
                    <w:jc w:val="left"/>
                    <w:rPr>
                      <w:sz w:val="21"/>
                      <w:szCs w:val="21"/>
                    </w:rPr>
                  </w:pPr>
                  <w:r>
                    <w:rPr>
                      <w:sz w:val="21"/>
                      <w:szCs w:val="21"/>
                    </w:rPr>
                    <w:t>15禁止建设生产和使用VOCs含量限值不符合国家标准的涂料、油墨、胶黏剂、清洗剂等项目</w:t>
                  </w:r>
                </w:p>
              </w:tc>
              <w:tc>
                <w:tcPr>
                  <w:tcW w:w="1433" w:type="pct"/>
                  <w:vMerge w:val="continue"/>
                  <w:vAlign w:val="center"/>
                </w:tcPr>
                <w:p w14:paraId="350D839F">
                  <w:pPr>
                    <w:pStyle w:val="29"/>
                    <w:overflowPunct w:val="0"/>
                    <w:autoSpaceDE w:val="0"/>
                    <w:autoSpaceDN w:val="0"/>
                    <w:jc w:val="left"/>
                    <w:rPr>
                      <w:sz w:val="21"/>
                      <w:szCs w:val="21"/>
                    </w:rPr>
                  </w:pPr>
                </w:p>
              </w:tc>
              <w:tc>
                <w:tcPr>
                  <w:tcW w:w="595" w:type="pct"/>
                  <w:vAlign w:val="center"/>
                </w:tcPr>
                <w:p w14:paraId="627F3EFB">
                  <w:pPr>
                    <w:pStyle w:val="29"/>
                    <w:overflowPunct w:val="0"/>
                    <w:autoSpaceDE w:val="0"/>
                    <w:autoSpaceDN w:val="0"/>
                    <w:rPr>
                      <w:sz w:val="21"/>
                      <w:szCs w:val="21"/>
                    </w:rPr>
                  </w:pPr>
                  <w:r>
                    <w:rPr>
                      <w:sz w:val="21"/>
                      <w:szCs w:val="21"/>
                    </w:rPr>
                    <w:t>符合</w:t>
                  </w:r>
                </w:p>
              </w:tc>
            </w:tr>
            <w:tr w14:paraId="1E498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03AC15FE">
                  <w:pPr>
                    <w:pStyle w:val="29"/>
                    <w:overflowPunct w:val="0"/>
                    <w:autoSpaceDE w:val="0"/>
                    <w:autoSpaceDN w:val="0"/>
                    <w:rPr>
                      <w:sz w:val="21"/>
                      <w:szCs w:val="21"/>
                    </w:rPr>
                  </w:pPr>
                </w:p>
              </w:tc>
              <w:tc>
                <w:tcPr>
                  <w:tcW w:w="441" w:type="pct"/>
                  <w:vMerge w:val="restart"/>
                  <w:vAlign w:val="center"/>
                </w:tcPr>
                <w:p w14:paraId="7BD46366">
                  <w:pPr>
                    <w:pStyle w:val="29"/>
                    <w:overflowPunct w:val="0"/>
                    <w:autoSpaceDE w:val="0"/>
                    <w:autoSpaceDN w:val="0"/>
                    <w:rPr>
                      <w:sz w:val="21"/>
                      <w:szCs w:val="21"/>
                    </w:rPr>
                  </w:pPr>
                  <w:r>
                    <w:rPr>
                      <w:sz w:val="21"/>
                      <w:szCs w:val="21"/>
                    </w:rPr>
                    <w:t>污染物排放管</w:t>
                  </w:r>
                </w:p>
                <w:p w14:paraId="1DF62DC1">
                  <w:pPr>
                    <w:pStyle w:val="29"/>
                    <w:overflowPunct w:val="0"/>
                    <w:autoSpaceDE w:val="0"/>
                    <w:autoSpaceDN w:val="0"/>
                    <w:rPr>
                      <w:sz w:val="21"/>
                      <w:szCs w:val="21"/>
                    </w:rPr>
                  </w:pPr>
                  <w:r>
                    <w:rPr>
                      <w:sz w:val="21"/>
                      <w:szCs w:val="21"/>
                    </w:rPr>
                    <w:t>控</w:t>
                  </w:r>
                </w:p>
              </w:tc>
              <w:tc>
                <w:tcPr>
                  <w:tcW w:w="1944" w:type="pct"/>
                  <w:vAlign w:val="center"/>
                </w:tcPr>
                <w:p w14:paraId="0845F598">
                  <w:pPr>
                    <w:pStyle w:val="46"/>
                    <w:jc w:val="left"/>
                  </w:pPr>
                  <w:r>
                    <w:t>49新建、改建、扩建排放重点大气污染物的项目不符合总量控制要求的，不得通过环境影响评价。</w:t>
                  </w:r>
                </w:p>
              </w:tc>
              <w:tc>
                <w:tcPr>
                  <w:tcW w:w="1433" w:type="pct"/>
                  <w:vAlign w:val="center"/>
                </w:tcPr>
                <w:p w14:paraId="7EEB8FB2">
                  <w:pPr>
                    <w:pStyle w:val="46"/>
                    <w:jc w:val="left"/>
                  </w:pPr>
                  <w:r>
                    <w:rPr>
                      <w:rFonts w:hint="default" w:ascii="Times New Roman" w:hAnsi="Times New Roman" w:cs="Times New Roman"/>
                    </w:rPr>
                    <w:t>本项目污染物符合总量控制要求，</w:t>
                  </w:r>
                  <w:r>
                    <w:rPr>
                      <w:rFonts w:hint="default" w:ascii="Times New Roman" w:hAnsi="Times New Roman" w:cs="Times New Roman"/>
                      <w:lang w:eastAsia="zh-CN"/>
                    </w:rPr>
                    <w:t>印刷废气使用集气罩</w:t>
                  </w:r>
                  <w:r>
                    <w:rPr>
                      <w:rFonts w:hint="default" w:ascii="Times New Roman" w:hAnsi="Times New Roman" w:cs="Times New Roman"/>
                      <w:lang w:val="en-US" w:eastAsia="zh-CN"/>
                    </w:rPr>
                    <w:t>+二级活性炭吸附+15m高排气筒排放；天然气锅炉废气低氮燃烧后通过15m高排气筒排放</w:t>
                  </w:r>
                  <w:r>
                    <w:rPr>
                      <w:rFonts w:hint="default" w:ascii="Times New Roman" w:hAnsi="Times New Roman" w:cs="Times New Roman"/>
                    </w:rPr>
                    <w:t>，依据安徽省的总量控制文件，实行倍量替代</w:t>
                  </w:r>
                </w:p>
              </w:tc>
              <w:tc>
                <w:tcPr>
                  <w:tcW w:w="595" w:type="pct"/>
                  <w:vAlign w:val="center"/>
                </w:tcPr>
                <w:p w14:paraId="2DF4AACF">
                  <w:pPr>
                    <w:pStyle w:val="29"/>
                    <w:overflowPunct w:val="0"/>
                    <w:autoSpaceDE w:val="0"/>
                    <w:autoSpaceDN w:val="0"/>
                    <w:rPr>
                      <w:sz w:val="21"/>
                      <w:szCs w:val="21"/>
                    </w:rPr>
                  </w:pPr>
                  <w:r>
                    <w:rPr>
                      <w:sz w:val="21"/>
                      <w:szCs w:val="21"/>
                    </w:rPr>
                    <w:t>符合</w:t>
                  </w:r>
                </w:p>
              </w:tc>
            </w:tr>
            <w:tr w14:paraId="635C2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05BA3C17">
                  <w:pPr>
                    <w:pStyle w:val="29"/>
                    <w:overflowPunct w:val="0"/>
                    <w:autoSpaceDE w:val="0"/>
                    <w:autoSpaceDN w:val="0"/>
                    <w:rPr>
                      <w:sz w:val="21"/>
                      <w:szCs w:val="21"/>
                    </w:rPr>
                  </w:pPr>
                </w:p>
              </w:tc>
              <w:tc>
                <w:tcPr>
                  <w:tcW w:w="441" w:type="pct"/>
                  <w:vMerge w:val="continue"/>
                  <w:vAlign w:val="center"/>
                </w:tcPr>
                <w:p w14:paraId="549FF26E">
                  <w:pPr>
                    <w:pStyle w:val="29"/>
                    <w:overflowPunct w:val="0"/>
                    <w:autoSpaceDE w:val="0"/>
                    <w:autoSpaceDN w:val="0"/>
                    <w:rPr>
                      <w:sz w:val="21"/>
                      <w:szCs w:val="21"/>
                    </w:rPr>
                  </w:pPr>
                </w:p>
              </w:tc>
              <w:tc>
                <w:tcPr>
                  <w:tcW w:w="1944" w:type="pct"/>
                  <w:vAlign w:val="center"/>
                </w:tcPr>
                <w:p w14:paraId="17244905">
                  <w:pPr>
                    <w:pStyle w:val="29"/>
                    <w:overflowPunct w:val="0"/>
                    <w:autoSpaceDE w:val="0"/>
                    <w:autoSpaceDN w:val="0"/>
                    <w:jc w:val="left"/>
                    <w:rPr>
                      <w:sz w:val="21"/>
                      <w:szCs w:val="21"/>
                    </w:rPr>
                  </w:pPr>
                  <w:r>
                    <w:rPr>
                      <w:sz w:val="21"/>
                      <w:szCs w:val="21"/>
                    </w:rPr>
                    <w:t>54全面推动挥发性有机物纳入排污许可管理。禁止建设生产和使用高挥发加快推进石化、化工性有机物含量涂料油墨、胶粘剂、清洗剂等项目</w:t>
                  </w:r>
                </w:p>
              </w:tc>
              <w:tc>
                <w:tcPr>
                  <w:tcW w:w="1433" w:type="pct"/>
                  <w:vMerge w:val="restart"/>
                  <w:vAlign w:val="center"/>
                </w:tcPr>
                <w:p w14:paraId="6611FD3C">
                  <w:pPr>
                    <w:pStyle w:val="29"/>
                    <w:overflowPunct w:val="0"/>
                    <w:autoSpaceDE w:val="0"/>
                    <w:autoSpaceDN w:val="0"/>
                    <w:jc w:val="left"/>
                    <w:rPr>
                      <w:sz w:val="21"/>
                      <w:szCs w:val="21"/>
                    </w:rPr>
                  </w:pPr>
                  <w:r>
                    <w:rPr>
                      <w:sz w:val="21"/>
                      <w:szCs w:val="21"/>
                    </w:rPr>
                    <w:t>项目按照要求进行排污许可管理。项目使用水性油墨不属于高挥发性有机物。</w:t>
                  </w:r>
                  <w:r>
                    <w:rPr>
                      <w:color w:val="FF0000"/>
                      <w:sz w:val="21"/>
                      <w:szCs w:val="21"/>
                    </w:rPr>
                    <w:t>项目废气经集气罩收集后经活性炭装置处理达标后通过15m高排气筒有组织排放。</w:t>
                  </w:r>
                </w:p>
              </w:tc>
              <w:tc>
                <w:tcPr>
                  <w:tcW w:w="595" w:type="pct"/>
                  <w:vMerge w:val="restart"/>
                  <w:vAlign w:val="center"/>
                </w:tcPr>
                <w:p w14:paraId="5B2CDE62">
                  <w:pPr>
                    <w:pStyle w:val="29"/>
                    <w:overflowPunct w:val="0"/>
                    <w:autoSpaceDE w:val="0"/>
                    <w:autoSpaceDN w:val="0"/>
                    <w:rPr>
                      <w:sz w:val="21"/>
                      <w:szCs w:val="21"/>
                    </w:rPr>
                  </w:pPr>
                  <w:r>
                    <w:rPr>
                      <w:sz w:val="21"/>
                      <w:szCs w:val="21"/>
                    </w:rPr>
                    <w:t>符合</w:t>
                  </w:r>
                </w:p>
              </w:tc>
            </w:tr>
            <w:tr w14:paraId="77DD7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61FF5A72">
                  <w:pPr>
                    <w:pStyle w:val="29"/>
                    <w:overflowPunct w:val="0"/>
                    <w:autoSpaceDE w:val="0"/>
                    <w:autoSpaceDN w:val="0"/>
                    <w:rPr>
                      <w:sz w:val="21"/>
                      <w:szCs w:val="21"/>
                    </w:rPr>
                  </w:pPr>
                </w:p>
              </w:tc>
              <w:tc>
                <w:tcPr>
                  <w:tcW w:w="441" w:type="pct"/>
                  <w:vMerge w:val="continue"/>
                  <w:vAlign w:val="center"/>
                </w:tcPr>
                <w:p w14:paraId="1C3DB749">
                  <w:pPr>
                    <w:pStyle w:val="29"/>
                    <w:overflowPunct w:val="0"/>
                    <w:autoSpaceDE w:val="0"/>
                    <w:autoSpaceDN w:val="0"/>
                    <w:rPr>
                      <w:sz w:val="21"/>
                      <w:szCs w:val="21"/>
                    </w:rPr>
                  </w:pPr>
                </w:p>
              </w:tc>
              <w:tc>
                <w:tcPr>
                  <w:tcW w:w="1944" w:type="pct"/>
                  <w:vAlign w:val="center"/>
                </w:tcPr>
                <w:p w14:paraId="06AD2644">
                  <w:pPr>
                    <w:pStyle w:val="29"/>
                    <w:overflowPunct w:val="0"/>
                    <w:autoSpaceDE w:val="0"/>
                    <w:autoSpaceDN w:val="0"/>
                    <w:jc w:val="left"/>
                    <w:rPr>
                      <w:sz w:val="21"/>
                      <w:szCs w:val="21"/>
                    </w:rPr>
                  </w:pPr>
                  <w:r>
                    <w:rPr>
                      <w:sz w:val="21"/>
                      <w:szCs w:val="21"/>
                    </w:rPr>
                    <w:t>55实行重点排放源排放浓度与去除效率双重控制。车间或生产设施收集排放的废气，VOCs初始排放速率大于等于2千克/小时的，应加大控制力度除确保排放浓度稳定达标外，还应实行去除效率控制，去除效率不低于80%；采用的原辅材料符合国家有关低VOCs含量产品规定的除外，有行业排放标准的按其相关规定执行。</w:t>
                  </w:r>
                </w:p>
              </w:tc>
              <w:tc>
                <w:tcPr>
                  <w:tcW w:w="1433" w:type="pct"/>
                  <w:vMerge w:val="continue"/>
                  <w:vAlign w:val="center"/>
                </w:tcPr>
                <w:p w14:paraId="3BA1C1C4">
                  <w:pPr>
                    <w:pStyle w:val="29"/>
                    <w:overflowPunct w:val="0"/>
                    <w:autoSpaceDE w:val="0"/>
                    <w:autoSpaceDN w:val="0"/>
                    <w:jc w:val="left"/>
                    <w:rPr>
                      <w:sz w:val="21"/>
                      <w:szCs w:val="21"/>
                    </w:rPr>
                  </w:pPr>
                </w:p>
              </w:tc>
              <w:tc>
                <w:tcPr>
                  <w:tcW w:w="595" w:type="pct"/>
                  <w:vMerge w:val="continue"/>
                  <w:vAlign w:val="center"/>
                </w:tcPr>
                <w:p w14:paraId="4793457C">
                  <w:pPr>
                    <w:pStyle w:val="29"/>
                    <w:overflowPunct w:val="0"/>
                    <w:autoSpaceDE w:val="0"/>
                    <w:autoSpaceDN w:val="0"/>
                    <w:rPr>
                      <w:sz w:val="21"/>
                      <w:szCs w:val="21"/>
                    </w:rPr>
                  </w:pPr>
                </w:p>
              </w:tc>
            </w:tr>
            <w:tr w14:paraId="091B0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84" w:type="pct"/>
                  <w:vMerge w:val="continue"/>
                  <w:vAlign w:val="center"/>
                </w:tcPr>
                <w:p w14:paraId="0574D0AE">
                  <w:pPr>
                    <w:pStyle w:val="29"/>
                    <w:overflowPunct w:val="0"/>
                    <w:autoSpaceDE w:val="0"/>
                    <w:autoSpaceDN w:val="0"/>
                    <w:rPr>
                      <w:sz w:val="21"/>
                      <w:szCs w:val="21"/>
                    </w:rPr>
                  </w:pPr>
                </w:p>
              </w:tc>
              <w:tc>
                <w:tcPr>
                  <w:tcW w:w="441" w:type="pct"/>
                  <w:vMerge w:val="continue"/>
                  <w:vAlign w:val="center"/>
                </w:tcPr>
                <w:p w14:paraId="6D764500">
                  <w:pPr>
                    <w:pStyle w:val="29"/>
                    <w:overflowPunct w:val="0"/>
                    <w:autoSpaceDE w:val="0"/>
                    <w:autoSpaceDN w:val="0"/>
                    <w:rPr>
                      <w:sz w:val="21"/>
                      <w:szCs w:val="21"/>
                    </w:rPr>
                  </w:pPr>
                </w:p>
              </w:tc>
              <w:tc>
                <w:tcPr>
                  <w:tcW w:w="1944" w:type="pct"/>
                  <w:vAlign w:val="center"/>
                </w:tcPr>
                <w:p w14:paraId="6D420E21">
                  <w:pPr>
                    <w:pStyle w:val="29"/>
                    <w:overflowPunct w:val="0"/>
                    <w:autoSpaceDE w:val="0"/>
                    <w:autoSpaceDN w:val="0"/>
                    <w:jc w:val="left"/>
                    <w:rPr>
                      <w:sz w:val="21"/>
                      <w:szCs w:val="21"/>
                    </w:rPr>
                  </w:pPr>
                  <w:r>
                    <w:rPr>
                      <w:sz w:val="21"/>
                      <w:szCs w:val="21"/>
                    </w:rPr>
                    <w:t>59按《挥发性有机物无组织排放控制标准》(GB37822-2019）要求，做好VOCs物料储存、物料转移和输送、工艺过程、设备与管线组件、敞开液面VOCs排放，以及VOCs无组织排放废气收集处理系统要求</w:t>
                  </w:r>
                </w:p>
              </w:tc>
              <w:tc>
                <w:tcPr>
                  <w:tcW w:w="1433" w:type="pct"/>
                  <w:vAlign w:val="center"/>
                </w:tcPr>
                <w:p w14:paraId="1A24EF04">
                  <w:pPr>
                    <w:pStyle w:val="29"/>
                    <w:overflowPunct w:val="0"/>
                    <w:autoSpaceDE w:val="0"/>
                    <w:autoSpaceDN w:val="0"/>
                    <w:jc w:val="left"/>
                    <w:rPr>
                      <w:sz w:val="21"/>
                      <w:szCs w:val="21"/>
                    </w:rPr>
                  </w:pPr>
                  <w:r>
                    <w:rPr>
                      <w:sz w:val="21"/>
                      <w:szCs w:val="21"/>
                    </w:rPr>
                    <w:t>项目含挥发性物料密封储存，非取用状态时应加盖、封口。废气经集气罩、管道及车间整体抽风系统收集可有效减少废气无组织排放量。</w:t>
                  </w:r>
                </w:p>
              </w:tc>
              <w:tc>
                <w:tcPr>
                  <w:tcW w:w="595" w:type="pct"/>
                  <w:vAlign w:val="center"/>
                </w:tcPr>
                <w:p w14:paraId="15F23D01">
                  <w:pPr>
                    <w:pStyle w:val="29"/>
                    <w:overflowPunct w:val="0"/>
                    <w:autoSpaceDE w:val="0"/>
                    <w:autoSpaceDN w:val="0"/>
                    <w:rPr>
                      <w:sz w:val="21"/>
                      <w:szCs w:val="21"/>
                    </w:rPr>
                  </w:pPr>
                  <w:r>
                    <w:rPr>
                      <w:sz w:val="21"/>
                      <w:szCs w:val="21"/>
                    </w:rPr>
                    <w:t>符合</w:t>
                  </w:r>
                </w:p>
              </w:tc>
            </w:tr>
          </w:tbl>
          <w:p w14:paraId="6DCCD251">
            <w:pPr>
              <w:pStyle w:val="62"/>
              <w:ind w:left="-2"/>
              <w:rPr>
                <w:b/>
                <w:bCs w:val="0"/>
                <w:kern w:val="0"/>
              </w:rPr>
            </w:pPr>
            <w:r>
              <w:rPr>
                <w:b/>
                <w:bCs w:val="0"/>
                <w:kern w:val="0"/>
              </w:rPr>
              <w:t>4、与《淮南市“三区三线”划定方案》成果符合性分析</w:t>
            </w:r>
          </w:p>
          <w:p w14:paraId="65AD59EC">
            <w:pPr>
              <w:pStyle w:val="45"/>
              <w:adjustRightInd w:val="0"/>
              <w:snapToGrid w:val="0"/>
              <w:ind w:firstLineChars="200"/>
              <w:rPr>
                <w:kern w:val="0"/>
                <w:szCs w:val="20"/>
              </w:rPr>
            </w:pPr>
            <w:r>
              <w:rPr>
                <w:kern w:val="0"/>
                <w:szCs w:val="20"/>
              </w:rPr>
              <w:t>本项目位于安徽普特机械制造有限公司厂区内，根据《淮南市“三区三线”划定方案》，本项目位于城镇开发边界，不在永久基本农田及生态保护红线范围内。淮南市“三区三线”图详见附图9。</w:t>
            </w:r>
          </w:p>
          <w:p w14:paraId="465F8D2C">
            <w:pPr>
              <w:jc w:val="center"/>
              <w:rPr>
                <w:rFonts w:hint="default" w:ascii="Times New Roman" w:hAnsi="Times New Roman" w:cs="Times New Roman"/>
              </w:rPr>
            </w:pPr>
            <w:r>
              <w:rPr>
                <w:sz w:val="24"/>
              </w:rPr>
              <mc:AlternateContent>
                <mc:Choice Requires="wps">
                  <w:drawing>
                    <wp:anchor distT="0" distB="0" distL="114300" distR="114300" simplePos="0" relativeHeight="251670528" behindDoc="0" locked="0" layoutInCell="1" allowOverlap="1">
                      <wp:simplePos x="0" y="0"/>
                      <wp:positionH relativeFrom="column">
                        <wp:posOffset>2439670</wp:posOffset>
                      </wp:positionH>
                      <wp:positionV relativeFrom="paragraph">
                        <wp:posOffset>3199765</wp:posOffset>
                      </wp:positionV>
                      <wp:extent cx="170180" cy="142240"/>
                      <wp:effectExtent l="16510" t="13970" r="22860" b="15240"/>
                      <wp:wrapNone/>
                      <wp:docPr id="34" name="自选图形 639"/>
                      <wp:cNvGraphicFramePr/>
                      <a:graphic xmlns:a="http://schemas.openxmlformats.org/drawingml/2006/main">
                        <a:graphicData uri="http://schemas.microsoft.com/office/word/2010/wordprocessingShape">
                          <wps:wsp>
                            <wps:cNvSpPr/>
                            <wps:spPr>
                              <a:xfrm>
                                <a:off x="0" y="0"/>
                                <a:ext cx="170180" cy="142240"/>
                              </a:xfrm>
                              <a:prstGeom prst="star5">
                                <a:avLst/>
                              </a:prstGeom>
                              <a:solidFill>
                                <a:srgbClr val="C00000"/>
                              </a:solidFill>
                              <a:ln w="9525" cap="flat" cmpd="sng">
                                <a:solidFill>
                                  <a:srgbClr val="000000"/>
                                </a:solidFill>
                                <a:prstDash val="solid"/>
                                <a:miter/>
                                <a:headEnd type="none" w="med" len="med"/>
                                <a:tailEnd type="none" w="med" len="med"/>
                              </a:ln>
                            </wps:spPr>
                            <wps:bodyPr wrap="square" upright="1"/>
                          </wps:wsp>
                        </a:graphicData>
                      </a:graphic>
                    </wp:anchor>
                  </w:drawing>
                </mc:Choice>
                <mc:Fallback>
                  <w:pict>
                    <v:shape id="自选图形 639" o:spid="_x0000_s1026" style="position:absolute;left:0pt;margin-left:192.1pt;margin-top:251.95pt;height:11.2pt;width:13.4pt;z-index:251670528;mso-width-relative:page;mso-height-relative:page;" fillcolor="#C00000" filled="t" stroked="t" coordsize="170180,142240" o:gfxdata="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c5oQbZAAAACwEAAA8A&#10;AAAAAAAAAQAgAAAAIgAAAGRycy9kb3ducmV2LnhtbFBLAQIUABQAAAAIAIdO4kC6UJMpFgIAADUE&#10;AAAOAAAAAAAAAAEAIAAAACgBAABkcnMvZTJvRG9jLnhtbFBLBQYAAAAABgAGAFkBAACwBQAAAAA=&#10;" path="m0,54330l65003,54331,85090,0,105176,54331,170179,54330,117590,87908,137678,142239,85090,108660,32501,142239,52589,87908xe">
                      <v:path o:connectlocs="85090,0;0,54330;32501,142239;137678,142239;170179,54330" o:connectangles="247,164,82,82,0"/>
                      <v:fill on="t" focussize="0,0"/>
                      <v:stroke color="#000000" joinstyle="miter"/>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3627120</wp:posOffset>
                      </wp:positionH>
                      <wp:positionV relativeFrom="paragraph">
                        <wp:posOffset>1714500</wp:posOffset>
                      </wp:positionV>
                      <wp:extent cx="690245" cy="383540"/>
                      <wp:effectExtent l="1108710" t="4445" r="10795" b="1193165"/>
                      <wp:wrapNone/>
                      <wp:docPr id="41" name="自选图形 636"/>
                      <wp:cNvGraphicFramePr/>
                      <a:graphic xmlns:a="http://schemas.openxmlformats.org/drawingml/2006/main">
                        <a:graphicData uri="http://schemas.microsoft.com/office/word/2010/wordprocessingShape">
                          <wps:wsp>
                            <wps:cNvSpPr/>
                            <wps:spPr>
                              <a:xfrm>
                                <a:off x="0" y="0"/>
                                <a:ext cx="690245" cy="383540"/>
                              </a:xfrm>
                              <a:prstGeom prst="wedgeRoundRectCallout">
                                <a:avLst>
                                  <a:gd name="adj1" fmla="val -206209"/>
                                  <a:gd name="adj2" fmla="val 349006"/>
                                  <a:gd name="adj3" fmla="val 16667"/>
                                </a:avLst>
                              </a:prstGeom>
                              <a:solidFill>
                                <a:srgbClr val="FFFFFF"/>
                              </a:solidFill>
                              <a:ln w="9525" cap="flat" cmpd="sng">
                                <a:solidFill>
                                  <a:srgbClr val="FF0000"/>
                                </a:solidFill>
                                <a:prstDash val="solid"/>
                                <a:miter/>
                                <a:headEnd type="none" w="med" len="med"/>
                                <a:tailEnd type="none" w="med" len="med"/>
                              </a:ln>
                            </wps:spPr>
                            <wps:txbx>
                              <w:txbxContent>
                                <w:p w14:paraId="19EA7384">
                                  <w:pPr>
                                    <w:rPr>
                                      <w:rFonts w:eastAsia="宋体"/>
                                      <w:color w:val="C00000"/>
                                    </w:rPr>
                                  </w:pPr>
                                  <w:r>
                                    <w:rPr>
                                      <w:rFonts w:hint="eastAsia"/>
                                      <w:color w:val="C00000"/>
                                    </w:rPr>
                                    <w:t>项目地</w:t>
                                  </w:r>
                                </w:p>
                              </w:txbxContent>
                            </wps:txbx>
                            <wps:bodyPr vert="horz" wrap="square" anchor="t" anchorCtr="0" upright="1"/>
                          </wps:wsp>
                        </a:graphicData>
                      </a:graphic>
                    </wp:anchor>
                  </w:drawing>
                </mc:Choice>
                <mc:Fallback>
                  <w:pict>
                    <v:shape id="自选图形 636" o:spid="_x0000_s1026" o:spt="62" type="#_x0000_t62" style="position:absolute;left:0pt;margin-left:285.6pt;margin-top:135pt;height:30.2pt;width:54.35pt;z-index:251669504;mso-width-relative:page;mso-height-relative:page;" fillcolor="#FFFFFF" filled="t" stroked="t" coordsize="21600,21600" o:gfxdata="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R1CAo2gAAAAsBAAAPAAAAAAAAAAEAIAAAACIAAABkcnMvZG93bnJldi54&#10;bWxQSwECFAAUAAAACACHTuJAbR7Z82oCAADtBAAADgAAAAAAAAABACAAAAApAQAAZHJzL2Uyb0Rv&#10;Yy54bWxQSwUGAAAAAAYABgBZAQAABQYAAAAA&#10;" adj="-33741,86185,14400">
                      <v:fill on="t" focussize="0,0"/>
                      <v:stroke color="#FF0000" joinstyle="miter"/>
                      <v:imagedata o:title=""/>
                      <o:lock v:ext="edit" aspectratio="f"/>
                      <v:textbox>
                        <w:txbxContent>
                          <w:p w14:paraId="19EA7384">
                            <w:pPr>
                              <w:rPr>
                                <w:rFonts w:eastAsia="宋体"/>
                                <w:color w:val="C00000"/>
                              </w:rPr>
                            </w:pPr>
                            <w:r>
                              <w:rPr>
                                <w:rFonts w:hint="eastAsia"/>
                                <w:color w:val="C00000"/>
                              </w:rPr>
                              <w:t>项目地</w:t>
                            </w:r>
                          </w:p>
                        </w:txbxContent>
                      </v:textbox>
                    </v:shape>
                  </w:pict>
                </mc:Fallback>
              </mc:AlternateContent>
            </w:r>
            <w:r>
              <w:drawing>
                <wp:anchor distT="0" distB="0" distL="114300" distR="114300" simplePos="0" relativeHeight="251668480" behindDoc="0" locked="0" layoutInCell="1" allowOverlap="1">
                  <wp:simplePos x="0" y="0"/>
                  <wp:positionH relativeFrom="column">
                    <wp:posOffset>-73660</wp:posOffset>
                  </wp:positionH>
                  <wp:positionV relativeFrom="paragraph">
                    <wp:posOffset>5183505</wp:posOffset>
                  </wp:positionV>
                  <wp:extent cx="1616710" cy="574675"/>
                  <wp:effectExtent l="0" t="0" r="2540" b="15875"/>
                  <wp:wrapNone/>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23"/>
                          <a:stretch>
                            <a:fillRect/>
                          </a:stretch>
                        </pic:blipFill>
                        <pic:spPr>
                          <a:xfrm>
                            <a:off x="0" y="0"/>
                            <a:ext cx="1616710" cy="574675"/>
                          </a:xfrm>
                          <a:prstGeom prst="rect">
                            <a:avLst/>
                          </a:prstGeom>
                          <a:noFill/>
                          <a:ln>
                            <a:noFill/>
                          </a:ln>
                        </pic:spPr>
                      </pic:pic>
                    </a:graphicData>
                  </a:graphic>
                </wp:anchor>
              </w:drawing>
            </w:r>
            <w:r>
              <mc:AlternateContent>
                <mc:Choice Requires="wps">
                  <w:drawing>
                    <wp:anchor distT="0" distB="0" distL="114300" distR="114300" simplePos="0" relativeHeight="251667456" behindDoc="0" locked="0" layoutInCell="1" allowOverlap="1">
                      <wp:simplePos x="0" y="0"/>
                      <wp:positionH relativeFrom="column">
                        <wp:posOffset>1783080</wp:posOffset>
                      </wp:positionH>
                      <wp:positionV relativeFrom="paragraph">
                        <wp:posOffset>2665095</wp:posOffset>
                      </wp:positionV>
                      <wp:extent cx="1677670" cy="1266825"/>
                      <wp:effectExtent l="4445" t="457835" r="13335" b="8890"/>
                      <wp:wrapNone/>
                      <wp:docPr id="23" name="自选图形 612"/>
                      <wp:cNvGraphicFramePr/>
                      <a:graphic xmlns:a="http://schemas.openxmlformats.org/drawingml/2006/main">
                        <a:graphicData uri="http://schemas.microsoft.com/office/word/2010/wordprocessingShape">
                          <wps:wsp>
                            <wps:cNvSpPr/>
                            <wps:spPr>
                              <a:xfrm>
                                <a:off x="0" y="0"/>
                                <a:ext cx="1677670" cy="1266825"/>
                              </a:xfrm>
                              <a:prstGeom prst="wedgeRectCallout">
                                <a:avLst>
                                  <a:gd name="adj1" fmla="val 21934"/>
                                  <a:gd name="adj2" fmla="val -85264"/>
                                </a:avLst>
                              </a:prstGeom>
                              <a:solidFill>
                                <a:srgbClr val="FFFFFF"/>
                              </a:solidFill>
                              <a:ln w="9525" cap="flat" cmpd="sng">
                                <a:solidFill>
                                  <a:srgbClr val="FF0000"/>
                                </a:solidFill>
                                <a:prstDash val="solid"/>
                                <a:miter/>
                                <a:headEnd type="none" w="med" len="med"/>
                                <a:tailEnd type="none" w="med" len="med"/>
                              </a:ln>
                            </wps:spPr>
                            <wps:txbx>
                              <w:txbxContent>
                                <w:p w14:paraId="687E9B6C">
                                  <w:pPr>
                                    <w:rPr>
                                      <w:rFonts w:eastAsia="宋体"/>
                                    </w:rPr>
                                  </w:pPr>
                                  <w:r>
                                    <w:drawing>
                                      <wp:inline distT="0" distB="0" distL="114300" distR="114300">
                                        <wp:extent cx="1539875" cy="1104265"/>
                                        <wp:effectExtent l="0" t="0" r="3175" b="63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24"/>
                                                <a:stretch>
                                                  <a:fillRect/>
                                                </a:stretch>
                                              </pic:blipFill>
                                              <pic:spPr>
                                                <a:xfrm>
                                                  <a:off x="0" y="0"/>
                                                  <a:ext cx="1539875" cy="1104265"/>
                                                </a:xfrm>
                                                <a:prstGeom prst="rect">
                                                  <a:avLst/>
                                                </a:prstGeom>
                                                <a:noFill/>
                                                <a:ln>
                                                  <a:noFill/>
                                                </a:ln>
                                              </pic:spPr>
                                            </pic:pic>
                                          </a:graphicData>
                                        </a:graphic>
                                      </wp:inline>
                                    </w:drawing>
                                  </w:r>
                                </w:p>
                                <w:p w14:paraId="3F1E1C3D">
                                  <w:pPr>
                                    <w:pStyle w:val="4"/>
                                    <w:jc w:val="both"/>
                                    <w:rPr>
                                      <w:color w:val="FF0000"/>
                                    </w:rPr>
                                  </w:pPr>
                                </w:p>
                              </w:txbxContent>
                            </wps:txbx>
                            <wps:bodyPr vert="horz" wrap="square" anchor="t" anchorCtr="0" upright="1"/>
                          </wps:wsp>
                        </a:graphicData>
                      </a:graphic>
                    </wp:anchor>
                  </w:drawing>
                </mc:Choice>
                <mc:Fallback>
                  <w:pict>
                    <v:shape id="自选图形 612" o:spid="_x0000_s1026" o:spt="61" type="#_x0000_t61" style="position:absolute;left:0pt;margin-left:140.4pt;margin-top:209.85pt;height:99.75pt;width:132.1pt;z-index:251667456;mso-width-relative:page;mso-height-relative:page;" fillcolor="#FFFFFF" filled="t" stroked="t" coordsize="21600,21600" o:gfxdata="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ymz&#10;oNgAAAALAQAADwAAAAAAAAABACAAAAAiAAAAZHJzL2Rvd25yZXYueG1sUEsBAhQAFAAAAAgAh07i&#10;QMvD2FxbAgAAxAQAAA4AAAAAAAAAAQAgAAAAJwEAAGRycy9lMm9Eb2MueG1sUEsFBgAAAAAGAAYA&#10;WQEAAPQFAAAAAA==&#10;" adj="15538,-7617">
                      <v:fill on="t" focussize="0,0"/>
                      <v:stroke color="#FF0000" joinstyle="miter"/>
                      <v:imagedata o:title=""/>
                      <o:lock v:ext="edit" aspectratio="f"/>
                      <v:textbox>
                        <w:txbxContent>
                          <w:p w14:paraId="687E9B6C">
                            <w:pPr>
                              <w:rPr>
                                <w:rFonts w:eastAsia="宋体"/>
                              </w:rPr>
                            </w:pPr>
                            <w:r>
                              <w:drawing>
                                <wp:inline distT="0" distB="0" distL="114300" distR="114300">
                                  <wp:extent cx="1539875" cy="1104265"/>
                                  <wp:effectExtent l="0" t="0" r="3175" b="63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24"/>
                                          <a:stretch>
                                            <a:fillRect/>
                                          </a:stretch>
                                        </pic:blipFill>
                                        <pic:spPr>
                                          <a:xfrm>
                                            <a:off x="0" y="0"/>
                                            <a:ext cx="1539875" cy="1104265"/>
                                          </a:xfrm>
                                          <a:prstGeom prst="rect">
                                            <a:avLst/>
                                          </a:prstGeom>
                                          <a:noFill/>
                                          <a:ln>
                                            <a:noFill/>
                                          </a:ln>
                                        </pic:spPr>
                                      </pic:pic>
                                    </a:graphicData>
                                  </a:graphic>
                                </wp:inline>
                              </w:drawing>
                            </w:r>
                          </w:p>
                          <w:p w14:paraId="3F1E1C3D">
                            <w:pPr>
                              <w:pStyle w:val="4"/>
                              <w:jc w:val="both"/>
                              <w:rPr>
                                <w:color w:val="FF0000"/>
                              </w:rPr>
                            </w:pPr>
                          </w:p>
                        </w:txbxContent>
                      </v:textbox>
                    </v:shape>
                  </w:pict>
                </mc:Fallback>
              </mc:AlternateContent>
            </w:r>
            <w:r>
              <w:rPr>
                <w:kern w:val="0"/>
                <w:szCs w:val="20"/>
              </w:rPr>
              <w:drawing>
                <wp:inline distT="0" distB="0" distL="114300" distR="114300">
                  <wp:extent cx="4279265" cy="5733415"/>
                  <wp:effectExtent l="0" t="0" r="6985" b="635"/>
                  <wp:docPr id="36" name="图片 36" descr="d17e9d2f132325dd159fd444491d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17e9d2f132325dd159fd444491d3299"/>
                          <pic:cNvPicPr>
                            <a:picLocks noChangeAspect="1"/>
                          </pic:cNvPicPr>
                        </pic:nvPicPr>
                        <pic:blipFill>
                          <a:blip r:embed="rId25"/>
                          <a:stretch>
                            <a:fillRect/>
                          </a:stretch>
                        </pic:blipFill>
                        <pic:spPr>
                          <a:xfrm>
                            <a:off x="0" y="0"/>
                            <a:ext cx="4279265" cy="5733415"/>
                          </a:xfrm>
                          <a:prstGeom prst="rect">
                            <a:avLst/>
                          </a:prstGeom>
                        </pic:spPr>
                      </pic:pic>
                    </a:graphicData>
                  </a:graphic>
                </wp:inline>
              </w:drawing>
            </w:r>
          </w:p>
          <w:p w14:paraId="5AB7B40A">
            <w:pPr>
              <w:pStyle w:val="47"/>
              <w:spacing w:before="156"/>
              <w:ind w:firstLine="0" w:firstLineChars="0"/>
              <w:jc w:val="center"/>
              <w:rPr>
                <w:rFonts w:hint="default" w:ascii="Times New Roman" w:hAnsi="Times New Roman" w:cs="Times New Roman"/>
              </w:rPr>
            </w:pPr>
            <w:r>
              <w:rPr>
                <w:rFonts w:hint="default" w:ascii="Times New Roman" w:hAnsi="Times New Roman" w:cs="Times New Roman"/>
              </w:rPr>
              <w:t>图1.5-1 淮南市“三区三线”划定图（详见附图9）</w:t>
            </w:r>
          </w:p>
          <w:p w14:paraId="5482C26B">
            <w:pPr>
              <w:pStyle w:val="62"/>
              <w:rPr>
                <w:b/>
                <w:bCs w:val="0"/>
                <w:kern w:val="0"/>
              </w:rPr>
            </w:pPr>
            <w:r>
              <w:rPr>
                <w:b/>
                <w:bCs w:val="0"/>
                <w:kern w:val="0"/>
              </w:rPr>
              <w:t>5、与《安徽省淮河流域水污染防治条例》相符性</w:t>
            </w:r>
          </w:p>
          <w:p w14:paraId="37695418">
            <w:pPr>
              <w:pStyle w:val="53"/>
              <w:rPr>
                <w:b w:val="0"/>
                <w:kern w:val="0"/>
                <w:szCs w:val="20"/>
              </w:rPr>
            </w:pPr>
            <w:r>
              <w:rPr>
                <w:b w:val="0"/>
                <w:kern w:val="0"/>
                <w:szCs w:val="20"/>
              </w:rPr>
              <w:t>本项目距离淮河最近距离约7.7km，对照《安徽省淮河流域水污染防治条例》（安徽省第十三届人民代表大会常务委员会第六次会议修订，2019.1.1），项目符合性分析见下表：</w:t>
            </w:r>
          </w:p>
          <w:p w14:paraId="5ECBF2A9">
            <w:pPr>
              <w:pStyle w:val="47"/>
              <w:spacing w:before="156"/>
              <w:ind w:firstLine="0"/>
              <w:rPr>
                <w:rFonts w:hint="default" w:ascii="Times New Roman" w:hAnsi="Times New Roman" w:cs="Times New Roman"/>
              </w:rPr>
            </w:pPr>
            <w:r>
              <w:rPr>
                <w:b/>
                <w:kern w:val="2"/>
                <w:sz w:val="21"/>
                <w:szCs w:val="24"/>
              </w:rPr>
              <w:t>表 1-</w:t>
            </w:r>
            <w:r>
              <w:rPr>
                <w:b/>
                <w:kern w:val="2"/>
                <w:sz w:val="21"/>
                <w:szCs w:val="24"/>
              </w:rPr>
              <w:fldChar w:fldCharType="begin"/>
            </w:r>
            <w:r>
              <w:rPr>
                <w:b/>
                <w:kern w:val="2"/>
                <w:sz w:val="21"/>
                <w:szCs w:val="24"/>
              </w:rPr>
              <w:instrText xml:space="preserve"> SEQ 表 \* ARABIC \s 1 </w:instrText>
            </w:r>
            <w:r>
              <w:rPr>
                <w:b/>
                <w:kern w:val="2"/>
                <w:sz w:val="21"/>
                <w:szCs w:val="24"/>
              </w:rPr>
              <w:fldChar w:fldCharType="separate"/>
            </w:r>
            <w:r>
              <w:rPr>
                <w:b/>
                <w:kern w:val="2"/>
                <w:sz w:val="21"/>
                <w:szCs w:val="24"/>
              </w:rPr>
              <w:t>6</w:t>
            </w:r>
            <w:r>
              <w:rPr>
                <w:b/>
                <w:kern w:val="2"/>
                <w:sz w:val="21"/>
                <w:szCs w:val="24"/>
              </w:rPr>
              <w:fldChar w:fldCharType="end"/>
            </w:r>
            <w:r>
              <w:rPr>
                <w:b/>
                <w:kern w:val="2"/>
                <w:sz w:val="21"/>
                <w:szCs w:val="24"/>
              </w:rPr>
              <w:t xml:space="preserve"> 与《安徽省淮河流域水污染防治条例》符合性分析</w:t>
            </w:r>
          </w:p>
          <w:tbl>
            <w:tblPr>
              <w:tblStyle w:val="22"/>
              <w:tblW w:w="4997"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
              <w:gridCol w:w="3734"/>
              <w:gridCol w:w="2521"/>
              <w:gridCol w:w="984"/>
            </w:tblGrid>
            <w:tr w14:paraId="18ACA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Align w:val="center"/>
                </w:tcPr>
                <w:p w14:paraId="51292458">
                  <w:pPr>
                    <w:pStyle w:val="29"/>
                    <w:overflowPunct w:val="0"/>
                    <w:autoSpaceDE w:val="0"/>
                    <w:autoSpaceDN w:val="0"/>
                    <w:rPr>
                      <w:b/>
                      <w:bCs/>
                      <w:sz w:val="21"/>
                      <w:szCs w:val="21"/>
                    </w:rPr>
                  </w:pPr>
                  <w:r>
                    <w:rPr>
                      <w:b/>
                      <w:bCs/>
                      <w:sz w:val="21"/>
                      <w:szCs w:val="21"/>
                    </w:rPr>
                    <w:t>条款</w:t>
                  </w:r>
                </w:p>
              </w:tc>
              <w:tc>
                <w:tcPr>
                  <w:tcW w:w="3465" w:type="dxa"/>
                  <w:vAlign w:val="center"/>
                </w:tcPr>
                <w:p w14:paraId="326433D6">
                  <w:pPr>
                    <w:pStyle w:val="29"/>
                    <w:overflowPunct w:val="0"/>
                    <w:autoSpaceDE w:val="0"/>
                    <w:autoSpaceDN w:val="0"/>
                    <w:rPr>
                      <w:b/>
                      <w:bCs/>
                      <w:sz w:val="21"/>
                      <w:szCs w:val="21"/>
                    </w:rPr>
                  </w:pPr>
                  <w:r>
                    <w:rPr>
                      <w:b/>
                      <w:bCs/>
                      <w:sz w:val="21"/>
                      <w:szCs w:val="21"/>
                    </w:rPr>
                    <w:t>条例内容</w:t>
                  </w:r>
                </w:p>
              </w:tc>
              <w:tc>
                <w:tcPr>
                  <w:tcW w:w="2340" w:type="dxa"/>
                  <w:vAlign w:val="center"/>
                </w:tcPr>
                <w:p w14:paraId="492579D9">
                  <w:pPr>
                    <w:pStyle w:val="29"/>
                    <w:overflowPunct w:val="0"/>
                    <w:autoSpaceDE w:val="0"/>
                    <w:autoSpaceDN w:val="0"/>
                    <w:rPr>
                      <w:b/>
                      <w:bCs/>
                      <w:sz w:val="21"/>
                      <w:szCs w:val="21"/>
                    </w:rPr>
                  </w:pPr>
                  <w:r>
                    <w:rPr>
                      <w:b/>
                      <w:bCs/>
                      <w:sz w:val="21"/>
                      <w:szCs w:val="21"/>
                    </w:rPr>
                    <w:t>项目建设情况</w:t>
                  </w:r>
                </w:p>
              </w:tc>
              <w:tc>
                <w:tcPr>
                  <w:tcW w:w="913" w:type="dxa"/>
                  <w:vAlign w:val="center"/>
                </w:tcPr>
                <w:p w14:paraId="3DC06342">
                  <w:pPr>
                    <w:pStyle w:val="29"/>
                    <w:overflowPunct w:val="0"/>
                    <w:autoSpaceDE w:val="0"/>
                    <w:autoSpaceDN w:val="0"/>
                    <w:rPr>
                      <w:b/>
                      <w:bCs/>
                      <w:sz w:val="21"/>
                      <w:szCs w:val="21"/>
                    </w:rPr>
                  </w:pPr>
                  <w:r>
                    <w:rPr>
                      <w:b/>
                      <w:bCs/>
                      <w:sz w:val="21"/>
                      <w:szCs w:val="21"/>
                    </w:rPr>
                    <w:t>符合性分析</w:t>
                  </w:r>
                </w:p>
              </w:tc>
            </w:tr>
            <w:tr w14:paraId="00CF1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Align w:val="center"/>
                </w:tcPr>
                <w:p w14:paraId="3226442E">
                  <w:pPr>
                    <w:pStyle w:val="29"/>
                    <w:overflowPunct w:val="0"/>
                    <w:autoSpaceDE w:val="0"/>
                    <w:autoSpaceDN w:val="0"/>
                    <w:rPr>
                      <w:sz w:val="21"/>
                      <w:szCs w:val="21"/>
                    </w:rPr>
                  </w:pPr>
                  <w:r>
                    <w:rPr>
                      <w:sz w:val="21"/>
                      <w:szCs w:val="21"/>
                    </w:rPr>
                    <w:t>第十三条</w:t>
                  </w:r>
                </w:p>
              </w:tc>
              <w:tc>
                <w:tcPr>
                  <w:tcW w:w="3465" w:type="dxa"/>
                  <w:vAlign w:val="center"/>
                </w:tcPr>
                <w:p w14:paraId="01126824">
                  <w:pPr>
                    <w:pStyle w:val="29"/>
                    <w:overflowPunct w:val="0"/>
                    <w:autoSpaceDE w:val="0"/>
                    <w:autoSpaceDN w:val="0"/>
                    <w:jc w:val="left"/>
                    <w:rPr>
                      <w:sz w:val="21"/>
                      <w:szCs w:val="21"/>
                    </w:rPr>
                  </w:pPr>
                  <w:r>
                    <w:rPr>
                      <w:sz w:val="21"/>
                      <w:szCs w:val="21"/>
                    </w:rPr>
                    <w:t>严格限制在淮河流域新建印染、制革、化工、电镀、酿造等大中型项目或者其他污染严重的项目；建设该类项目的，应当事前征得省人民政府生态环境行政主管部门的同意，并按照规定办理有关手续</w:t>
                  </w:r>
                </w:p>
              </w:tc>
              <w:tc>
                <w:tcPr>
                  <w:tcW w:w="2340" w:type="dxa"/>
                  <w:vAlign w:val="center"/>
                </w:tcPr>
                <w:p w14:paraId="3A31CEDF">
                  <w:pPr>
                    <w:pStyle w:val="29"/>
                    <w:overflowPunct w:val="0"/>
                    <w:autoSpaceDE w:val="0"/>
                    <w:autoSpaceDN w:val="0"/>
                    <w:jc w:val="left"/>
                    <w:rPr>
                      <w:sz w:val="21"/>
                      <w:szCs w:val="21"/>
                    </w:rPr>
                  </w:pPr>
                  <w:r>
                    <w:rPr>
                      <w:sz w:val="21"/>
                      <w:szCs w:val="21"/>
                    </w:rPr>
                    <w:t>本项目属于C2231纸和纸板容器制造，不属于印染、制革、化工、电镀、酿造等大中型项目或者其他污染严重的项目。</w:t>
                  </w:r>
                </w:p>
              </w:tc>
              <w:tc>
                <w:tcPr>
                  <w:tcW w:w="913" w:type="dxa"/>
                  <w:vAlign w:val="center"/>
                </w:tcPr>
                <w:p w14:paraId="23DA17C8">
                  <w:pPr>
                    <w:pStyle w:val="29"/>
                    <w:overflowPunct w:val="0"/>
                    <w:autoSpaceDE w:val="0"/>
                    <w:autoSpaceDN w:val="0"/>
                    <w:rPr>
                      <w:sz w:val="21"/>
                      <w:szCs w:val="21"/>
                    </w:rPr>
                  </w:pPr>
                  <w:r>
                    <w:rPr>
                      <w:sz w:val="21"/>
                      <w:szCs w:val="21"/>
                    </w:rPr>
                    <w:t>符合</w:t>
                  </w:r>
                </w:p>
              </w:tc>
            </w:tr>
            <w:tr w14:paraId="3B367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Merge w:val="restart"/>
                  <w:vAlign w:val="center"/>
                </w:tcPr>
                <w:p w14:paraId="24FD6ABC">
                  <w:pPr>
                    <w:pStyle w:val="29"/>
                    <w:overflowPunct w:val="0"/>
                    <w:autoSpaceDE w:val="0"/>
                    <w:autoSpaceDN w:val="0"/>
                    <w:rPr>
                      <w:sz w:val="21"/>
                      <w:szCs w:val="21"/>
                    </w:rPr>
                  </w:pPr>
                  <w:r>
                    <w:rPr>
                      <w:sz w:val="21"/>
                      <w:szCs w:val="21"/>
                    </w:rPr>
                    <w:t>第十四条</w:t>
                  </w:r>
                </w:p>
              </w:tc>
              <w:tc>
                <w:tcPr>
                  <w:tcW w:w="3465" w:type="dxa"/>
                  <w:vAlign w:val="center"/>
                </w:tcPr>
                <w:p w14:paraId="28F482D2">
                  <w:pPr>
                    <w:pStyle w:val="29"/>
                    <w:overflowPunct w:val="0"/>
                    <w:autoSpaceDE w:val="0"/>
                    <w:autoSpaceDN w:val="0"/>
                    <w:jc w:val="left"/>
                    <w:rPr>
                      <w:sz w:val="21"/>
                      <w:szCs w:val="21"/>
                    </w:rPr>
                  </w:pPr>
                  <w:r>
                    <w:rPr>
                      <w:sz w:val="21"/>
                      <w:szCs w:val="21"/>
                    </w:rPr>
                    <w:t>新建、改建、扩建直接或者间接向水体排放污染物的建设项目和其他水上设施，应当依法进行环境影响评价。建设项目的水污染防治设施，应当符合经批准或者备案的环境影响评价文件的要求，并与主体工程同时设计、同时施工、同时投入使用</w:t>
                  </w:r>
                </w:p>
              </w:tc>
              <w:tc>
                <w:tcPr>
                  <w:tcW w:w="2340" w:type="dxa"/>
                  <w:vAlign w:val="center"/>
                </w:tcPr>
                <w:p w14:paraId="474B6D12">
                  <w:pPr>
                    <w:pStyle w:val="29"/>
                    <w:overflowPunct w:val="0"/>
                    <w:autoSpaceDE w:val="0"/>
                    <w:autoSpaceDN w:val="0"/>
                    <w:jc w:val="left"/>
                    <w:rPr>
                      <w:sz w:val="21"/>
                      <w:szCs w:val="21"/>
                    </w:rPr>
                  </w:pPr>
                  <w:r>
                    <w:rPr>
                      <w:sz w:val="21"/>
                      <w:szCs w:val="21"/>
                    </w:rPr>
                    <w:t>员工生活污水进入化粪池处理后经市政污水管网排入</w:t>
                  </w:r>
                  <w:r>
                    <w:rPr>
                      <w:rFonts w:hint="default" w:ascii="Times New Roman" w:hAnsi="Times New Roman" w:cs="Times New Roman"/>
                      <w:sz w:val="21"/>
                      <w:szCs w:val="21"/>
                      <w:lang w:eastAsia="zh-CN"/>
                    </w:rPr>
                    <w:t>淮南首创八公山污水处理厂</w:t>
                  </w:r>
                  <w:r>
                    <w:rPr>
                      <w:sz w:val="21"/>
                      <w:szCs w:val="21"/>
                    </w:rPr>
                    <w:t>；</w:t>
                  </w:r>
                  <w:r>
                    <w:rPr>
                      <w:bCs w:val="0"/>
                      <w:snapToGrid/>
                      <w:sz w:val="21"/>
                      <w:szCs w:val="21"/>
                      <w:shd w:val="clear"/>
                    </w:rPr>
                    <w:t>锅炉废水新建排污口DW001</w:t>
                  </w:r>
                  <w:r>
                    <w:rPr>
                      <w:rFonts w:hint="default" w:ascii="Times New Roman" w:hAnsi="Times New Roman" w:cs="Times New Roman"/>
                      <w:bCs w:val="0"/>
                      <w:snapToGrid/>
                      <w:sz w:val="21"/>
                      <w:szCs w:val="21"/>
                      <w:shd w:val="clear"/>
                      <w:lang w:eastAsia="zh-CN"/>
                    </w:rPr>
                    <w:t>依托园区污水管网</w:t>
                  </w:r>
                  <w:r>
                    <w:rPr>
                      <w:sz w:val="21"/>
                      <w:szCs w:val="21"/>
                    </w:rPr>
                    <w:t>排入</w:t>
                  </w:r>
                  <w:r>
                    <w:rPr>
                      <w:rFonts w:hint="default" w:ascii="Times New Roman" w:hAnsi="Times New Roman" w:cs="Times New Roman"/>
                      <w:sz w:val="21"/>
                      <w:szCs w:val="21"/>
                      <w:lang w:eastAsia="zh-CN"/>
                    </w:rPr>
                    <w:t>淮南首创八公山污水处理厂</w:t>
                  </w:r>
                  <w:r>
                    <w:rPr>
                      <w:sz w:val="21"/>
                      <w:szCs w:val="21"/>
                    </w:rPr>
                    <w:t>，为废水间接排放项目，项目目前正积极履行环评手续，严格履行三同时手续。</w:t>
                  </w:r>
                </w:p>
              </w:tc>
              <w:tc>
                <w:tcPr>
                  <w:tcW w:w="913" w:type="dxa"/>
                  <w:vAlign w:val="center"/>
                </w:tcPr>
                <w:p w14:paraId="33A42544">
                  <w:pPr>
                    <w:pStyle w:val="29"/>
                    <w:overflowPunct w:val="0"/>
                    <w:autoSpaceDE w:val="0"/>
                    <w:autoSpaceDN w:val="0"/>
                    <w:rPr>
                      <w:sz w:val="21"/>
                      <w:szCs w:val="21"/>
                    </w:rPr>
                  </w:pPr>
                  <w:r>
                    <w:rPr>
                      <w:sz w:val="21"/>
                      <w:szCs w:val="21"/>
                    </w:rPr>
                    <w:t>符合</w:t>
                  </w:r>
                </w:p>
              </w:tc>
            </w:tr>
            <w:tr w14:paraId="5B34B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Merge w:val="continue"/>
                  <w:vAlign w:val="center"/>
                </w:tcPr>
                <w:p w14:paraId="34427444">
                  <w:pPr>
                    <w:pStyle w:val="29"/>
                    <w:overflowPunct w:val="0"/>
                    <w:autoSpaceDE w:val="0"/>
                    <w:autoSpaceDN w:val="0"/>
                    <w:rPr>
                      <w:sz w:val="21"/>
                      <w:szCs w:val="21"/>
                    </w:rPr>
                  </w:pPr>
                </w:p>
              </w:tc>
              <w:tc>
                <w:tcPr>
                  <w:tcW w:w="3465" w:type="dxa"/>
                  <w:vAlign w:val="center"/>
                </w:tcPr>
                <w:p w14:paraId="7473113E">
                  <w:pPr>
                    <w:pStyle w:val="29"/>
                    <w:overflowPunct w:val="0"/>
                    <w:autoSpaceDE w:val="0"/>
                    <w:autoSpaceDN w:val="0"/>
                    <w:jc w:val="left"/>
                    <w:rPr>
                      <w:sz w:val="21"/>
                      <w:szCs w:val="21"/>
                    </w:rPr>
                  </w:pPr>
                  <w:r>
                    <w:rPr>
                      <w:sz w:val="21"/>
                      <w:szCs w:val="21"/>
                    </w:rPr>
                    <w:t>新建、扩建、改建项目，除执行前款规定外，还应当遵守下列规定：</w:t>
                  </w:r>
                </w:p>
                <w:p w14:paraId="7D696EBB">
                  <w:pPr>
                    <w:pStyle w:val="29"/>
                    <w:overflowPunct w:val="0"/>
                    <w:autoSpaceDE w:val="0"/>
                    <w:autoSpaceDN w:val="0"/>
                    <w:jc w:val="left"/>
                    <w:rPr>
                      <w:sz w:val="21"/>
                      <w:szCs w:val="21"/>
                    </w:rPr>
                  </w:pPr>
                  <w:r>
                    <w:rPr>
                      <w:sz w:val="21"/>
                      <w:szCs w:val="21"/>
                    </w:rPr>
                    <w:t>（一）新建项目的选址应符合城市总体规划，避开饮用水水源地和对环境有特殊要求的功能区；</w:t>
                  </w:r>
                </w:p>
                <w:p w14:paraId="50C9FBD6">
                  <w:pPr>
                    <w:pStyle w:val="29"/>
                    <w:overflowPunct w:val="0"/>
                    <w:autoSpaceDE w:val="0"/>
                    <w:autoSpaceDN w:val="0"/>
                    <w:jc w:val="left"/>
                    <w:rPr>
                      <w:sz w:val="21"/>
                      <w:szCs w:val="21"/>
                    </w:rPr>
                  </w:pPr>
                  <w:r>
                    <w:rPr>
                      <w:sz w:val="21"/>
                      <w:szCs w:val="21"/>
                    </w:rPr>
                    <w:t>（二）采用资源利用率高、污染物排放量少的先进设备和先进工艺；</w:t>
                  </w:r>
                </w:p>
                <w:p w14:paraId="6FCF1CFA">
                  <w:pPr>
                    <w:pStyle w:val="29"/>
                    <w:overflowPunct w:val="0"/>
                    <w:autoSpaceDE w:val="0"/>
                    <w:autoSpaceDN w:val="0"/>
                    <w:jc w:val="left"/>
                    <w:rPr>
                      <w:sz w:val="21"/>
                      <w:szCs w:val="21"/>
                    </w:rPr>
                  </w:pPr>
                  <w:r>
                    <w:rPr>
                      <w:sz w:val="21"/>
                      <w:szCs w:val="21"/>
                    </w:rPr>
                    <w:t>（三）改建、扩建项目和技改项目应当把水污染治理纳入项目内容。</w:t>
                  </w:r>
                </w:p>
                <w:p w14:paraId="779793A9">
                  <w:pPr>
                    <w:pStyle w:val="29"/>
                    <w:overflowPunct w:val="0"/>
                    <w:autoSpaceDE w:val="0"/>
                    <w:autoSpaceDN w:val="0"/>
                    <w:jc w:val="left"/>
                    <w:rPr>
                      <w:sz w:val="21"/>
                      <w:szCs w:val="21"/>
                    </w:rPr>
                  </w:pPr>
                  <w:r>
                    <w:rPr>
                      <w:sz w:val="21"/>
                      <w:szCs w:val="21"/>
                    </w:rPr>
                    <w:t>工程配套建设的水污染防治设施竣工后，建设单位应当按照国务院生态环境行政主管部门规定的标准和程序进行验收。验收合格后，方可投入使用；未经验收或者</w:t>
                  </w:r>
                </w:p>
                <w:p w14:paraId="0D08A984">
                  <w:pPr>
                    <w:pStyle w:val="29"/>
                    <w:overflowPunct w:val="0"/>
                    <w:autoSpaceDE w:val="0"/>
                    <w:autoSpaceDN w:val="0"/>
                    <w:jc w:val="left"/>
                    <w:rPr>
                      <w:sz w:val="21"/>
                      <w:szCs w:val="21"/>
                    </w:rPr>
                  </w:pPr>
                  <w:r>
                    <w:rPr>
                      <w:sz w:val="21"/>
                      <w:szCs w:val="21"/>
                    </w:rPr>
                    <w:t>验收不合格的，不得投入生产或者使用</w:t>
                  </w:r>
                </w:p>
              </w:tc>
              <w:tc>
                <w:tcPr>
                  <w:tcW w:w="2340" w:type="dxa"/>
                  <w:vAlign w:val="center"/>
                </w:tcPr>
                <w:p w14:paraId="205BEED1">
                  <w:pPr>
                    <w:pStyle w:val="29"/>
                    <w:overflowPunct w:val="0"/>
                    <w:autoSpaceDE w:val="0"/>
                    <w:autoSpaceDN w:val="0"/>
                    <w:jc w:val="left"/>
                    <w:rPr>
                      <w:sz w:val="21"/>
                      <w:szCs w:val="21"/>
                    </w:rPr>
                  </w:pPr>
                  <w:r>
                    <w:rPr>
                      <w:sz w:val="21"/>
                      <w:szCs w:val="21"/>
                    </w:rPr>
                    <w:t>本项目选址符合用地和产业规划，评价范围内不涉及饮用水水源地和对环境有特殊要求的功能区。项目采用资源利用率高，污染物排放量少的先进设备和先进工艺。</w:t>
                  </w:r>
                </w:p>
                <w:p w14:paraId="01E594CE">
                  <w:pPr>
                    <w:pStyle w:val="29"/>
                    <w:overflowPunct w:val="0"/>
                    <w:autoSpaceDE w:val="0"/>
                    <w:autoSpaceDN w:val="0"/>
                    <w:jc w:val="left"/>
                    <w:rPr>
                      <w:sz w:val="21"/>
                      <w:szCs w:val="21"/>
                    </w:rPr>
                  </w:pPr>
                  <w:r>
                    <w:rPr>
                      <w:sz w:val="21"/>
                      <w:szCs w:val="21"/>
                    </w:rPr>
                    <w:t>项目按照国务院生态环境行政主管部门规定的标准和程序进行验收。验收合格后，方可投入使用；未经验收或者验收不合格的，不得投入生产或者使用。</w:t>
                  </w:r>
                </w:p>
              </w:tc>
              <w:tc>
                <w:tcPr>
                  <w:tcW w:w="913" w:type="dxa"/>
                  <w:vAlign w:val="center"/>
                </w:tcPr>
                <w:p w14:paraId="5F8A643F">
                  <w:pPr>
                    <w:pStyle w:val="29"/>
                    <w:overflowPunct w:val="0"/>
                    <w:autoSpaceDE w:val="0"/>
                    <w:autoSpaceDN w:val="0"/>
                    <w:rPr>
                      <w:sz w:val="21"/>
                      <w:szCs w:val="21"/>
                    </w:rPr>
                  </w:pPr>
                  <w:r>
                    <w:rPr>
                      <w:sz w:val="21"/>
                      <w:szCs w:val="21"/>
                    </w:rPr>
                    <w:t>符合</w:t>
                  </w:r>
                </w:p>
              </w:tc>
            </w:tr>
            <w:tr w14:paraId="5DFC5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Align w:val="center"/>
                </w:tcPr>
                <w:p w14:paraId="1004685B">
                  <w:pPr>
                    <w:pStyle w:val="29"/>
                    <w:overflowPunct w:val="0"/>
                    <w:autoSpaceDE w:val="0"/>
                    <w:autoSpaceDN w:val="0"/>
                    <w:rPr>
                      <w:sz w:val="21"/>
                      <w:szCs w:val="21"/>
                    </w:rPr>
                  </w:pPr>
                  <w:r>
                    <w:rPr>
                      <w:sz w:val="21"/>
                      <w:szCs w:val="21"/>
                    </w:rPr>
                    <w:t>第十五条</w:t>
                  </w:r>
                </w:p>
              </w:tc>
              <w:tc>
                <w:tcPr>
                  <w:tcW w:w="3465" w:type="dxa"/>
                  <w:vAlign w:val="center"/>
                </w:tcPr>
                <w:p w14:paraId="1424292D">
                  <w:pPr>
                    <w:pStyle w:val="29"/>
                    <w:overflowPunct w:val="0"/>
                    <w:autoSpaceDE w:val="0"/>
                    <w:autoSpaceDN w:val="0"/>
                    <w:jc w:val="left"/>
                    <w:rPr>
                      <w:sz w:val="21"/>
                      <w:szCs w:val="21"/>
                    </w:rPr>
                  </w:pPr>
                  <w:r>
                    <w:rPr>
                      <w:sz w:val="21"/>
                      <w:szCs w:val="21"/>
                      <w:lang w:val="zh-CN"/>
                    </w:rPr>
                    <w:t>所有排污单位的污水治理设施，应当确保正常运转，达标排放</w:t>
                  </w:r>
                </w:p>
              </w:tc>
              <w:tc>
                <w:tcPr>
                  <w:tcW w:w="2340" w:type="dxa"/>
                  <w:vAlign w:val="center"/>
                </w:tcPr>
                <w:p w14:paraId="4A4C6D14">
                  <w:pPr>
                    <w:pStyle w:val="29"/>
                    <w:overflowPunct w:val="0"/>
                    <w:autoSpaceDE w:val="0"/>
                    <w:autoSpaceDN w:val="0"/>
                    <w:jc w:val="left"/>
                    <w:rPr>
                      <w:sz w:val="21"/>
                      <w:szCs w:val="21"/>
                      <w:lang w:val="zh-CN"/>
                    </w:rPr>
                  </w:pPr>
                  <w:r>
                    <w:rPr>
                      <w:sz w:val="21"/>
                      <w:szCs w:val="21"/>
                    </w:rPr>
                    <w:t>员工生活污水进入化粪池处理后经市政污水管网排入</w:t>
                  </w:r>
                  <w:r>
                    <w:rPr>
                      <w:rFonts w:hint="default" w:ascii="Times New Roman" w:hAnsi="Times New Roman" w:cs="Times New Roman"/>
                      <w:sz w:val="21"/>
                      <w:szCs w:val="21"/>
                      <w:lang w:eastAsia="zh-CN"/>
                    </w:rPr>
                    <w:t>淮南首创八公山污水处理厂</w:t>
                  </w:r>
                  <w:r>
                    <w:rPr>
                      <w:sz w:val="21"/>
                      <w:szCs w:val="21"/>
                    </w:rPr>
                    <w:t>；</w:t>
                  </w:r>
                  <w:r>
                    <w:rPr>
                      <w:rFonts w:hint="default" w:ascii="Times New Roman" w:hAnsi="Times New Roman" w:cs="Times New Roman"/>
                      <w:bCs w:val="0"/>
                      <w:snapToGrid/>
                      <w:sz w:val="21"/>
                      <w:szCs w:val="21"/>
                      <w:shd w:val="clear"/>
                    </w:rPr>
                    <w:t>锅炉废水经新建排污口DW001依托园区污水管网排入</w:t>
                  </w:r>
                  <w:r>
                    <w:rPr>
                      <w:rFonts w:hint="default" w:ascii="Times New Roman" w:hAnsi="Times New Roman" w:cs="Times New Roman"/>
                      <w:bCs w:val="0"/>
                      <w:snapToGrid/>
                      <w:sz w:val="21"/>
                      <w:szCs w:val="21"/>
                      <w:shd w:val="clear"/>
                      <w:lang w:eastAsia="zh-CN"/>
                    </w:rPr>
                    <w:t>淮南首创八公山污水处理厂</w:t>
                  </w:r>
                  <w:r>
                    <w:rPr>
                      <w:sz w:val="21"/>
                      <w:szCs w:val="21"/>
                      <w:lang w:val="zh-CN"/>
                    </w:rPr>
                    <w:t>。排放的废水能够满足《污水综合排放标准》（GB8978-1996）表4中三级标准和</w:t>
                  </w:r>
                  <w:r>
                    <w:rPr>
                      <w:rFonts w:hint="default" w:ascii="Times New Roman" w:hAnsi="Times New Roman" w:cs="Times New Roman"/>
                      <w:sz w:val="21"/>
                      <w:szCs w:val="21"/>
                      <w:lang w:val="zh-CN"/>
                    </w:rPr>
                    <w:t>淮南首创八公山污水处理厂</w:t>
                  </w:r>
                  <w:r>
                    <w:rPr>
                      <w:sz w:val="21"/>
                      <w:szCs w:val="21"/>
                      <w:lang w:val="zh-CN"/>
                    </w:rPr>
                    <w:t>接管标准。</w:t>
                  </w:r>
                </w:p>
              </w:tc>
              <w:tc>
                <w:tcPr>
                  <w:tcW w:w="913" w:type="dxa"/>
                  <w:vAlign w:val="center"/>
                </w:tcPr>
                <w:p w14:paraId="710167E9">
                  <w:pPr>
                    <w:pStyle w:val="29"/>
                    <w:overflowPunct w:val="0"/>
                    <w:autoSpaceDE w:val="0"/>
                    <w:autoSpaceDN w:val="0"/>
                    <w:rPr>
                      <w:sz w:val="21"/>
                      <w:szCs w:val="21"/>
                      <w:lang w:val="zh-CN"/>
                    </w:rPr>
                  </w:pPr>
                  <w:r>
                    <w:rPr>
                      <w:sz w:val="21"/>
                      <w:szCs w:val="21"/>
                      <w:lang w:val="zh-CN"/>
                    </w:rPr>
                    <w:t>符合</w:t>
                  </w:r>
                </w:p>
              </w:tc>
            </w:tr>
            <w:tr w14:paraId="57EFB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Align w:val="center"/>
                </w:tcPr>
                <w:p w14:paraId="34F1D218">
                  <w:pPr>
                    <w:pStyle w:val="29"/>
                    <w:overflowPunct w:val="0"/>
                    <w:autoSpaceDE w:val="0"/>
                    <w:autoSpaceDN w:val="0"/>
                    <w:rPr>
                      <w:sz w:val="21"/>
                      <w:szCs w:val="21"/>
                    </w:rPr>
                  </w:pPr>
                  <w:r>
                    <w:rPr>
                      <w:sz w:val="21"/>
                      <w:szCs w:val="21"/>
                    </w:rPr>
                    <w:t>第十七条</w:t>
                  </w:r>
                </w:p>
              </w:tc>
              <w:tc>
                <w:tcPr>
                  <w:tcW w:w="3465" w:type="dxa"/>
                  <w:vAlign w:val="center"/>
                </w:tcPr>
                <w:p w14:paraId="3C15B24B">
                  <w:pPr>
                    <w:pStyle w:val="29"/>
                    <w:overflowPunct w:val="0"/>
                    <w:autoSpaceDE w:val="0"/>
                    <w:autoSpaceDN w:val="0"/>
                    <w:jc w:val="left"/>
                    <w:rPr>
                      <w:sz w:val="21"/>
                      <w:szCs w:val="21"/>
                    </w:rPr>
                  </w:pPr>
                  <w:r>
                    <w:rPr>
                      <w:sz w:val="21"/>
                      <w:szCs w:val="21"/>
                    </w:rPr>
                    <w:t>在饮用水水源保护区内，禁止设置排污口。在风景名胜区水体、重要渔业水体和其他具有特殊经济文化价值的水体的保护区内，不得新建排污口。在保护区附近新建排污口，应当保证保护区水体不受污染</w:t>
                  </w:r>
                </w:p>
              </w:tc>
              <w:tc>
                <w:tcPr>
                  <w:tcW w:w="2340" w:type="dxa"/>
                  <w:vAlign w:val="center"/>
                </w:tcPr>
                <w:p w14:paraId="2765BD57">
                  <w:pPr>
                    <w:pStyle w:val="29"/>
                    <w:overflowPunct w:val="0"/>
                    <w:autoSpaceDE w:val="0"/>
                    <w:autoSpaceDN w:val="0"/>
                    <w:jc w:val="left"/>
                    <w:rPr>
                      <w:sz w:val="21"/>
                      <w:szCs w:val="21"/>
                    </w:rPr>
                  </w:pPr>
                  <w:r>
                    <w:rPr>
                      <w:rFonts w:hint="default" w:ascii="Times New Roman" w:hAnsi="Times New Roman" w:cs="Times New Roman"/>
                      <w:sz w:val="21"/>
                      <w:szCs w:val="21"/>
                      <w:lang w:eastAsia="zh-CN"/>
                    </w:rPr>
                    <w:t>项目设置一个厂区污水排放口</w:t>
                  </w:r>
                  <w:r>
                    <w:rPr>
                      <w:rFonts w:hint="default" w:ascii="Times New Roman" w:hAnsi="Times New Roman" w:cs="Times New Roman"/>
                      <w:sz w:val="21"/>
                      <w:szCs w:val="21"/>
                      <w:lang w:val="en-US" w:eastAsia="zh-CN"/>
                    </w:rPr>
                    <w:t>DW001，锅炉废水经新建排污口DW001依托园区污水管网排入淮南首创八公山污水处理厂。为间接排放。</w:t>
                  </w:r>
                </w:p>
              </w:tc>
              <w:tc>
                <w:tcPr>
                  <w:tcW w:w="913" w:type="dxa"/>
                  <w:vAlign w:val="center"/>
                </w:tcPr>
                <w:p w14:paraId="051D8122">
                  <w:pPr>
                    <w:pStyle w:val="29"/>
                    <w:overflowPunct w:val="0"/>
                    <w:autoSpaceDE w:val="0"/>
                    <w:autoSpaceDN w:val="0"/>
                    <w:rPr>
                      <w:sz w:val="21"/>
                      <w:szCs w:val="21"/>
                    </w:rPr>
                  </w:pPr>
                  <w:r>
                    <w:rPr>
                      <w:sz w:val="21"/>
                      <w:szCs w:val="21"/>
                    </w:rPr>
                    <w:t>符合</w:t>
                  </w:r>
                </w:p>
              </w:tc>
            </w:tr>
            <w:tr w14:paraId="56F6C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 w:type="dxa"/>
                  <w:vAlign w:val="center"/>
                </w:tcPr>
                <w:p w14:paraId="223D86E5">
                  <w:pPr>
                    <w:pStyle w:val="29"/>
                    <w:overflowPunct w:val="0"/>
                    <w:autoSpaceDE w:val="0"/>
                    <w:autoSpaceDN w:val="0"/>
                    <w:rPr>
                      <w:sz w:val="21"/>
                      <w:szCs w:val="21"/>
                    </w:rPr>
                  </w:pPr>
                  <w:r>
                    <w:rPr>
                      <w:sz w:val="21"/>
                      <w:szCs w:val="21"/>
                    </w:rPr>
                    <w:t>第十九条</w:t>
                  </w:r>
                </w:p>
              </w:tc>
              <w:tc>
                <w:tcPr>
                  <w:tcW w:w="3465" w:type="dxa"/>
                  <w:vAlign w:val="center"/>
                </w:tcPr>
                <w:p w14:paraId="2D6CBB36">
                  <w:pPr>
                    <w:pStyle w:val="29"/>
                    <w:overflowPunct w:val="0"/>
                    <w:autoSpaceDE w:val="0"/>
                    <w:autoSpaceDN w:val="0"/>
                    <w:jc w:val="left"/>
                    <w:rPr>
                      <w:sz w:val="21"/>
                      <w:szCs w:val="21"/>
                    </w:rPr>
                  </w:pPr>
                  <w:r>
                    <w:rPr>
                      <w:sz w:val="21"/>
                      <w:szCs w:val="21"/>
                    </w:rPr>
                    <w:t>禁止下列行为：</w:t>
                  </w:r>
                </w:p>
                <w:p w14:paraId="3F56CD0D">
                  <w:pPr>
                    <w:pStyle w:val="29"/>
                    <w:overflowPunct w:val="0"/>
                    <w:autoSpaceDE w:val="0"/>
                    <w:autoSpaceDN w:val="0"/>
                    <w:jc w:val="left"/>
                    <w:rPr>
                      <w:sz w:val="21"/>
                      <w:szCs w:val="21"/>
                    </w:rPr>
                  </w:pPr>
                  <w:r>
                    <w:rPr>
                      <w:sz w:val="21"/>
                      <w:szCs w:val="21"/>
                    </w:rPr>
                    <w:t>（一）向水体排放或者倾倒油类、酸液、碱液和其他有毒有害液体；（二）在水体中清洗装贮过有毒有害污染物的车辆、船舶和容器；（三）向水体排放、倾倒含有汞、镉、砷、铬、铅、氰化物、黄磷等可溶性剧毒废液或者将上述物质直接埋入地下；（四）向水体排放、倾倒工业废渣、城镇垃圾和其他废弃物；（五）向水体排放、倾倒放射性固体废弃物或者放射性废水；（六）利用渗井、渗坑、裂隙、溶洞、塌陷区和废弃矿坑排放、倾倒，或者利用无防渗措施的沟渠、坑塘输送或者存贮含毒污染物或者病原体的废水和其他废弃物；（七）在河流、湖泊、运河、渠道、水库最高水位线以下的滩地和岸坡堆放、贮存固体废弃物和其他污染物；（八）围湖和其他破坏水环境生态平衡的活动；</w:t>
                  </w:r>
                </w:p>
                <w:p w14:paraId="00053BAD">
                  <w:pPr>
                    <w:pStyle w:val="29"/>
                    <w:overflowPunct w:val="0"/>
                    <w:autoSpaceDE w:val="0"/>
                    <w:autoSpaceDN w:val="0"/>
                    <w:jc w:val="left"/>
                    <w:rPr>
                      <w:sz w:val="21"/>
                      <w:szCs w:val="21"/>
                    </w:rPr>
                  </w:pPr>
                  <w:r>
                    <w:rPr>
                      <w:sz w:val="21"/>
                      <w:szCs w:val="21"/>
                    </w:rPr>
                    <w:t>（九）引进不符合国家环境保护规定要求的技术和设备；（十）法律、法规禁止的其他行为</w:t>
                  </w:r>
                </w:p>
              </w:tc>
              <w:tc>
                <w:tcPr>
                  <w:tcW w:w="2340" w:type="dxa"/>
                  <w:vAlign w:val="center"/>
                </w:tcPr>
                <w:p w14:paraId="63CF080E">
                  <w:pPr>
                    <w:pStyle w:val="29"/>
                    <w:overflowPunct w:val="0"/>
                    <w:autoSpaceDE w:val="0"/>
                    <w:autoSpaceDN w:val="0"/>
                    <w:jc w:val="left"/>
                    <w:rPr>
                      <w:sz w:val="21"/>
                      <w:szCs w:val="21"/>
                    </w:rPr>
                  </w:pPr>
                  <w:r>
                    <w:rPr>
                      <w:sz w:val="21"/>
                      <w:szCs w:val="21"/>
                    </w:rPr>
                    <w:t>项目严格遵守《安徽省淮河流域水污染防治条例》，不得有明令禁止的违法行为。</w:t>
                  </w:r>
                </w:p>
              </w:tc>
              <w:tc>
                <w:tcPr>
                  <w:tcW w:w="913" w:type="dxa"/>
                  <w:vAlign w:val="center"/>
                </w:tcPr>
                <w:p w14:paraId="1874E15F">
                  <w:pPr>
                    <w:pStyle w:val="29"/>
                    <w:overflowPunct w:val="0"/>
                    <w:autoSpaceDE w:val="0"/>
                    <w:autoSpaceDN w:val="0"/>
                    <w:rPr>
                      <w:sz w:val="21"/>
                      <w:szCs w:val="21"/>
                    </w:rPr>
                  </w:pPr>
                  <w:r>
                    <w:rPr>
                      <w:sz w:val="21"/>
                      <w:szCs w:val="21"/>
                    </w:rPr>
                    <w:t>符合</w:t>
                  </w:r>
                </w:p>
              </w:tc>
            </w:tr>
          </w:tbl>
          <w:p w14:paraId="54C3C4A0">
            <w:pPr>
              <w:pStyle w:val="62"/>
              <w:rPr>
                <w:rFonts w:hint="default" w:ascii="Times New Roman" w:hAnsi="Times New Roman" w:cs="Times New Roman"/>
                <w:b/>
                <w:bCs/>
              </w:rPr>
            </w:pPr>
            <w:r>
              <w:rPr>
                <w:b/>
                <w:bCs w:val="0"/>
                <w:kern w:val="0"/>
              </w:rPr>
              <w:t>6、与相关政策相符性分析</w:t>
            </w:r>
          </w:p>
          <w:p w14:paraId="755B2170">
            <w:pPr>
              <w:pStyle w:val="53"/>
              <w:widowControl w:val="0"/>
              <w:spacing w:line="360" w:lineRule="auto"/>
              <w:rPr>
                <w:b w:val="0"/>
                <w:kern w:val="0"/>
                <w:szCs w:val="20"/>
                <w:lang w:eastAsia="zh-CN"/>
              </w:rPr>
            </w:pPr>
            <w:r>
              <w:rPr>
                <w:b w:val="0"/>
                <w:kern w:val="0"/>
                <w:szCs w:val="20"/>
                <w:lang w:eastAsia="zh-CN"/>
              </w:rPr>
              <w:t>本项目与其他相关政策相符性分析见下表。</w:t>
            </w:r>
          </w:p>
          <w:p w14:paraId="441EB46E">
            <w:pPr>
              <w:pStyle w:val="44"/>
              <w:spacing w:line="240" w:lineRule="exact"/>
              <w:rPr>
                <w:rFonts w:hint="default" w:ascii="Times New Roman" w:hAnsi="Times New Roman" w:cs="Times New Roman"/>
                <w:b/>
                <w:kern w:val="0"/>
                <w:sz w:val="21"/>
                <w:szCs w:val="21"/>
              </w:rPr>
            </w:pPr>
            <w:r>
              <w:rPr>
                <w:rFonts w:hint="default"/>
                <w:b/>
                <w:kern w:val="0"/>
                <w:sz w:val="21"/>
                <w:szCs w:val="21"/>
              </w:rPr>
              <w:t>表 1-</w:t>
            </w:r>
            <w:r>
              <w:rPr>
                <w:rFonts w:hint="default"/>
                <w:b/>
                <w:kern w:val="0"/>
                <w:sz w:val="21"/>
                <w:szCs w:val="21"/>
              </w:rPr>
              <w:fldChar w:fldCharType="begin"/>
            </w:r>
            <w:r>
              <w:rPr>
                <w:rFonts w:hint="default"/>
                <w:b/>
                <w:kern w:val="0"/>
                <w:sz w:val="21"/>
                <w:szCs w:val="21"/>
              </w:rPr>
              <w:instrText xml:space="preserve"> SEQ 表 \* ARABIC \s 1 </w:instrText>
            </w:r>
            <w:r>
              <w:rPr>
                <w:rFonts w:hint="default"/>
                <w:b/>
                <w:kern w:val="0"/>
                <w:sz w:val="21"/>
                <w:szCs w:val="21"/>
              </w:rPr>
              <w:fldChar w:fldCharType="separate"/>
            </w:r>
            <w:r>
              <w:rPr>
                <w:rFonts w:hint="default"/>
                <w:b/>
                <w:kern w:val="0"/>
                <w:sz w:val="21"/>
                <w:szCs w:val="21"/>
              </w:rPr>
              <w:t>7</w:t>
            </w:r>
            <w:r>
              <w:rPr>
                <w:rFonts w:hint="default"/>
                <w:b/>
                <w:kern w:val="0"/>
                <w:sz w:val="21"/>
                <w:szCs w:val="21"/>
              </w:rPr>
              <w:fldChar w:fldCharType="end"/>
            </w:r>
            <w:r>
              <w:rPr>
                <w:rFonts w:hint="default"/>
                <w:b/>
                <w:kern w:val="0"/>
                <w:sz w:val="21"/>
                <w:szCs w:val="21"/>
              </w:rPr>
              <w:t xml:space="preserve"> 与其他相关政策相符性分析</w:t>
            </w:r>
          </w:p>
          <w:tbl>
            <w:tblPr>
              <w:tblStyle w:val="2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3"/>
              <w:gridCol w:w="3663"/>
              <w:gridCol w:w="1943"/>
              <w:gridCol w:w="428"/>
            </w:tblGrid>
            <w:tr w14:paraId="14536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728" w:type="pct"/>
                  <w:tcBorders>
                    <w:top w:val="single" w:color="auto" w:sz="4" w:space="0"/>
                    <w:left w:val="single" w:color="auto" w:sz="4" w:space="0"/>
                    <w:bottom w:val="single" w:color="auto" w:sz="4" w:space="0"/>
                    <w:right w:val="single" w:color="auto" w:sz="4" w:space="0"/>
                  </w:tcBorders>
                  <w:vAlign w:val="center"/>
                </w:tcPr>
                <w:p w14:paraId="68FCCBC8">
                  <w:pPr>
                    <w:pStyle w:val="29"/>
                    <w:overflowPunct w:val="0"/>
                    <w:autoSpaceDE w:val="0"/>
                    <w:autoSpaceDN w:val="0"/>
                    <w:rPr>
                      <w:b/>
                      <w:bCs/>
                      <w:sz w:val="21"/>
                      <w:szCs w:val="21"/>
                    </w:rPr>
                  </w:pPr>
                  <w:r>
                    <w:rPr>
                      <w:b/>
                      <w:bCs/>
                      <w:sz w:val="21"/>
                      <w:szCs w:val="21"/>
                    </w:rPr>
                    <w:t>文件名称</w:t>
                  </w:r>
                </w:p>
              </w:tc>
              <w:tc>
                <w:tcPr>
                  <w:tcW w:w="2693" w:type="pct"/>
                  <w:tcBorders>
                    <w:top w:val="single" w:color="auto" w:sz="4" w:space="0"/>
                    <w:left w:val="single" w:color="auto" w:sz="4" w:space="0"/>
                    <w:bottom w:val="single" w:color="auto" w:sz="4" w:space="0"/>
                    <w:right w:val="single" w:color="auto" w:sz="4" w:space="0"/>
                  </w:tcBorders>
                  <w:vAlign w:val="center"/>
                </w:tcPr>
                <w:p w14:paraId="4522A01B">
                  <w:pPr>
                    <w:pStyle w:val="29"/>
                    <w:overflowPunct w:val="0"/>
                    <w:autoSpaceDE w:val="0"/>
                    <w:autoSpaceDN w:val="0"/>
                    <w:rPr>
                      <w:b/>
                      <w:bCs/>
                      <w:sz w:val="21"/>
                      <w:szCs w:val="21"/>
                    </w:rPr>
                  </w:pPr>
                  <w:r>
                    <w:rPr>
                      <w:b/>
                      <w:bCs/>
                      <w:sz w:val="21"/>
                      <w:szCs w:val="21"/>
                    </w:rPr>
                    <w:t>相关要求</w:t>
                  </w:r>
                </w:p>
              </w:tc>
              <w:tc>
                <w:tcPr>
                  <w:tcW w:w="1095" w:type="pct"/>
                  <w:tcBorders>
                    <w:top w:val="single" w:color="auto" w:sz="4" w:space="0"/>
                    <w:left w:val="single" w:color="auto" w:sz="4" w:space="0"/>
                    <w:bottom w:val="single" w:color="auto" w:sz="4" w:space="0"/>
                    <w:right w:val="single" w:color="auto" w:sz="4" w:space="0"/>
                  </w:tcBorders>
                  <w:vAlign w:val="center"/>
                </w:tcPr>
                <w:p w14:paraId="5C650D97">
                  <w:pPr>
                    <w:pStyle w:val="29"/>
                    <w:overflowPunct w:val="0"/>
                    <w:autoSpaceDE w:val="0"/>
                    <w:autoSpaceDN w:val="0"/>
                    <w:rPr>
                      <w:b/>
                      <w:bCs/>
                      <w:sz w:val="21"/>
                      <w:szCs w:val="21"/>
                    </w:rPr>
                  </w:pPr>
                  <w:r>
                    <w:rPr>
                      <w:b/>
                      <w:bCs/>
                      <w:sz w:val="21"/>
                      <w:szCs w:val="21"/>
                    </w:rPr>
                    <w:t>项目建设情况</w:t>
                  </w:r>
                </w:p>
              </w:tc>
              <w:tc>
                <w:tcPr>
                  <w:tcW w:w="483" w:type="pct"/>
                  <w:tcBorders>
                    <w:top w:val="single" w:color="auto" w:sz="4" w:space="0"/>
                    <w:left w:val="single" w:color="auto" w:sz="4" w:space="0"/>
                    <w:bottom w:val="single" w:color="auto" w:sz="4" w:space="0"/>
                    <w:right w:val="single" w:color="auto" w:sz="4" w:space="0"/>
                  </w:tcBorders>
                  <w:vAlign w:val="center"/>
                </w:tcPr>
                <w:p w14:paraId="2BC73545">
                  <w:pPr>
                    <w:pStyle w:val="29"/>
                    <w:overflowPunct w:val="0"/>
                    <w:autoSpaceDE w:val="0"/>
                    <w:autoSpaceDN w:val="0"/>
                    <w:rPr>
                      <w:b/>
                      <w:bCs/>
                      <w:sz w:val="21"/>
                      <w:szCs w:val="21"/>
                    </w:rPr>
                  </w:pPr>
                  <w:r>
                    <w:rPr>
                      <w:b/>
                      <w:bCs/>
                      <w:sz w:val="21"/>
                      <w:szCs w:val="21"/>
                    </w:rPr>
                    <w:t>符合性</w:t>
                  </w:r>
                </w:p>
              </w:tc>
            </w:tr>
            <w:tr w14:paraId="18757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28" w:type="pct"/>
                  <w:vMerge w:val="restart"/>
                  <w:tcBorders>
                    <w:top w:val="single" w:color="auto" w:sz="4" w:space="0"/>
                    <w:left w:val="single" w:color="auto" w:sz="4" w:space="0"/>
                    <w:right w:val="single" w:color="auto" w:sz="4" w:space="0"/>
                  </w:tcBorders>
                  <w:vAlign w:val="center"/>
                </w:tcPr>
                <w:p w14:paraId="5DFB3D56">
                  <w:pPr>
                    <w:pStyle w:val="29"/>
                    <w:overflowPunct w:val="0"/>
                    <w:autoSpaceDE w:val="0"/>
                    <w:autoSpaceDN w:val="0"/>
                    <w:rPr>
                      <w:sz w:val="21"/>
                      <w:szCs w:val="21"/>
                    </w:rPr>
                  </w:pPr>
                  <w:r>
                    <w:rPr>
                      <w:sz w:val="21"/>
                      <w:szCs w:val="21"/>
                    </w:rPr>
                    <w:t>《挥发性有机污染物无组织排放控制标准》（GB37822-2019）</w:t>
                  </w:r>
                </w:p>
              </w:tc>
              <w:tc>
                <w:tcPr>
                  <w:tcW w:w="2693" w:type="pct"/>
                  <w:tcBorders>
                    <w:top w:val="single" w:color="auto" w:sz="4" w:space="0"/>
                    <w:left w:val="single" w:color="auto" w:sz="4" w:space="0"/>
                    <w:bottom w:val="single" w:color="auto" w:sz="4" w:space="0"/>
                    <w:right w:val="single" w:color="auto" w:sz="4" w:space="0"/>
                  </w:tcBorders>
                  <w:vAlign w:val="center"/>
                </w:tcPr>
                <w:p w14:paraId="0A6CE257">
                  <w:pPr>
                    <w:pStyle w:val="29"/>
                    <w:overflowPunct w:val="0"/>
                    <w:autoSpaceDE w:val="0"/>
                    <w:autoSpaceDN w:val="0"/>
                    <w:rPr>
                      <w:sz w:val="21"/>
                      <w:szCs w:val="21"/>
                    </w:rPr>
                  </w:pPr>
                  <w:r>
                    <w:rPr>
                      <w:sz w:val="21"/>
                      <w:szCs w:val="21"/>
                    </w:rPr>
                    <w:t>物料储存：VOCs物料应储存于密闭的包装袋、料仓中盛装VOCs物料的包装袋应存放于室内。盛装VOCs物料的包装袋在非取用状态时应加盖、封口，保持密闭。VOCs物料储罐应密封良好，VOCs物料储库、料仓应满足3.6条对密闭空间的要求</w:t>
                  </w:r>
                </w:p>
              </w:tc>
              <w:tc>
                <w:tcPr>
                  <w:tcW w:w="1095" w:type="pct"/>
                  <w:tcBorders>
                    <w:top w:val="single" w:color="auto" w:sz="4" w:space="0"/>
                    <w:left w:val="single" w:color="auto" w:sz="4" w:space="0"/>
                    <w:right w:val="single" w:color="auto" w:sz="4" w:space="0"/>
                  </w:tcBorders>
                  <w:vAlign w:val="center"/>
                </w:tcPr>
                <w:p w14:paraId="0E33CBC5">
                  <w:pPr>
                    <w:pStyle w:val="29"/>
                    <w:overflowPunct w:val="0"/>
                    <w:autoSpaceDE w:val="0"/>
                    <w:autoSpaceDN w:val="0"/>
                    <w:rPr>
                      <w:sz w:val="21"/>
                      <w:szCs w:val="21"/>
                    </w:rPr>
                  </w:pPr>
                  <w:r>
                    <w:rPr>
                      <w:sz w:val="21"/>
                      <w:szCs w:val="21"/>
                    </w:rPr>
                    <w:t>本项目水性油墨采用密封桶装，储存于单独的原料储存区</w:t>
                  </w:r>
                </w:p>
              </w:tc>
              <w:tc>
                <w:tcPr>
                  <w:tcW w:w="483" w:type="pct"/>
                  <w:vMerge w:val="restart"/>
                  <w:tcBorders>
                    <w:top w:val="single" w:color="auto" w:sz="4" w:space="0"/>
                    <w:left w:val="single" w:color="auto" w:sz="4" w:space="0"/>
                    <w:right w:val="single" w:color="auto" w:sz="4" w:space="0"/>
                  </w:tcBorders>
                  <w:vAlign w:val="center"/>
                </w:tcPr>
                <w:p w14:paraId="741D05D3">
                  <w:pPr>
                    <w:pStyle w:val="29"/>
                    <w:overflowPunct w:val="0"/>
                    <w:autoSpaceDE w:val="0"/>
                    <w:autoSpaceDN w:val="0"/>
                    <w:rPr>
                      <w:sz w:val="21"/>
                      <w:szCs w:val="21"/>
                    </w:rPr>
                  </w:pPr>
                  <w:r>
                    <w:rPr>
                      <w:sz w:val="21"/>
                      <w:szCs w:val="21"/>
                    </w:rPr>
                    <w:t>符合</w:t>
                  </w:r>
                </w:p>
              </w:tc>
            </w:tr>
            <w:tr w14:paraId="24055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6D84888A">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107710DE">
                  <w:pPr>
                    <w:pStyle w:val="29"/>
                    <w:overflowPunct w:val="0"/>
                    <w:autoSpaceDE w:val="0"/>
                    <w:autoSpaceDN w:val="0"/>
                    <w:rPr>
                      <w:sz w:val="21"/>
                      <w:szCs w:val="21"/>
                      <w:lang w:val="zh-TW" w:eastAsia="zh-TW"/>
                    </w:rPr>
                  </w:pPr>
                  <w:r>
                    <w:rPr>
                      <w:sz w:val="21"/>
                      <w:szCs w:val="21"/>
                    </w:rPr>
                    <w:t>基本要求：粒状VOCs物料</w:t>
                  </w:r>
                </w:p>
                <w:p w14:paraId="42CEDC81">
                  <w:pPr>
                    <w:pStyle w:val="29"/>
                    <w:overflowPunct w:val="0"/>
                    <w:autoSpaceDE w:val="0"/>
                    <w:autoSpaceDN w:val="0"/>
                    <w:rPr>
                      <w:sz w:val="21"/>
                      <w:szCs w:val="21"/>
                    </w:rPr>
                  </w:pPr>
                  <w:r>
                    <w:rPr>
                      <w:sz w:val="21"/>
                      <w:szCs w:val="21"/>
                    </w:rPr>
                    <w:t>采用密闭的包装袋进行转移</w:t>
                  </w:r>
                </w:p>
              </w:tc>
              <w:tc>
                <w:tcPr>
                  <w:tcW w:w="1095" w:type="pct"/>
                  <w:tcBorders>
                    <w:left w:val="single" w:color="auto" w:sz="4" w:space="0"/>
                    <w:right w:val="single" w:color="auto" w:sz="4" w:space="0"/>
                  </w:tcBorders>
                  <w:vAlign w:val="center"/>
                </w:tcPr>
                <w:p w14:paraId="14EE2220">
                  <w:pPr>
                    <w:pStyle w:val="29"/>
                    <w:overflowPunct w:val="0"/>
                    <w:autoSpaceDE w:val="0"/>
                    <w:autoSpaceDN w:val="0"/>
                    <w:rPr>
                      <w:sz w:val="21"/>
                      <w:szCs w:val="21"/>
                    </w:rPr>
                  </w:pPr>
                  <w:r>
                    <w:rPr>
                      <w:sz w:val="21"/>
                      <w:szCs w:val="21"/>
                    </w:rPr>
                    <w:t>使用密闭的包装桶进行转移。</w:t>
                  </w:r>
                </w:p>
              </w:tc>
              <w:tc>
                <w:tcPr>
                  <w:tcW w:w="483" w:type="pct"/>
                  <w:vMerge w:val="continue"/>
                  <w:tcBorders>
                    <w:left w:val="single" w:color="auto" w:sz="4" w:space="0"/>
                    <w:right w:val="single" w:color="auto" w:sz="4" w:space="0"/>
                  </w:tcBorders>
                  <w:vAlign w:val="center"/>
                </w:tcPr>
                <w:p w14:paraId="0E9FD043">
                  <w:pPr>
                    <w:pStyle w:val="29"/>
                    <w:overflowPunct w:val="0"/>
                    <w:autoSpaceDE w:val="0"/>
                    <w:autoSpaceDN w:val="0"/>
                    <w:rPr>
                      <w:sz w:val="21"/>
                      <w:szCs w:val="21"/>
                    </w:rPr>
                  </w:pPr>
                </w:p>
              </w:tc>
            </w:tr>
            <w:tr w14:paraId="1D529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7C8F6530">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2429D12F">
                  <w:pPr>
                    <w:pStyle w:val="29"/>
                    <w:overflowPunct w:val="0"/>
                    <w:autoSpaceDE w:val="0"/>
                    <w:autoSpaceDN w:val="0"/>
                    <w:rPr>
                      <w:sz w:val="21"/>
                      <w:szCs w:val="21"/>
                    </w:rPr>
                  </w:pPr>
                  <w:r>
                    <w:rPr>
                      <w:sz w:val="21"/>
                      <w:szCs w:val="21"/>
                    </w:rPr>
                    <w:t>VOCs废气收集处理系统与生产工艺设备同步运行。VOCs废气收集处理系统发生故障或检修时，对应的生产工艺设备应停止运行，待检修完毕后同步投入使用；生产工艺设备不能停止运行或不能及时停止运行的，应设置废气应急处理设施或采取其他替代措施</w:t>
                  </w:r>
                </w:p>
              </w:tc>
              <w:tc>
                <w:tcPr>
                  <w:tcW w:w="1095" w:type="pct"/>
                  <w:tcBorders>
                    <w:left w:val="single" w:color="auto" w:sz="4" w:space="0"/>
                    <w:right w:val="single" w:color="auto" w:sz="4" w:space="0"/>
                  </w:tcBorders>
                  <w:vAlign w:val="center"/>
                </w:tcPr>
                <w:p w14:paraId="734ABD88">
                  <w:pPr>
                    <w:pStyle w:val="29"/>
                    <w:overflowPunct w:val="0"/>
                    <w:autoSpaceDE w:val="0"/>
                    <w:autoSpaceDN w:val="0"/>
                    <w:rPr>
                      <w:sz w:val="21"/>
                      <w:szCs w:val="21"/>
                    </w:rPr>
                  </w:pPr>
                  <w:r>
                    <w:rPr>
                      <w:sz w:val="21"/>
                      <w:szCs w:val="21"/>
                    </w:rPr>
                    <w:t>VOCs废气收集处理系统与生产工艺设备同步运行。若废气处理系统发生故障或检修时，生产设备会停止运行。</w:t>
                  </w:r>
                </w:p>
              </w:tc>
              <w:tc>
                <w:tcPr>
                  <w:tcW w:w="483" w:type="pct"/>
                  <w:vMerge w:val="continue"/>
                  <w:tcBorders>
                    <w:left w:val="single" w:color="auto" w:sz="4" w:space="0"/>
                    <w:right w:val="single" w:color="auto" w:sz="4" w:space="0"/>
                  </w:tcBorders>
                  <w:vAlign w:val="center"/>
                </w:tcPr>
                <w:p w14:paraId="1555F2DC">
                  <w:pPr>
                    <w:pStyle w:val="29"/>
                    <w:overflowPunct w:val="0"/>
                    <w:autoSpaceDE w:val="0"/>
                    <w:autoSpaceDN w:val="0"/>
                    <w:rPr>
                      <w:sz w:val="21"/>
                      <w:szCs w:val="21"/>
                    </w:rPr>
                  </w:pPr>
                </w:p>
              </w:tc>
            </w:tr>
            <w:tr w14:paraId="75058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0570ADC3">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4EC6D427">
                  <w:pPr>
                    <w:pStyle w:val="29"/>
                    <w:overflowPunct w:val="0"/>
                    <w:autoSpaceDE w:val="0"/>
                    <w:autoSpaceDN w:val="0"/>
                    <w:rPr>
                      <w:sz w:val="21"/>
                      <w:szCs w:val="21"/>
                      <w:lang w:val="zh-TW"/>
                    </w:rPr>
                  </w:pPr>
                  <w:r>
                    <w:rPr>
                      <w:sz w:val="21"/>
                      <w:szCs w:val="21"/>
                    </w:rPr>
                    <w:t>记录要求：</w:t>
                  </w:r>
                </w:p>
                <w:p w14:paraId="3CC5AC7E">
                  <w:pPr>
                    <w:pStyle w:val="29"/>
                    <w:overflowPunct w:val="0"/>
                    <w:autoSpaceDE w:val="0"/>
                    <w:autoSpaceDN w:val="0"/>
                    <w:rPr>
                      <w:sz w:val="21"/>
                      <w:szCs w:val="21"/>
                    </w:rPr>
                  </w:pPr>
                  <w:r>
                    <w:rPr>
                      <w:sz w:val="21"/>
                      <w:szCs w:val="21"/>
                    </w:rPr>
                    <w:t>企业应建立台账，记录废气收集系统、VOCs处理设施的主要运行和维护信息，如运行时间、废气处理量、操作温度、停留时间、吸附剂再生/更换周期和更换量等关键运行参数。台账保存期限不少于3年</w:t>
                  </w:r>
                </w:p>
              </w:tc>
              <w:tc>
                <w:tcPr>
                  <w:tcW w:w="1095" w:type="pct"/>
                  <w:tcBorders>
                    <w:left w:val="single" w:color="auto" w:sz="4" w:space="0"/>
                    <w:right w:val="single" w:color="auto" w:sz="4" w:space="0"/>
                  </w:tcBorders>
                  <w:vAlign w:val="center"/>
                </w:tcPr>
                <w:p w14:paraId="06772CD4">
                  <w:pPr>
                    <w:pStyle w:val="29"/>
                    <w:overflowPunct w:val="0"/>
                    <w:autoSpaceDE w:val="0"/>
                    <w:autoSpaceDN w:val="0"/>
                    <w:rPr>
                      <w:sz w:val="21"/>
                      <w:szCs w:val="21"/>
                    </w:rPr>
                  </w:pPr>
                  <w:r>
                    <w:rPr>
                      <w:sz w:val="21"/>
                      <w:szCs w:val="21"/>
                    </w:rPr>
                    <w:t>本次评价要求企业建立台账记录相关信息。</w:t>
                  </w:r>
                </w:p>
              </w:tc>
              <w:tc>
                <w:tcPr>
                  <w:tcW w:w="483" w:type="pct"/>
                  <w:vMerge w:val="continue"/>
                  <w:tcBorders>
                    <w:left w:val="single" w:color="auto" w:sz="4" w:space="0"/>
                    <w:right w:val="single" w:color="auto" w:sz="4" w:space="0"/>
                  </w:tcBorders>
                  <w:vAlign w:val="center"/>
                </w:tcPr>
                <w:p w14:paraId="24FF6655">
                  <w:pPr>
                    <w:pStyle w:val="29"/>
                    <w:overflowPunct w:val="0"/>
                    <w:autoSpaceDE w:val="0"/>
                    <w:autoSpaceDN w:val="0"/>
                    <w:rPr>
                      <w:sz w:val="21"/>
                      <w:szCs w:val="21"/>
                    </w:rPr>
                  </w:pPr>
                </w:p>
              </w:tc>
            </w:tr>
            <w:tr w14:paraId="54D65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bottom w:val="single" w:color="auto" w:sz="4" w:space="0"/>
                    <w:right w:val="single" w:color="auto" w:sz="4" w:space="0"/>
                  </w:tcBorders>
                  <w:vAlign w:val="center"/>
                </w:tcPr>
                <w:p w14:paraId="716DDC77">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1EAFBBBE">
                  <w:pPr>
                    <w:pStyle w:val="29"/>
                    <w:overflowPunct w:val="0"/>
                    <w:autoSpaceDE w:val="0"/>
                    <w:autoSpaceDN w:val="0"/>
                    <w:rPr>
                      <w:sz w:val="21"/>
                      <w:szCs w:val="21"/>
                    </w:rPr>
                  </w:pPr>
                  <w:r>
                    <w:rPr>
                      <w:sz w:val="21"/>
                      <w:szCs w:val="21"/>
                    </w:rPr>
                    <w:t>VOCs 质量占比大于等于 10%的含 VOCs 产品，其使用过程应采用密闭设备或在密闭空间内操作，废气应排至 VOCs 废气收集处理系统：无法密闭的，应采取局部气体收集措施，废气应排至 VOCs废气收集处理系统。</w:t>
                  </w:r>
                </w:p>
              </w:tc>
              <w:tc>
                <w:tcPr>
                  <w:tcW w:w="1095" w:type="pct"/>
                  <w:tcBorders>
                    <w:left w:val="single" w:color="auto" w:sz="4" w:space="0"/>
                    <w:right w:val="single" w:color="auto" w:sz="4" w:space="0"/>
                  </w:tcBorders>
                  <w:vAlign w:val="center"/>
                </w:tcPr>
                <w:p w14:paraId="56C21AE6">
                  <w:pPr>
                    <w:pStyle w:val="29"/>
                    <w:overflowPunct w:val="0"/>
                    <w:autoSpaceDE w:val="0"/>
                    <w:autoSpaceDN w:val="0"/>
                    <w:rPr>
                      <w:sz w:val="21"/>
                      <w:szCs w:val="21"/>
                    </w:rPr>
                  </w:pPr>
                  <w:r>
                    <w:rPr>
                      <w:sz w:val="21"/>
                      <w:szCs w:val="21"/>
                    </w:rPr>
                    <w:t>本项目印刷产生的有机废气经收集后排至废气处理系统处理达标后排放。</w:t>
                  </w:r>
                </w:p>
              </w:tc>
              <w:tc>
                <w:tcPr>
                  <w:tcW w:w="483" w:type="pct"/>
                  <w:vMerge w:val="continue"/>
                  <w:tcBorders>
                    <w:left w:val="single" w:color="auto" w:sz="4" w:space="0"/>
                    <w:right w:val="single" w:color="auto" w:sz="4" w:space="0"/>
                  </w:tcBorders>
                  <w:vAlign w:val="center"/>
                </w:tcPr>
                <w:p w14:paraId="6F8ED034">
                  <w:pPr>
                    <w:pStyle w:val="29"/>
                    <w:overflowPunct w:val="0"/>
                    <w:autoSpaceDE w:val="0"/>
                    <w:autoSpaceDN w:val="0"/>
                    <w:rPr>
                      <w:sz w:val="21"/>
                      <w:szCs w:val="21"/>
                    </w:rPr>
                  </w:pPr>
                </w:p>
              </w:tc>
            </w:tr>
            <w:tr w14:paraId="4C7C5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restart"/>
                  <w:tcBorders>
                    <w:top w:val="nil"/>
                    <w:left w:val="single" w:color="auto" w:sz="4" w:space="0"/>
                    <w:right w:val="single" w:color="auto" w:sz="4" w:space="0"/>
                  </w:tcBorders>
                  <w:vAlign w:val="center"/>
                </w:tcPr>
                <w:p w14:paraId="3D91438E">
                  <w:pPr>
                    <w:pStyle w:val="29"/>
                    <w:overflowPunct w:val="0"/>
                    <w:autoSpaceDE w:val="0"/>
                    <w:autoSpaceDN w:val="0"/>
                    <w:rPr>
                      <w:sz w:val="21"/>
                      <w:szCs w:val="21"/>
                    </w:rPr>
                  </w:pPr>
                  <w:r>
                    <w:rPr>
                      <w:sz w:val="21"/>
                      <w:szCs w:val="21"/>
                    </w:rPr>
                    <w:t>《重点行业挥发性有机物综合治理方案》的通知（环大气</w:t>
                  </w:r>
                  <w:r>
                    <w:rPr>
                      <w:sz w:val="21"/>
                      <w:szCs w:val="21"/>
                      <w:lang w:val="zh-CN"/>
                    </w:rPr>
                    <w:t>〔201</w:t>
                  </w:r>
                  <w:r>
                    <w:rPr>
                      <w:sz w:val="21"/>
                      <w:szCs w:val="21"/>
                    </w:rPr>
                    <w:t>9</w:t>
                  </w:r>
                  <w:r>
                    <w:rPr>
                      <w:sz w:val="21"/>
                      <w:szCs w:val="21"/>
                      <w:lang w:val="zh-CN"/>
                    </w:rPr>
                    <w:t>〕</w:t>
                  </w:r>
                  <w:r>
                    <w:rPr>
                      <w:sz w:val="21"/>
                      <w:szCs w:val="21"/>
                    </w:rPr>
                    <w:t>53号）</w:t>
                  </w:r>
                </w:p>
              </w:tc>
              <w:tc>
                <w:tcPr>
                  <w:tcW w:w="2693" w:type="pct"/>
                  <w:tcBorders>
                    <w:top w:val="single" w:color="auto" w:sz="4" w:space="0"/>
                    <w:left w:val="single" w:color="auto" w:sz="4" w:space="0"/>
                    <w:bottom w:val="single" w:color="auto" w:sz="4" w:space="0"/>
                    <w:right w:val="single" w:color="auto" w:sz="4" w:space="0"/>
                  </w:tcBorders>
                  <w:vAlign w:val="center"/>
                </w:tcPr>
                <w:p w14:paraId="08D9671F">
                  <w:pPr>
                    <w:pStyle w:val="29"/>
                    <w:overflowPunct w:val="0"/>
                    <w:autoSpaceDE w:val="0"/>
                    <w:autoSpaceDN w:val="0"/>
                    <w:rPr>
                      <w:sz w:val="21"/>
                      <w:szCs w:val="21"/>
                    </w:rPr>
                  </w:pPr>
                  <w:r>
                    <w:rPr>
                      <w:sz w:val="21"/>
                      <w:szCs w:val="21"/>
                    </w:rPr>
                    <w:t>大力推进源头替代。通过使用水性、粉末、高固体分、无溶剂、辐射固化等低VOCs含量的涂料，从源头减少VOCs产生。</w:t>
                  </w:r>
                </w:p>
              </w:tc>
              <w:tc>
                <w:tcPr>
                  <w:tcW w:w="1095" w:type="pct"/>
                  <w:tcBorders>
                    <w:left w:val="single" w:color="auto" w:sz="4" w:space="0"/>
                    <w:bottom w:val="single" w:color="auto" w:sz="4" w:space="0"/>
                    <w:right w:val="single" w:color="auto" w:sz="4" w:space="0"/>
                  </w:tcBorders>
                  <w:vAlign w:val="center"/>
                </w:tcPr>
                <w:p w14:paraId="1755BD26">
                  <w:pPr>
                    <w:pStyle w:val="29"/>
                    <w:overflowPunct w:val="0"/>
                    <w:autoSpaceDE w:val="0"/>
                    <w:autoSpaceDN w:val="0"/>
                    <w:rPr>
                      <w:sz w:val="21"/>
                      <w:szCs w:val="21"/>
                    </w:rPr>
                  </w:pPr>
                  <w:r>
                    <w:rPr>
                      <w:sz w:val="21"/>
                      <w:szCs w:val="21"/>
                    </w:rPr>
                    <w:t>水性油墨满足《油墨中可挥发性有机化合物(VOCs)的含量限值》（GB38507-2020）中VOC最低值（柔印油墨--吸收性承印物）5%含量限值要求。</w:t>
                  </w:r>
                </w:p>
              </w:tc>
              <w:tc>
                <w:tcPr>
                  <w:tcW w:w="483" w:type="pct"/>
                  <w:tcBorders>
                    <w:left w:val="single" w:color="auto" w:sz="4" w:space="0"/>
                    <w:bottom w:val="single" w:color="auto" w:sz="4" w:space="0"/>
                    <w:right w:val="single" w:color="auto" w:sz="4" w:space="0"/>
                  </w:tcBorders>
                  <w:vAlign w:val="center"/>
                </w:tcPr>
                <w:p w14:paraId="4F4606B6">
                  <w:pPr>
                    <w:pStyle w:val="29"/>
                    <w:overflowPunct w:val="0"/>
                    <w:autoSpaceDE w:val="0"/>
                    <w:autoSpaceDN w:val="0"/>
                    <w:rPr>
                      <w:sz w:val="21"/>
                      <w:szCs w:val="21"/>
                    </w:rPr>
                  </w:pPr>
                  <w:r>
                    <w:rPr>
                      <w:sz w:val="21"/>
                      <w:szCs w:val="21"/>
                    </w:rPr>
                    <w:t>符合</w:t>
                  </w:r>
                </w:p>
              </w:tc>
            </w:tr>
            <w:tr w14:paraId="1182D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5A512472">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75F01E86">
                  <w:pPr>
                    <w:pStyle w:val="29"/>
                    <w:overflowPunct w:val="0"/>
                    <w:autoSpaceDE w:val="0"/>
                    <w:autoSpaceDN w:val="0"/>
                    <w:rPr>
                      <w:sz w:val="21"/>
                      <w:szCs w:val="21"/>
                    </w:rPr>
                  </w:pPr>
                  <w:r>
                    <w:rPr>
                      <w:sz w:val="21"/>
                      <w:szCs w:val="21"/>
                    </w:rPr>
                    <w:t>全面加强无组织排放控制。重点对含VOCs物料（包括含VOCs原辅材料、含VOCs产品、含VOCs废料以及有机聚合物材料等）储存、转移和输送、设备与管线组件泄漏、敞开液面逸散以及工艺过程等五类排放源实施管控，通过采取设备与场所密闭、工艺改进、废气有效收集等措施，削减VOCs无组织排放。</w:t>
                  </w:r>
                </w:p>
              </w:tc>
              <w:tc>
                <w:tcPr>
                  <w:tcW w:w="1095" w:type="pct"/>
                  <w:tcBorders>
                    <w:left w:val="single" w:color="auto" w:sz="4" w:space="0"/>
                    <w:bottom w:val="single" w:color="auto" w:sz="4" w:space="0"/>
                    <w:right w:val="single" w:color="auto" w:sz="4" w:space="0"/>
                  </w:tcBorders>
                  <w:vAlign w:val="center"/>
                </w:tcPr>
                <w:p w14:paraId="17CFF737">
                  <w:pPr>
                    <w:pStyle w:val="29"/>
                    <w:overflowPunct w:val="0"/>
                    <w:autoSpaceDE w:val="0"/>
                    <w:autoSpaceDN w:val="0"/>
                    <w:rPr>
                      <w:sz w:val="21"/>
                      <w:szCs w:val="21"/>
                    </w:rPr>
                  </w:pPr>
                  <w:r>
                    <w:rPr>
                      <w:sz w:val="21"/>
                      <w:szCs w:val="21"/>
                    </w:rPr>
                    <w:t>项目印刷过程产生的有机废气经集气罩收集；油墨闭桶装置于原料储存区，油墨储存、转移和输送等环节都在密闭容器和空间内</w:t>
                  </w:r>
                </w:p>
              </w:tc>
              <w:tc>
                <w:tcPr>
                  <w:tcW w:w="483" w:type="pct"/>
                  <w:tcBorders>
                    <w:left w:val="single" w:color="auto" w:sz="4" w:space="0"/>
                    <w:bottom w:val="single" w:color="auto" w:sz="4" w:space="0"/>
                    <w:right w:val="single" w:color="auto" w:sz="4" w:space="0"/>
                  </w:tcBorders>
                  <w:vAlign w:val="center"/>
                </w:tcPr>
                <w:p w14:paraId="204BA843">
                  <w:pPr>
                    <w:pStyle w:val="29"/>
                    <w:overflowPunct w:val="0"/>
                    <w:autoSpaceDE w:val="0"/>
                    <w:autoSpaceDN w:val="0"/>
                    <w:rPr>
                      <w:sz w:val="21"/>
                      <w:szCs w:val="21"/>
                    </w:rPr>
                  </w:pPr>
                  <w:r>
                    <w:rPr>
                      <w:sz w:val="21"/>
                      <w:szCs w:val="21"/>
                    </w:rPr>
                    <w:t>符合</w:t>
                  </w:r>
                </w:p>
              </w:tc>
            </w:tr>
            <w:tr w14:paraId="3797C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bottom w:val="single" w:color="auto" w:sz="4" w:space="0"/>
                    <w:right w:val="single" w:color="auto" w:sz="4" w:space="0"/>
                  </w:tcBorders>
                  <w:vAlign w:val="center"/>
                </w:tcPr>
                <w:p w14:paraId="64752BDC">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7E207687">
                  <w:pPr>
                    <w:pStyle w:val="29"/>
                    <w:overflowPunct w:val="0"/>
                    <w:autoSpaceDE w:val="0"/>
                    <w:autoSpaceDN w:val="0"/>
                    <w:rPr>
                      <w:sz w:val="21"/>
                      <w:szCs w:val="21"/>
                    </w:rPr>
                  </w:pPr>
                  <w:r>
                    <w:rPr>
                      <w:sz w:val="21"/>
                      <w:szCs w:val="21"/>
                    </w:rPr>
                    <w:t>推进建设适宜高效的治污设施。企业新建治污设施或对现有治污设施实施改造，应依据排放废气的浓度、组分、风量，温度、湿度、压力，以及生产工况等，合理选择治理技术。鼓励企业采用多种技术的组合工艺，提高VOCs治理效率。</w:t>
                  </w:r>
                </w:p>
              </w:tc>
              <w:tc>
                <w:tcPr>
                  <w:tcW w:w="1095" w:type="pct"/>
                  <w:tcBorders>
                    <w:left w:val="single" w:color="auto" w:sz="4" w:space="0"/>
                    <w:bottom w:val="single" w:color="auto" w:sz="4" w:space="0"/>
                    <w:right w:val="single" w:color="auto" w:sz="4" w:space="0"/>
                  </w:tcBorders>
                  <w:vAlign w:val="center"/>
                </w:tcPr>
                <w:p w14:paraId="3E70108E">
                  <w:pPr>
                    <w:pStyle w:val="29"/>
                    <w:overflowPunct w:val="0"/>
                    <w:autoSpaceDE w:val="0"/>
                    <w:autoSpaceDN w:val="0"/>
                    <w:rPr>
                      <w:sz w:val="21"/>
                      <w:szCs w:val="21"/>
                    </w:rPr>
                  </w:pPr>
                  <w:r>
                    <w:rPr>
                      <w:sz w:val="21"/>
                      <w:szCs w:val="21"/>
                    </w:rPr>
                    <w:t>项目印刷工序产生的废气经二级活性炭装置吸附处理，确保废气处理效率。</w:t>
                  </w:r>
                </w:p>
              </w:tc>
              <w:tc>
                <w:tcPr>
                  <w:tcW w:w="483" w:type="pct"/>
                  <w:tcBorders>
                    <w:left w:val="single" w:color="auto" w:sz="4" w:space="0"/>
                    <w:bottom w:val="single" w:color="auto" w:sz="4" w:space="0"/>
                    <w:right w:val="single" w:color="auto" w:sz="4" w:space="0"/>
                  </w:tcBorders>
                  <w:vAlign w:val="center"/>
                </w:tcPr>
                <w:p w14:paraId="6C37E6A2">
                  <w:pPr>
                    <w:pStyle w:val="29"/>
                    <w:overflowPunct w:val="0"/>
                    <w:autoSpaceDE w:val="0"/>
                    <w:autoSpaceDN w:val="0"/>
                    <w:rPr>
                      <w:sz w:val="21"/>
                      <w:szCs w:val="21"/>
                    </w:rPr>
                  </w:pPr>
                  <w:r>
                    <w:rPr>
                      <w:sz w:val="21"/>
                      <w:szCs w:val="21"/>
                    </w:rPr>
                    <w:t>符合</w:t>
                  </w:r>
                </w:p>
              </w:tc>
            </w:tr>
            <w:tr w14:paraId="4CA8C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restart"/>
                  <w:tcBorders>
                    <w:top w:val="nil"/>
                    <w:left w:val="single" w:color="auto" w:sz="4" w:space="0"/>
                    <w:bottom w:val="single" w:color="auto" w:sz="4" w:space="0"/>
                    <w:right w:val="single" w:color="auto" w:sz="4" w:space="0"/>
                  </w:tcBorders>
                  <w:vAlign w:val="center"/>
                </w:tcPr>
                <w:p w14:paraId="54B60459">
                  <w:pPr>
                    <w:pStyle w:val="29"/>
                    <w:overflowPunct w:val="0"/>
                    <w:autoSpaceDE w:val="0"/>
                    <w:autoSpaceDN w:val="0"/>
                    <w:rPr>
                      <w:sz w:val="21"/>
                      <w:szCs w:val="21"/>
                    </w:rPr>
                  </w:pPr>
                  <w:r>
                    <w:rPr>
                      <w:sz w:val="21"/>
                      <w:szCs w:val="21"/>
                    </w:rPr>
                    <w:t>《安徽省挥发性有机物污染整治工作方案》</w:t>
                  </w:r>
                </w:p>
              </w:tc>
              <w:tc>
                <w:tcPr>
                  <w:tcW w:w="2693" w:type="pct"/>
                  <w:tcBorders>
                    <w:top w:val="single" w:color="auto" w:sz="4" w:space="0"/>
                    <w:left w:val="single" w:color="auto" w:sz="4" w:space="0"/>
                    <w:bottom w:val="single" w:color="auto" w:sz="4" w:space="0"/>
                    <w:right w:val="single" w:color="auto" w:sz="4" w:space="0"/>
                  </w:tcBorders>
                  <w:vAlign w:val="center"/>
                </w:tcPr>
                <w:p w14:paraId="65D1BD45">
                  <w:pPr>
                    <w:pStyle w:val="29"/>
                    <w:overflowPunct w:val="0"/>
                    <w:autoSpaceDE w:val="0"/>
                    <w:autoSpaceDN w:val="0"/>
                    <w:rPr>
                      <w:sz w:val="21"/>
                      <w:szCs w:val="21"/>
                    </w:rPr>
                  </w:pPr>
                  <w:r>
                    <w:rPr>
                      <w:sz w:val="21"/>
                      <w:szCs w:val="21"/>
                    </w:rPr>
                    <w:t>将控制挥发性有机物排放列入建设项目环境影响评价重要内容，严格环境准入，严控“两高”行业新增产能。新建、迁建VOCs排放量大的企业应入工业园区并符合规划要求，必须建设挥发性有机物污染治理设施，安装废气收集、回收或净化装置，原则上总净化效率不得低于90%。建立VOCs排放总量控制制度。</w:t>
                  </w:r>
                </w:p>
              </w:tc>
              <w:tc>
                <w:tcPr>
                  <w:tcW w:w="1095" w:type="pct"/>
                  <w:tcBorders>
                    <w:top w:val="single" w:color="auto" w:sz="4" w:space="0"/>
                    <w:left w:val="single" w:color="auto" w:sz="4" w:space="0"/>
                    <w:bottom w:val="single" w:color="auto" w:sz="4" w:space="0"/>
                    <w:right w:val="single" w:color="auto" w:sz="4" w:space="0"/>
                  </w:tcBorders>
                  <w:vAlign w:val="center"/>
                </w:tcPr>
                <w:p w14:paraId="3A56F255">
                  <w:pPr>
                    <w:pStyle w:val="29"/>
                    <w:overflowPunct w:val="0"/>
                    <w:autoSpaceDE w:val="0"/>
                    <w:autoSpaceDN w:val="0"/>
                    <w:rPr>
                      <w:sz w:val="21"/>
                      <w:szCs w:val="21"/>
                    </w:rPr>
                  </w:pPr>
                  <w:r>
                    <w:rPr>
                      <w:sz w:val="21"/>
                      <w:szCs w:val="21"/>
                    </w:rPr>
                    <w:t>本项目为C2231纸和纸板容器制造，不属于“两高”行业，本项目有机废气经有效收集后进入二级活性炭装置处理，VOCs废气净化效率大于90%。项目建立VOCs排放总量控制制度。</w:t>
                  </w:r>
                </w:p>
              </w:tc>
              <w:tc>
                <w:tcPr>
                  <w:tcW w:w="483" w:type="pct"/>
                  <w:tcBorders>
                    <w:top w:val="single" w:color="auto" w:sz="4" w:space="0"/>
                    <w:left w:val="single" w:color="auto" w:sz="4" w:space="0"/>
                    <w:bottom w:val="single" w:color="auto" w:sz="4" w:space="0"/>
                    <w:right w:val="single" w:color="auto" w:sz="4" w:space="0"/>
                  </w:tcBorders>
                  <w:vAlign w:val="center"/>
                </w:tcPr>
                <w:p w14:paraId="349B80CB">
                  <w:pPr>
                    <w:pStyle w:val="29"/>
                    <w:overflowPunct w:val="0"/>
                    <w:autoSpaceDE w:val="0"/>
                    <w:autoSpaceDN w:val="0"/>
                    <w:rPr>
                      <w:sz w:val="21"/>
                      <w:szCs w:val="21"/>
                    </w:rPr>
                  </w:pPr>
                  <w:r>
                    <w:rPr>
                      <w:sz w:val="21"/>
                      <w:szCs w:val="21"/>
                    </w:rPr>
                    <w:t>符合</w:t>
                  </w:r>
                </w:p>
              </w:tc>
            </w:tr>
            <w:tr w14:paraId="23FE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top w:val="nil"/>
                    <w:left w:val="single" w:color="auto" w:sz="4" w:space="0"/>
                    <w:bottom w:val="single" w:color="auto" w:sz="4" w:space="0"/>
                    <w:right w:val="single" w:color="auto" w:sz="4" w:space="0"/>
                  </w:tcBorders>
                  <w:vAlign w:val="center"/>
                </w:tcPr>
                <w:p w14:paraId="0182DF3D">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14BACF66">
                  <w:pPr>
                    <w:pStyle w:val="29"/>
                    <w:overflowPunct w:val="0"/>
                    <w:autoSpaceDE w:val="0"/>
                    <w:autoSpaceDN w:val="0"/>
                    <w:rPr>
                      <w:sz w:val="21"/>
                      <w:szCs w:val="21"/>
                    </w:rPr>
                  </w:pPr>
                  <w:r>
                    <w:rPr>
                      <w:sz w:val="21"/>
                      <w:szCs w:val="21"/>
                    </w:rPr>
                    <w:t>加强企业内部管理，明确VOCs处理装置的管理和监控方案，提升现场管理水平，确保VOCs处理装置长期有效运行。要加强基础工作，建立完善的“一厂一档”，与VOCs排放相关的原辅料、溶剂的使用、产品生产及输出、废气处理、污染物排放、在线监控等信息应进行跟踪记录，以满足企业VOCs实际以及潜在的排放量查证需要，确保企业VOCs处理装置运行效果</w:t>
                  </w:r>
                </w:p>
              </w:tc>
              <w:tc>
                <w:tcPr>
                  <w:tcW w:w="1095" w:type="pct"/>
                  <w:tcBorders>
                    <w:top w:val="single" w:color="auto" w:sz="4" w:space="0"/>
                    <w:left w:val="single" w:color="auto" w:sz="4" w:space="0"/>
                    <w:bottom w:val="single" w:color="auto" w:sz="4" w:space="0"/>
                    <w:right w:val="single" w:color="auto" w:sz="4" w:space="0"/>
                  </w:tcBorders>
                  <w:vAlign w:val="center"/>
                </w:tcPr>
                <w:p w14:paraId="5DB34449">
                  <w:pPr>
                    <w:pStyle w:val="29"/>
                    <w:overflowPunct w:val="0"/>
                    <w:autoSpaceDE w:val="0"/>
                    <w:autoSpaceDN w:val="0"/>
                    <w:rPr>
                      <w:sz w:val="21"/>
                      <w:szCs w:val="21"/>
                    </w:rPr>
                  </w:pPr>
                  <w:r>
                    <w:rPr>
                      <w:sz w:val="21"/>
                      <w:szCs w:val="21"/>
                    </w:rPr>
                    <w:t>建设单位制定VOCs处理装置的管理和监控方案，建立VOCs使用档案，确保企业VOCs处理装置运行效果。</w:t>
                  </w:r>
                </w:p>
              </w:tc>
              <w:tc>
                <w:tcPr>
                  <w:tcW w:w="483" w:type="pct"/>
                  <w:tcBorders>
                    <w:top w:val="single" w:color="auto" w:sz="4" w:space="0"/>
                    <w:left w:val="single" w:color="auto" w:sz="4" w:space="0"/>
                    <w:bottom w:val="single" w:color="auto" w:sz="4" w:space="0"/>
                    <w:right w:val="single" w:color="auto" w:sz="4" w:space="0"/>
                  </w:tcBorders>
                  <w:vAlign w:val="center"/>
                </w:tcPr>
                <w:p w14:paraId="414F8DC2">
                  <w:pPr>
                    <w:pStyle w:val="29"/>
                    <w:overflowPunct w:val="0"/>
                    <w:autoSpaceDE w:val="0"/>
                    <w:autoSpaceDN w:val="0"/>
                    <w:rPr>
                      <w:sz w:val="21"/>
                      <w:szCs w:val="21"/>
                    </w:rPr>
                  </w:pPr>
                  <w:r>
                    <w:rPr>
                      <w:sz w:val="21"/>
                      <w:szCs w:val="21"/>
                    </w:rPr>
                    <w:t>符合</w:t>
                  </w:r>
                </w:p>
              </w:tc>
            </w:tr>
            <w:tr w14:paraId="0A688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restart"/>
                  <w:tcBorders>
                    <w:top w:val="nil"/>
                    <w:left w:val="single" w:color="auto" w:sz="4" w:space="0"/>
                    <w:bottom w:val="single" w:color="auto" w:sz="4" w:space="0"/>
                    <w:right w:val="single" w:color="auto" w:sz="4" w:space="0"/>
                  </w:tcBorders>
                  <w:vAlign w:val="center"/>
                </w:tcPr>
                <w:p w14:paraId="65B41F93">
                  <w:pPr>
                    <w:pStyle w:val="29"/>
                    <w:overflowPunct w:val="0"/>
                    <w:autoSpaceDE w:val="0"/>
                    <w:autoSpaceDN w:val="0"/>
                    <w:rPr>
                      <w:sz w:val="21"/>
                      <w:szCs w:val="21"/>
                    </w:rPr>
                  </w:pPr>
                  <w:r>
                    <w:rPr>
                      <w:sz w:val="21"/>
                      <w:szCs w:val="21"/>
                    </w:rPr>
                    <w:t>《淮南市2023年大气污染防治工作要点》（淮大气办〔2023〕6号）</w:t>
                  </w:r>
                </w:p>
              </w:tc>
              <w:tc>
                <w:tcPr>
                  <w:tcW w:w="2693" w:type="pct"/>
                  <w:tcBorders>
                    <w:top w:val="single" w:color="auto" w:sz="4" w:space="0"/>
                    <w:left w:val="single" w:color="auto" w:sz="4" w:space="0"/>
                    <w:bottom w:val="single" w:color="auto" w:sz="4" w:space="0"/>
                    <w:right w:val="single" w:color="auto" w:sz="4" w:space="0"/>
                  </w:tcBorders>
                  <w:vAlign w:val="center"/>
                </w:tcPr>
                <w:p w14:paraId="4A2C2A03">
                  <w:pPr>
                    <w:pStyle w:val="29"/>
                    <w:overflowPunct w:val="0"/>
                    <w:autoSpaceDE w:val="0"/>
                    <w:autoSpaceDN w:val="0"/>
                    <w:rPr>
                      <w:sz w:val="21"/>
                      <w:szCs w:val="21"/>
                    </w:rPr>
                  </w:pPr>
                  <w:r>
                    <w:rPr>
                      <w:sz w:val="21"/>
                      <w:szCs w:val="21"/>
                    </w:rPr>
                    <w:t>持续做好煤炭减量控制。压减非电行业用煤，完成省下达的煤炭消费量年度目标；新、改、扩建项目严格实施煤炭减量替代，煤炭替代方案不完善的依法不予审批。加强商品煤质量监督和管理，确保符合国家和地方标准要求。推进煤炭清洁高效利用。禁止新建企业自备燃煤设施，加快供热管网建设，充分释放燃煤电厂、工业余热等供热能力。</w:t>
                  </w:r>
                </w:p>
              </w:tc>
              <w:tc>
                <w:tcPr>
                  <w:tcW w:w="1095" w:type="pct"/>
                  <w:vMerge w:val="restart"/>
                  <w:tcBorders>
                    <w:top w:val="single" w:color="auto" w:sz="4" w:space="0"/>
                    <w:left w:val="single" w:color="auto" w:sz="4" w:space="0"/>
                    <w:right w:val="single" w:color="auto" w:sz="4" w:space="0"/>
                  </w:tcBorders>
                  <w:vAlign w:val="center"/>
                </w:tcPr>
                <w:p w14:paraId="1B54863D">
                  <w:pPr>
                    <w:pStyle w:val="29"/>
                    <w:overflowPunct w:val="0"/>
                    <w:autoSpaceDE w:val="0"/>
                    <w:autoSpaceDN w:val="0"/>
                    <w:rPr>
                      <w:sz w:val="21"/>
                      <w:szCs w:val="21"/>
                    </w:rPr>
                  </w:pPr>
                  <w:r>
                    <w:rPr>
                      <w:sz w:val="21"/>
                      <w:szCs w:val="21"/>
                    </w:rPr>
                    <w:t>本项目使用天然气锅炉，</w:t>
                  </w:r>
                  <w:r>
                    <w:rPr>
                      <w:rFonts w:hint="default" w:ascii="Times New Roman" w:hAnsi="Times New Roman" w:cs="Times New Roman"/>
                      <w:sz w:val="21"/>
                      <w:szCs w:val="21"/>
                      <w:lang w:eastAsia="zh-CN"/>
                    </w:rPr>
                    <w:t>使用低氮燃烧工艺，</w:t>
                  </w:r>
                  <w:r>
                    <w:rPr>
                      <w:sz w:val="21"/>
                      <w:szCs w:val="21"/>
                    </w:rPr>
                    <w:t>无自建燃煤设施。</w:t>
                  </w:r>
                </w:p>
              </w:tc>
              <w:tc>
                <w:tcPr>
                  <w:tcW w:w="483" w:type="pct"/>
                  <w:tcBorders>
                    <w:top w:val="single" w:color="auto" w:sz="4" w:space="0"/>
                    <w:left w:val="single" w:color="auto" w:sz="4" w:space="0"/>
                    <w:bottom w:val="single" w:color="auto" w:sz="4" w:space="0"/>
                    <w:right w:val="single" w:color="auto" w:sz="4" w:space="0"/>
                  </w:tcBorders>
                  <w:vAlign w:val="center"/>
                </w:tcPr>
                <w:p w14:paraId="14AEA123">
                  <w:pPr>
                    <w:pStyle w:val="29"/>
                    <w:overflowPunct w:val="0"/>
                    <w:autoSpaceDE w:val="0"/>
                    <w:autoSpaceDN w:val="0"/>
                    <w:rPr>
                      <w:sz w:val="21"/>
                      <w:szCs w:val="21"/>
                    </w:rPr>
                  </w:pPr>
                  <w:r>
                    <w:rPr>
                      <w:sz w:val="21"/>
                      <w:szCs w:val="21"/>
                    </w:rPr>
                    <w:t>符合</w:t>
                  </w:r>
                </w:p>
              </w:tc>
            </w:tr>
            <w:tr w14:paraId="41E0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top w:val="nil"/>
                    <w:left w:val="single" w:color="auto" w:sz="4" w:space="0"/>
                    <w:bottom w:val="single" w:color="auto" w:sz="4" w:space="0"/>
                    <w:right w:val="single" w:color="auto" w:sz="4" w:space="0"/>
                  </w:tcBorders>
                  <w:vAlign w:val="center"/>
                </w:tcPr>
                <w:p w14:paraId="66139EBA">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19BD2A34">
                  <w:pPr>
                    <w:pStyle w:val="29"/>
                    <w:overflowPunct w:val="0"/>
                    <w:autoSpaceDE w:val="0"/>
                    <w:autoSpaceDN w:val="0"/>
                    <w:rPr>
                      <w:sz w:val="21"/>
                      <w:szCs w:val="21"/>
                    </w:rPr>
                  </w:pPr>
                  <w:r>
                    <w:rPr>
                      <w:sz w:val="21"/>
                      <w:szCs w:val="21"/>
                    </w:rPr>
                    <w:t>深度实施清洁能源替代。鼓励砖瓦炉窑外投燃料使用天然气、液化石油气等清洁能源。禁燃区内“散煤”动态清零，禁燃区外积极发展生物质、农村沼气等多种清洁能源。燃气锅炉应全部安装低氮燃烧装置，完成低氮燃烧改造的锅炉应逐一核实低氮燃烧装置运行情况。实施可再生能源替代行动，加快建设新型能源供应系统，因地制宜开发风电与光伏发电，鼓励建设风能、太阳能、生物质能等新能源项目。</w:t>
                  </w:r>
                </w:p>
              </w:tc>
              <w:tc>
                <w:tcPr>
                  <w:tcW w:w="1095" w:type="pct"/>
                  <w:vMerge w:val="continue"/>
                  <w:tcBorders>
                    <w:left w:val="single" w:color="auto" w:sz="4" w:space="0"/>
                    <w:bottom w:val="single" w:color="auto" w:sz="4" w:space="0"/>
                    <w:right w:val="single" w:color="auto" w:sz="4" w:space="0"/>
                  </w:tcBorders>
                  <w:vAlign w:val="center"/>
                </w:tcPr>
                <w:p w14:paraId="0908BE32">
                  <w:pPr>
                    <w:pStyle w:val="29"/>
                    <w:overflowPunct w:val="0"/>
                    <w:autoSpaceDE w:val="0"/>
                    <w:autoSpaceDN w:val="0"/>
                    <w:rPr>
                      <w:sz w:val="21"/>
                      <w:szCs w:val="21"/>
                    </w:rPr>
                  </w:pPr>
                </w:p>
              </w:tc>
              <w:tc>
                <w:tcPr>
                  <w:tcW w:w="483" w:type="pct"/>
                  <w:tcBorders>
                    <w:top w:val="single" w:color="auto" w:sz="4" w:space="0"/>
                    <w:left w:val="single" w:color="auto" w:sz="4" w:space="0"/>
                    <w:bottom w:val="single" w:color="auto" w:sz="4" w:space="0"/>
                    <w:right w:val="single" w:color="auto" w:sz="4" w:space="0"/>
                  </w:tcBorders>
                  <w:vAlign w:val="center"/>
                </w:tcPr>
                <w:p w14:paraId="2F754B92">
                  <w:pPr>
                    <w:pStyle w:val="29"/>
                    <w:overflowPunct w:val="0"/>
                    <w:autoSpaceDE w:val="0"/>
                    <w:autoSpaceDN w:val="0"/>
                    <w:rPr>
                      <w:sz w:val="21"/>
                      <w:szCs w:val="21"/>
                    </w:rPr>
                  </w:pPr>
                  <w:r>
                    <w:rPr>
                      <w:sz w:val="21"/>
                      <w:szCs w:val="21"/>
                    </w:rPr>
                    <w:t>符合</w:t>
                  </w:r>
                </w:p>
              </w:tc>
            </w:tr>
            <w:tr w14:paraId="63CB3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top w:val="nil"/>
                    <w:left w:val="single" w:color="auto" w:sz="4" w:space="0"/>
                    <w:bottom w:val="nil"/>
                    <w:right w:val="single" w:color="auto" w:sz="4" w:space="0"/>
                  </w:tcBorders>
                  <w:vAlign w:val="center"/>
                </w:tcPr>
                <w:p w14:paraId="6F77578E">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5066C7BD">
                  <w:pPr>
                    <w:pStyle w:val="29"/>
                    <w:overflowPunct w:val="0"/>
                    <w:autoSpaceDE w:val="0"/>
                    <w:autoSpaceDN w:val="0"/>
                    <w:rPr>
                      <w:sz w:val="21"/>
                      <w:szCs w:val="21"/>
                    </w:rPr>
                  </w:pPr>
                  <w:r>
                    <w:rPr>
                      <w:sz w:val="21"/>
                      <w:szCs w:val="21"/>
                    </w:rPr>
                    <w:t>加快产业结构转型升级。开展“两高”项目排查，实施清单管理、分类处置、动态监控，对不符合规定的新建项目坚决停批停建，科学稳妥推进符合要求的拟建项目。依法依规淘汰落后产能和化解过剩产能。</w:t>
                  </w:r>
                </w:p>
              </w:tc>
              <w:tc>
                <w:tcPr>
                  <w:tcW w:w="1095" w:type="pct"/>
                  <w:tcBorders>
                    <w:top w:val="single" w:color="auto" w:sz="4" w:space="0"/>
                    <w:left w:val="single" w:color="auto" w:sz="4" w:space="0"/>
                    <w:bottom w:val="single" w:color="auto" w:sz="4" w:space="0"/>
                    <w:right w:val="single" w:color="auto" w:sz="4" w:space="0"/>
                  </w:tcBorders>
                  <w:vAlign w:val="center"/>
                </w:tcPr>
                <w:p w14:paraId="12097FE5">
                  <w:pPr>
                    <w:pStyle w:val="29"/>
                    <w:overflowPunct w:val="0"/>
                    <w:autoSpaceDE w:val="0"/>
                    <w:autoSpaceDN w:val="0"/>
                    <w:rPr>
                      <w:sz w:val="21"/>
                      <w:szCs w:val="21"/>
                    </w:rPr>
                  </w:pPr>
                  <w:r>
                    <w:rPr>
                      <w:sz w:val="21"/>
                      <w:szCs w:val="21"/>
                    </w:rPr>
                    <w:t>对照《安徽省“两高”项目管理目录（试行）》，本项目不属于两高项目，不属于落后产能和化解过剩产能。</w:t>
                  </w:r>
                </w:p>
              </w:tc>
              <w:tc>
                <w:tcPr>
                  <w:tcW w:w="483" w:type="pct"/>
                  <w:tcBorders>
                    <w:top w:val="single" w:color="auto" w:sz="4" w:space="0"/>
                    <w:left w:val="single" w:color="auto" w:sz="4" w:space="0"/>
                    <w:bottom w:val="single" w:color="auto" w:sz="4" w:space="0"/>
                    <w:right w:val="single" w:color="auto" w:sz="4" w:space="0"/>
                  </w:tcBorders>
                  <w:vAlign w:val="center"/>
                </w:tcPr>
                <w:p w14:paraId="117C2CB1">
                  <w:pPr>
                    <w:pStyle w:val="29"/>
                    <w:overflowPunct w:val="0"/>
                    <w:autoSpaceDE w:val="0"/>
                    <w:autoSpaceDN w:val="0"/>
                    <w:rPr>
                      <w:sz w:val="21"/>
                      <w:szCs w:val="21"/>
                    </w:rPr>
                  </w:pPr>
                  <w:r>
                    <w:rPr>
                      <w:sz w:val="21"/>
                      <w:szCs w:val="21"/>
                    </w:rPr>
                    <w:t>符合</w:t>
                  </w:r>
                </w:p>
              </w:tc>
            </w:tr>
            <w:tr w14:paraId="57732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restart"/>
                  <w:tcBorders>
                    <w:left w:val="single" w:color="auto" w:sz="4" w:space="0"/>
                    <w:right w:val="single" w:color="auto" w:sz="4" w:space="0"/>
                  </w:tcBorders>
                  <w:vAlign w:val="center"/>
                </w:tcPr>
                <w:p w14:paraId="059BA7D0">
                  <w:pPr>
                    <w:pStyle w:val="29"/>
                    <w:overflowPunct w:val="0"/>
                    <w:autoSpaceDE w:val="0"/>
                    <w:autoSpaceDN w:val="0"/>
                    <w:rPr>
                      <w:sz w:val="21"/>
                      <w:szCs w:val="21"/>
                    </w:rPr>
                  </w:pPr>
                  <w:r>
                    <w:rPr>
                      <w:sz w:val="21"/>
                      <w:szCs w:val="21"/>
                    </w:rPr>
                    <w:t>《安徽省低挥发性有机物含量原辅材料替代工作方案》皖环发〔2024〕1号文</w:t>
                  </w:r>
                </w:p>
              </w:tc>
              <w:tc>
                <w:tcPr>
                  <w:tcW w:w="2693" w:type="pct"/>
                  <w:tcBorders>
                    <w:top w:val="single" w:color="auto" w:sz="4" w:space="0"/>
                    <w:left w:val="single" w:color="auto" w:sz="4" w:space="0"/>
                    <w:bottom w:val="single" w:color="auto" w:sz="4" w:space="0"/>
                    <w:right w:val="single" w:color="auto" w:sz="4" w:space="0"/>
                  </w:tcBorders>
                  <w:vAlign w:val="center"/>
                </w:tcPr>
                <w:p w14:paraId="3F819787">
                  <w:pPr>
                    <w:pStyle w:val="29"/>
                    <w:overflowPunct w:val="0"/>
                    <w:autoSpaceDE w:val="0"/>
                    <w:autoSpaceDN w:val="0"/>
                    <w:rPr>
                      <w:sz w:val="21"/>
                      <w:szCs w:val="21"/>
                    </w:rPr>
                  </w:pPr>
                  <w:r>
                    <w:rPr>
                      <w:sz w:val="21"/>
                      <w:szCs w:val="21"/>
                    </w:rPr>
                    <w:t>加强替代管理。工业涂装、包装印刷、竹木加工、家 具制造、汽车修理与维护、鞋和皮革制品制造等重点行业企业，要按照《低挥发性有机物含量原辅材料源头替代技术指引(试行)》(附件3)要求，开展低VOCs原辅材料和生产方式替代，优化管控台账及档案管理，持续提升环境管理水平。</w:t>
                  </w:r>
                </w:p>
              </w:tc>
              <w:tc>
                <w:tcPr>
                  <w:tcW w:w="1095" w:type="pct"/>
                  <w:vMerge w:val="restart"/>
                  <w:tcBorders>
                    <w:left w:val="single" w:color="auto" w:sz="4" w:space="0"/>
                    <w:right w:val="single" w:color="auto" w:sz="4" w:space="0"/>
                  </w:tcBorders>
                  <w:vAlign w:val="center"/>
                </w:tcPr>
                <w:p w14:paraId="699EDC06">
                  <w:pPr>
                    <w:pStyle w:val="29"/>
                    <w:overflowPunct w:val="0"/>
                    <w:autoSpaceDE w:val="0"/>
                    <w:autoSpaceDN w:val="0"/>
                    <w:rPr>
                      <w:sz w:val="21"/>
                      <w:szCs w:val="21"/>
                    </w:rPr>
                  </w:pPr>
                  <w:r>
                    <w:rPr>
                      <w:sz w:val="21"/>
                      <w:szCs w:val="21"/>
                    </w:rPr>
                    <w:t>本项目使用水性油墨，为环保低VOCs含量原辅材料，满足《油墨中可挥发性有机化合物(VOCs)的含量限值》（GB38507-2020）中VOC最低值（柔印油墨--吸收性承印物）5%含量限值。同时，该油墨未添加GB38507-2020附录A所列禁用溶剂。</w:t>
                  </w:r>
                </w:p>
              </w:tc>
              <w:tc>
                <w:tcPr>
                  <w:tcW w:w="483" w:type="pct"/>
                  <w:tcBorders>
                    <w:left w:val="single" w:color="auto" w:sz="4" w:space="0"/>
                    <w:right w:val="single" w:color="auto" w:sz="4" w:space="0"/>
                  </w:tcBorders>
                  <w:vAlign w:val="center"/>
                </w:tcPr>
                <w:p w14:paraId="0E6BC50C">
                  <w:pPr>
                    <w:pStyle w:val="29"/>
                    <w:overflowPunct w:val="0"/>
                    <w:autoSpaceDE w:val="0"/>
                    <w:autoSpaceDN w:val="0"/>
                    <w:rPr>
                      <w:sz w:val="21"/>
                      <w:szCs w:val="21"/>
                    </w:rPr>
                  </w:pPr>
                  <w:r>
                    <w:rPr>
                      <w:sz w:val="21"/>
                      <w:szCs w:val="21"/>
                    </w:rPr>
                    <w:t>符合</w:t>
                  </w:r>
                </w:p>
              </w:tc>
            </w:tr>
            <w:tr w14:paraId="07671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76F77547">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0E5B236D">
                  <w:pPr>
                    <w:pStyle w:val="29"/>
                    <w:overflowPunct w:val="0"/>
                    <w:autoSpaceDE w:val="0"/>
                    <w:autoSpaceDN w:val="0"/>
                    <w:rPr>
                      <w:sz w:val="21"/>
                      <w:szCs w:val="21"/>
                    </w:rPr>
                  </w:pPr>
                  <w:r>
                    <w:rPr>
                      <w:sz w:val="21"/>
                      <w:szCs w:val="21"/>
                    </w:rPr>
                    <w:t>严格项目准入。根据《低挥发性有机化合物含量涂料产品技术要求》(GB/T 38597-2020)要求，进一步完善 VOCs 排放管控地方标准建设，细化相关行业涂料种类及各项污染物指标限值，编制实施固 定源挥发性有机物综合排放标准和制鞋、汽修、木材等行业大气污染物排放标准。禁止建设生产和使用高 VOCs 含量的溶剂型涂料、油墨、胶黏剂等项目，全省工业涂装、包装印刷等重点行业和涂料、油墨等生产企业的新(改、扩)建项目需满足低(无)VOCs含量限值要求。省内市场上流通的水性涂料等低 VOCs 含量涂料产品，执行《低挥发性有机化合物含量涂料产品 技术要求》，应在包装标志或产品说明上标明符合标准的分类、产品类别</w:t>
                  </w:r>
                </w:p>
                <w:p w14:paraId="596ABF2C">
                  <w:pPr>
                    <w:pStyle w:val="29"/>
                    <w:overflowPunct w:val="0"/>
                    <w:autoSpaceDE w:val="0"/>
                    <w:autoSpaceDN w:val="0"/>
                    <w:rPr>
                      <w:sz w:val="21"/>
                      <w:szCs w:val="21"/>
                    </w:rPr>
                  </w:pPr>
                  <w:r>
                    <w:rPr>
                      <w:sz w:val="21"/>
                      <w:szCs w:val="21"/>
                    </w:rPr>
                    <w:t>及产品类型(或施涂方式) 。</w:t>
                  </w:r>
                </w:p>
              </w:tc>
              <w:tc>
                <w:tcPr>
                  <w:tcW w:w="1095" w:type="pct"/>
                  <w:vMerge w:val="continue"/>
                  <w:tcBorders>
                    <w:left w:val="single" w:color="auto" w:sz="4" w:space="0"/>
                    <w:right w:val="single" w:color="auto" w:sz="4" w:space="0"/>
                  </w:tcBorders>
                  <w:vAlign w:val="center"/>
                </w:tcPr>
                <w:p w14:paraId="6F34EC20">
                  <w:pPr>
                    <w:pStyle w:val="29"/>
                    <w:overflowPunct w:val="0"/>
                    <w:autoSpaceDE w:val="0"/>
                    <w:autoSpaceDN w:val="0"/>
                    <w:rPr>
                      <w:sz w:val="21"/>
                      <w:szCs w:val="21"/>
                    </w:rPr>
                  </w:pPr>
                </w:p>
              </w:tc>
              <w:tc>
                <w:tcPr>
                  <w:tcW w:w="483" w:type="pct"/>
                  <w:tcBorders>
                    <w:left w:val="single" w:color="auto" w:sz="4" w:space="0"/>
                    <w:right w:val="single" w:color="auto" w:sz="4" w:space="0"/>
                  </w:tcBorders>
                  <w:vAlign w:val="center"/>
                </w:tcPr>
                <w:p w14:paraId="5C536C1A">
                  <w:pPr>
                    <w:pStyle w:val="29"/>
                    <w:overflowPunct w:val="0"/>
                    <w:autoSpaceDE w:val="0"/>
                    <w:autoSpaceDN w:val="0"/>
                    <w:rPr>
                      <w:sz w:val="21"/>
                      <w:szCs w:val="21"/>
                    </w:rPr>
                  </w:pPr>
                  <w:r>
                    <w:rPr>
                      <w:sz w:val="21"/>
                      <w:szCs w:val="21"/>
                    </w:rPr>
                    <w:t>符合</w:t>
                  </w:r>
                </w:p>
              </w:tc>
            </w:tr>
            <w:tr w14:paraId="73E9D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vMerge w:val="continue"/>
                  <w:tcBorders>
                    <w:left w:val="single" w:color="auto" w:sz="4" w:space="0"/>
                    <w:right w:val="single" w:color="auto" w:sz="4" w:space="0"/>
                  </w:tcBorders>
                  <w:vAlign w:val="center"/>
                </w:tcPr>
                <w:p w14:paraId="181B8AA8">
                  <w:pPr>
                    <w:pStyle w:val="29"/>
                    <w:overflowPunct w:val="0"/>
                    <w:autoSpaceDE w:val="0"/>
                    <w:autoSpaceDN w:val="0"/>
                    <w:rPr>
                      <w:sz w:val="21"/>
                      <w:szCs w:val="21"/>
                    </w:rPr>
                  </w:pPr>
                </w:p>
              </w:tc>
              <w:tc>
                <w:tcPr>
                  <w:tcW w:w="2693" w:type="pct"/>
                  <w:tcBorders>
                    <w:top w:val="single" w:color="auto" w:sz="4" w:space="0"/>
                    <w:left w:val="single" w:color="auto" w:sz="4" w:space="0"/>
                    <w:bottom w:val="single" w:color="auto" w:sz="4" w:space="0"/>
                    <w:right w:val="single" w:color="auto" w:sz="4" w:space="0"/>
                  </w:tcBorders>
                  <w:vAlign w:val="center"/>
                </w:tcPr>
                <w:p w14:paraId="73A3019B">
                  <w:pPr>
                    <w:pStyle w:val="29"/>
                    <w:overflowPunct w:val="0"/>
                    <w:autoSpaceDE w:val="0"/>
                    <w:autoSpaceDN w:val="0"/>
                    <w:rPr>
                      <w:sz w:val="21"/>
                      <w:szCs w:val="21"/>
                    </w:rPr>
                  </w:pPr>
                  <w:r>
                    <w:rPr>
                      <w:sz w:val="21"/>
                      <w:szCs w:val="21"/>
                    </w:rPr>
                    <w:t>其他行业企业涉VOCs相关工序，要使用符合《低挥发性有机化合物含量涂料产品技术要求》(GB/T38597-2020)规定的粉末、水性、无溶剂、辐射固化涂料产品;符合《清洗剂挥发性有机化合物含量限值》(GB38508-2020）规定的水基、半水基清洗剂产品;符合《胶粘剂挥发性有机化合物限量》(GB 33372-2020)规定的水基型、本体型胶粘剂产品。</w:t>
                  </w:r>
                </w:p>
              </w:tc>
              <w:tc>
                <w:tcPr>
                  <w:tcW w:w="1095" w:type="pct"/>
                  <w:vMerge w:val="continue"/>
                  <w:tcBorders>
                    <w:left w:val="single" w:color="auto" w:sz="4" w:space="0"/>
                    <w:right w:val="single" w:color="auto" w:sz="4" w:space="0"/>
                  </w:tcBorders>
                  <w:vAlign w:val="center"/>
                </w:tcPr>
                <w:p w14:paraId="4F818873">
                  <w:pPr>
                    <w:pStyle w:val="29"/>
                    <w:overflowPunct w:val="0"/>
                    <w:autoSpaceDE w:val="0"/>
                    <w:autoSpaceDN w:val="0"/>
                    <w:rPr>
                      <w:sz w:val="21"/>
                      <w:szCs w:val="21"/>
                    </w:rPr>
                  </w:pPr>
                </w:p>
              </w:tc>
              <w:tc>
                <w:tcPr>
                  <w:tcW w:w="483" w:type="pct"/>
                  <w:tcBorders>
                    <w:left w:val="single" w:color="auto" w:sz="4" w:space="0"/>
                    <w:right w:val="single" w:color="auto" w:sz="4" w:space="0"/>
                  </w:tcBorders>
                  <w:vAlign w:val="center"/>
                </w:tcPr>
                <w:p w14:paraId="375C8868">
                  <w:pPr>
                    <w:pStyle w:val="29"/>
                    <w:overflowPunct w:val="0"/>
                    <w:autoSpaceDE w:val="0"/>
                    <w:autoSpaceDN w:val="0"/>
                    <w:rPr>
                      <w:sz w:val="21"/>
                      <w:szCs w:val="21"/>
                    </w:rPr>
                  </w:pPr>
                  <w:r>
                    <w:rPr>
                      <w:sz w:val="21"/>
                      <w:szCs w:val="21"/>
                    </w:rPr>
                    <w:t>符合</w:t>
                  </w:r>
                </w:p>
              </w:tc>
            </w:tr>
            <w:tr w14:paraId="12435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728" w:type="pct"/>
                  <w:tcBorders>
                    <w:left w:val="single" w:color="auto" w:sz="4" w:space="0"/>
                    <w:right w:val="single" w:color="auto" w:sz="4" w:space="0"/>
                  </w:tcBorders>
                  <w:vAlign w:val="center"/>
                </w:tcPr>
                <w:p w14:paraId="6CAE642E">
                  <w:pPr>
                    <w:pStyle w:val="29"/>
                    <w:overflowPunct w:val="0"/>
                    <w:autoSpaceDE w:val="0"/>
                    <w:autoSpaceDN w:val="0"/>
                    <w:rPr>
                      <w:sz w:val="21"/>
                      <w:szCs w:val="21"/>
                    </w:rPr>
                  </w:pPr>
                  <w:r>
                    <w:rPr>
                      <w:sz w:val="21"/>
                      <w:szCs w:val="21"/>
                    </w:rPr>
                    <w:t>《关于加快解决当前挥发性有机物治理突出问题的通知》(环大气〔2021〕65号)</w:t>
                  </w:r>
                </w:p>
              </w:tc>
              <w:tc>
                <w:tcPr>
                  <w:tcW w:w="2693" w:type="pct"/>
                  <w:tcBorders>
                    <w:top w:val="single" w:color="auto" w:sz="4" w:space="0"/>
                    <w:left w:val="single" w:color="auto" w:sz="4" w:space="0"/>
                    <w:bottom w:val="single" w:color="auto" w:sz="4" w:space="0"/>
                    <w:right w:val="single" w:color="auto" w:sz="4" w:space="0"/>
                  </w:tcBorders>
                  <w:vAlign w:val="center"/>
                </w:tcPr>
                <w:p w14:paraId="79463CF5">
                  <w:pPr>
                    <w:pStyle w:val="29"/>
                    <w:overflowPunct w:val="0"/>
                    <w:autoSpaceDE w:val="0"/>
                    <w:autoSpaceDN w:val="0"/>
                    <w:rPr>
                      <w:sz w:val="21"/>
                      <w:szCs w:val="21"/>
                    </w:rPr>
                  </w:pPr>
                  <w:r>
                    <w:rPr>
                      <w:sz w:val="21"/>
                      <w:szCs w:val="21"/>
                    </w:rPr>
                    <w:t>产生VOCs 的生产环节优先采用密闭设备、在密闭空间中操作或采用全密闭集气罩收集方式，并保持负压运行。对采用局部收集方式的企业，距废气收集系统 排风罩开口面最远处的 VOCs 无组织排放位置控制风速不低于 0.3m/s；使用 VOCs 质量占比大于等于 10%的涂料、油墨、胶粘剂、稀释剂、清洗剂等物料存储、调配、转移、输送等环节应密闭。推广以生产线或设备为单位设置隔间，收集风量应确保隔间保持微负压。当废气产生点较多、彼此距离较远时，在满足设计规范、风压平衡的基础上，适当分设多套收集系统或中继风机。废气收集系统的输送管道应密闭、无破损。</w:t>
                  </w:r>
                </w:p>
              </w:tc>
              <w:tc>
                <w:tcPr>
                  <w:tcW w:w="1095" w:type="pct"/>
                  <w:tcBorders>
                    <w:left w:val="single" w:color="auto" w:sz="4" w:space="0"/>
                    <w:right w:val="single" w:color="auto" w:sz="4" w:space="0"/>
                  </w:tcBorders>
                  <w:vAlign w:val="center"/>
                </w:tcPr>
                <w:p w14:paraId="169D73C6">
                  <w:pPr>
                    <w:pStyle w:val="29"/>
                    <w:overflowPunct w:val="0"/>
                    <w:autoSpaceDE w:val="0"/>
                    <w:autoSpaceDN w:val="0"/>
                    <w:rPr>
                      <w:sz w:val="21"/>
                      <w:szCs w:val="21"/>
                    </w:rPr>
                  </w:pPr>
                  <w:r>
                    <w:rPr>
                      <w:sz w:val="21"/>
                      <w:szCs w:val="21"/>
                    </w:rPr>
                    <w:t>本项目印刷工序产生的有机废气经集气罩收集，油墨储存、转移和输送等环节都在密闭容器和空间内。</w:t>
                  </w:r>
                </w:p>
              </w:tc>
              <w:tc>
                <w:tcPr>
                  <w:tcW w:w="483" w:type="pct"/>
                  <w:tcBorders>
                    <w:left w:val="single" w:color="auto" w:sz="4" w:space="0"/>
                    <w:right w:val="single" w:color="auto" w:sz="4" w:space="0"/>
                  </w:tcBorders>
                  <w:vAlign w:val="center"/>
                </w:tcPr>
                <w:p w14:paraId="316F34A5">
                  <w:pPr>
                    <w:pStyle w:val="29"/>
                    <w:overflowPunct w:val="0"/>
                    <w:autoSpaceDE w:val="0"/>
                    <w:autoSpaceDN w:val="0"/>
                    <w:rPr>
                      <w:sz w:val="21"/>
                      <w:szCs w:val="21"/>
                    </w:rPr>
                  </w:pPr>
                  <w:r>
                    <w:rPr>
                      <w:sz w:val="21"/>
                      <w:szCs w:val="21"/>
                    </w:rPr>
                    <w:t>符合</w:t>
                  </w:r>
                </w:p>
              </w:tc>
            </w:tr>
          </w:tbl>
          <w:p w14:paraId="3D4F13C2">
            <w:pPr>
              <w:pStyle w:val="62"/>
              <w:rPr>
                <w:b/>
                <w:bCs w:val="0"/>
                <w:kern w:val="0"/>
              </w:rPr>
            </w:pPr>
            <w:r>
              <w:rPr>
                <w:rFonts w:hint="default" w:ascii="Times New Roman" w:hAnsi="Times New Roman" w:cs="Times New Roman"/>
                <w:b/>
                <w:bCs w:val="0"/>
                <w:kern w:val="0"/>
                <w:lang w:val="en-US" w:eastAsia="zh-CN"/>
              </w:rPr>
              <w:t>8、</w:t>
            </w:r>
            <w:r>
              <w:rPr>
                <w:b/>
                <w:bCs w:val="0"/>
                <w:kern w:val="0"/>
              </w:rPr>
              <w:t>项目选址合理性及周边环境相容性分析</w:t>
            </w:r>
          </w:p>
          <w:p w14:paraId="1DB5C229">
            <w:pPr>
              <w:pStyle w:val="45"/>
              <w:adjustRightInd w:val="0"/>
              <w:snapToGrid w:val="0"/>
              <w:ind w:firstLineChars="0"/>
              <w:rPr>
                <w:rFonts w:hint="default"/>
                <w:kern w:val="0"/>
                <w:szCs w:val="20"/>
                <w:lang w:val="zh-CN"/>
              </w:rPr>
            </w:pPr>
            <w:r>
              <w:rPr>
                <w:rFonts w:hint="default"/>
                <w:kern w:val="0"/>
                <w:szCs w:val="20"/>
              </w:rPr>
              <w:t>本项目位于淮南市谢家集区安徽普特机械制造有限公司厂区内，该项目地块属于</w:t>
            </w:r>
            <w:r>
              <w:rPr>
                <w:rFonts w:hint="default"/>
                <w:bCs w:val="0"/>
                <w:kern w:val="0"/>
                <w:szCs w:val="20"/>
              </w:rPr>
              <w:t>淮南高新技术产业开发区总体规划范围内。</w:t>
            </w:r>
            <w:r>
              <w:rPr>
                <w:rFonts w:hint="default"/>
                <w:kern w:val="0"/>
                <w:szCs w:val="20"/>
              </w:rPr>
              <w:t>对照</w:t>
            </w:r>
            <w:r>
              <w:rPr>
                <w:rFonts w:hint="default"/>
                <w:kern w:val="0"/>
                <w:szCs w:val="20"/>
                <w:lang w:bidi="ar"/>
              </w:rPr>
              <w:t>《</w:t>
            </w:r>
            <w:r>
              <w:rPr>
                <w:rFonts w:hint="default"/>
                <w:bCs w:val="0"/>
                <w:kern w:val="0"/>
                <w:szCs w:val="20"/>
              </w:rPr>
              <w:t>淮南高新技术产业开发区总体规划</w:t>
            </w:r>
            <w:r>
              <w:rPr>
                <w:rFonts w:hint="default"/>
                <w:kern w:val="0"/>
                <w:szCs w:val="20"/>
                <w:lang w:bidi="ar"/>
              </w:rPr>
              <w:t>（2018-2035年）》，</w:t>
            </w:r>
            <w:r>
              <w:rPr>
                <w:rFonts w:hint="default"/>
                <w:kern w:val="0"/>
                <w:szCs w:val="20"/>
              </w:rPr>
              <w:t>本项目</w:t>
            </w:r>
            <w:r>
              <w:rPr>
                <w:rFonts w:hint="default"/>
                <w:kern w:val="0"/>
                <w:szCs w:val="20"/>
                <w:lang w:val="zh-CN"/>
              </w:rPr>
              <w:t>所在地用地性质为工业用地。</w:t>
            </w:r>
          </w:p>
          <w:p w14:paraId="60E659B6">
            <w:pPr>
              <w:pStyle w:val="45"/>
              <w:adjustRightInd w:val="0"/>
              <w:snapToGrid w:val="0"/>
              <w:ind w:firstLineChars="0"/>
              <w:rPr>
                <w:rFonts w:hint="default"/>
                <w:kern w:val="0"/>
                <w:szCs w:val="20"/>
              </w:rPr>
            </w:pPr>
            <w:r>
              <w:rPr>
                <w:rFonts w:hint="default"/>
                <w:kern w:val="0"/>
                <w:szCs w:val="20"/>
                <w:lang w:val="zh-CN"/>
              </w:rPr>
              <w:t>项目所在地</w:t>
            </w:r>
            <w:r>
              <w:rPr>
                <w:rFonts w:hint="default"/>
                <w:bCs w:val="0"/>
                <w:kern w:val="0"/>
                <w:szCs w:val="20"/>
              </w:rPr>
              <w:t>东侧为孟岗村，西侧隔经五路为润泰纺织，南侧为S12滁新高速，北侧为安徽艾茵新材料科技有限公司、淮南腾麒供应链有限公司</w:t>
            </w:r>
            <w:r>
              <w:rPr>
                <w:rFonts w:hint="default"/>
                <w:kern w:val="0"/>
                <w:szCs w:val="20"/>
                <w:lang w:val="zh-CN"/>
              </w:rPr>
              <w:t>；</w:t>
            </w:r>
            <w:r>
              <w:rPr>
                <w:rFonts w:hint="default"/>
                <w:kern w:val="0"/>
                <w:szCs w:val="20"/>
              </w:rPr>
              <w:t>根据项目地块和卫星四至图，可知项目厂界周边敏感点主要为东侧孟岗村。本项目50m范围内存在居民；对照《安徽淮南工业园区总体发展规划（2013-2020年）》，孟岗村所在区域位置属于规划工业用地，淮南市谢家集区人民政府已计划对孟岗村拆迁（详见附件10），根据现场调查孟岗村暂未实施拆迁。</w:t>
            </w:r>
          </w:p>
          <w:p w14:paraId="000C8B84">
            <w:pPr>
              <w:pStyle w:val="45"/>
              <w:adjustRightInd w:val="0"/>
              <w:snapToGrid w:val="0"/>
              <w:ind w:firstLineChars="0"/>
              <w:rPr>
                <w:rFonts w:hint="default"/>
                <w:kern w:val="0"/>
                <w:szCs w:val="20"/>
              </w:rPr>
            </w:pPr>
            <w:r>
              <w:rPr>
                <w:rFonts w:hint="default"/>
                <w:kern w:val="0"/>
                <w:szCs w:val="20"/>
              </w:rPr>
              <w:t>本项目生产厂房密闭，生产过程产生的有机废气经集气罩收集后进入二级活性炭吸附装置处理达标后通过15m排气筒排放，天然气锅炉废气通过15m排气筒排放；高噪声设备位于生产车间内，远离敏感点布设；项目制胶设备冲洗废水收集回用至制胶工序；印刷设备冲洗废液使用专用容器收集危废间暂存作为危险废物委托有资质单位处置；员工生活污水进入化粪池处理后经市政污水管网排入</w:t>
            </w:r>
            <w:r>
              <w:rPr>
                <w:rFonts w:hint="default" w:ascii="Times New Roman" w:hAnsi="Times New Roman" w:cs="Times New Roman"/>
                <w:kern w:val="0"/>
                <w:szCs w:val="20"/>
                <w:lang w:eastAsia="zh-CN"/>
              </w:rPr>
              <w:t>淮南首创八公山污水处理厂</w:t>
            </w:r>
            <w:r>
              <w:rPr>
                <w:rFonts w:hint="default"/>
                <w:kern w:val="0"/>
                <w:szCs w:val="20"/>
              </w:rPr>
              <w:t>；</w:t>
            </w:r>
            <w:r>
              <w:rPr>
                <w:rFonts w:hint="default" w:ascii="Times New Roman" w:hAnsi="Times New Roman" w:cs="Times New Roman"/>
                <w:bCs w:val="0"/>
                <w:snapToGrid/>
                <w:kern w:val="0"/>
                <w:szCs w:val="20"/>
                <w:shd w:val="clear"/>
              </w:rPr>
              <w:t>锅炉废水经新建排污口DW001依托园区污水管网排入</w:t>
            </w:r>
            <w:r>
              <w:rPr>
                <w:rFonts w:hint="default" w:ascii="Times New Roman" w:hAnsi="Times New Roman" w:cs="Times New Roman"/>
                <w:kern w:val="0"/>
                <w:szCs w:val="20"/>
                <w:lang w:eastAsia="zh-CN"/>
              </w:rPr>
              <w:t>淮南首创八公山污水处理厂</w:t>
            </w:r>
            <w:r>
              <w:rPr>
                <w:rFonts w:hint="default"/>
                <w:kern w:val="0"/>
                <w:szCs w:val="20"/>
              </w:rPr>
              <w:t>。</w:t>
            </w:r>
          </w:p>
          <w:p w14:paraId="7C50E5BF">
            <w:pPr>
              <w:pStyle w:val="45"/>
              <w:adjustRightInd w:val="0"/>
              <w:snapToGrid w:val="0"/>
              <w:ind w:firstLineChars="0"/>
              <w:rPr>
                <w:rFonts w:hint="default"/>
                <w:kern w:val="0"/>
                <w:szCs w:val="20"/>
                <w:lang w:val="zh-CN"/>
              </w:rPr>
            </w:pPr>
            <w:r>
              <w:rPr>
                <w:rFonts w:hint="default"/>
                <w:kern w:val="0"/>
                <w:szCs w:val="20"/>
                <w:lang w:val="zh-CN"/>
              </w:rPr>
              <w:t>本项目区域既不涉及饮用水源保护区、自然保护区等依法设立的自然、文化保护地，也不是基本农田、基本森林、重要湿地等生态敏感与脆弱区，同时也不是具历史、文化、科学、民族意义的保护区及社会关注区。通过本次环评对污染物采取一定的防治措施，污染物均达标排放，对周围环境影响较小。</w:t>
            </w:r>
          </w:p>
          <w:p w14:paraId="468AC354">
            <w:pPr>
              <w:pStyle w:val="45"/>
              <w:adjustRightInd w:val="0"/>
              <w:snapToGrid w:val="0"/>
              <w:ind w:firstLineChars="0"/>
              <w:rPr>
                <w:rFonts w:hint="default" w:ascii="Times New Roman" w:hAnsi="Times New Roman" w:cs="Times New Roman"/>
                <w:b/>
                <w:bCs/>
                <w:color w:val="0000FF"/>
              </w:rPr>
            </w:pPr>
            <w:r>
              <w:rPr>
                <w:rFonts w:hint="default"/>
                <w:kern w:val="0"/>
                <w:szCs w:val="20"/>
                <w:lang w:val="zh-CN"/>
              </w:rPr>
              <w:t>综上所述，外环境不会对本项目产生制约，故选址不存在外界环境制约因素，因此本项目选址合理。</w:t>
            </w:r>
          </w:p>
        </w:tc>
      </w:tr>
    </w:tbl>
    <w:p w14:paraId="0377BBEB">
      <w:pPr>
        <w:rPr>
          <w:rFonts w:hint="default" w:ascii="Times New Roman" w:hAnsi="Times New Roman" w:cs="Times New Roman"/>
        </w:rPr>
        <w:sectPr>
          <w:headerReference r:id="rId6" w:type="default"/>
          <w:footerReference r:id="rId7" w:type="default"/>
          <w:pgSz w:w="11906" w:h="16838"/>
          <w:pgMar w:top="1440" w:right="1440" w:bottom="1440" w:left="1440" w:header="851" w:footer="567" w:gutter="0"/>
          <w:cols w:space="0" w:num="1"/>
          <w:rtlGutter w:val="0"/>
          <w:docGrid w:type="lines" w:linePitch="312" w:charSpace="0"/>
        </w:sectPr>
      </w:pPr>
    </w:p>
    <w:p w14:paraId="2526EE8B">
      <w:pPr>
        <w:pStyle w:val="3"/>
        <w:rPr>
          <w:rFonts w:hint="default" w:ascii="Times New Roman" w:hAnsi="Times New Roman" w:cs="Times New Roman"/>
        </w:rPr>
      </w:pPr>
      <w:bookmarkStart w:id="5" w:name="_Toc28519"/>
      <w:r>
        <w:rPr>
          <w:rFonts w:hint="default" w:ascii="Times New Roman" w:hAnsi="Times New Roman" w:cs="Times New Roman"/>
        </w:rPr>
        <w:t>二、建设项目工程分析</w:t>
      </w:r>
      <w:bookmarkEnd w:id="5"/>
    </w:p>
    <w:tbl>
      <w:tblPr>
        <w:tblStyle w:val="2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
        <w:gridCol w:w="8080"/>
      </w:tblGrid>
      <w:tr w14:paraId="2517E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2" w:type="dxa"/>
            <w:vAlign w:val="center"/>
          </w:tcPr>
          <w:p w14:paraId="619A17F8">
            <w:pPr>
              <w:overflowPunct w:val="0"/>
              <w:autoSpaceDE w:val="0"/>
              <w:autoSpaceDN w:val="0"/>
              <w:jc w:val="center"/>
              <w:rPr>
                <w:rFonts w:hint="default" w:ascii="Times New Roman" w:hAnsi="Times New Roman" w:cs="Times New Roman"/>
              </w:rPr>
            </w:pPr>
            <w:r>
              <w:rPr>
                <w:rFonts w:hint="default" w:ascii="Times New Roman" w:hAnsi="Times New Roman" w:cs="Times New Roman"/>
              </w:rPr>
              <w:t>建设内容</w:t>
            </w:r>
          </w:p>
        </w:tc>
        <w:tc>
          <w:tcPr>
            <w:tcW w:w="8080" w:type="dxa"/>
          </w:tcPr>
          <w:p w14:paraId="6F967E40">
            <w:pPr>
              <w:overflowPunct w:val="0"/>
              <w:autoSpaceDE w:val="0"/>
              <w:autoSpaceDN w:val="0"/>
              <w:rPr>
                <w:rFonts w:hint="default" w:ascii="Times New Roman" w:hAnsi="Times New Roman" w:cs="Times New Roman"/>
                <w:b/>
                <w:bCs/>
              </w:rPr>
            </w:pPr>
            <w:r>
              <w:rPr>
                <w:rFonts w:hint="default" w:ascii="Times New Roman" w:hAnsi="Times New Roman" w:cs="Times New Roman"/>
                <w:b/>
                <w:bCs/>
              </w:rPr>
              <w:t>2.1项目由来</w:t>
            </w:r>
          </w:p>
          <w:p w14:paraId="7B76526F">
            <w:pPr>
              <w:pStyle w:val="45"/>
              <w:wordWrap/>
              <w:adjustRightInd w:val="0"/>
              <w:snapToGrid w:val="0"/>
              <w:ind w:firstLineChars="0"/>
              <w:rPr>
                <w:rFonts w:hint="default"/>
                <w:kern w:val="0"/>
                <w:szCs w:val="20"/>
              </w:rPr>
            </w:pPr>
            <w:r>
              <w:rPr>
                <w:rFonts w:hint="default"/>
                <w:kern w:val="0"/>
                <w:szCs w:val="20"/>
              </w:rPr>
              <w:t>安徽双诚包装有限公司成立于2025年4月28日，注册地址位于安徽省淮南市谢家集区李郢孜镇经济开发区经五路与卧园路交叉口向西50米，主要经营范围为纸制品销售、纸制品制造、纸和纸板容器制造等。安徽双诚包装有限公司租用安徽普特</w:t>
            </w:r>
            <w:r>
              <w:rPr>
                <w:rFonts w:hint="default"/>
                <w:kern w:val="0"/>
                <w:szCs w:val="20"/>
                <w:lang w:eastAsia="zh-CN"/>
              </w:rPr>
              <w:t>机械制造有限公司</w:t>
            </w:r>
            <w:r>
              <w:rPr>
                <w:rFonts w:hint="default"/>
                <w:kern w:val="0"/>
                <w:szCs w:val="20"/>
              </w:rPr>
              <w:t>现有闲置厂房6000m</w:t>
            </w:r>
            <w:r>
              <w:rPr>
                <w:rFonts w:hint="default"/>
                <w:kern w:val="0"/>
                <w:szCs w:val="20"/>
                <w:vertAlign w:val="superscript"/>
              </w:rPr>
              <w:t>2</w:t>
            </w:r>
            <w:r>
              <w:rPr>
                <w:rFonts w:hint="default"/>
                <w:kern w:val="0"/>
                <w:szCs w:val="20"/>
              </w:rPr>
              <w:t>，在厂房内重新布局实施建设，引进2.2-2.5米宽的高档纸板生产线、印刷设备及相关辅助设备。项目建成后形成年加工5000万平方米包装材料的生产能力。</w:t>
            </w:r>
            <w:r>
              <w:rPr>
                <w:rFonts w:hint="default"/>
                <w:kern w:val="0"/>
                <w:szCs w:val="20"/>
                <w:lang w:bidi="ar"/>
              </w:rPr>
              <w:t>该项目于2025年6月16日经淮南市谢家集区发展和改革委员会通过备案，项目代码为25006-340404-04-01-929604。</w:t>
            </w:r>
          </w:p>
          <w:p w14:paraId="05456FD4">
            <w:pPr>
              <w:pStyle w:val="45"/>
              <w:ind w:firstLineChars="0"/>
              <w:rPr>
                <w:rFonts w:hint="default"/>
                <w:kern w:val="0"/>
                <w:szCs w:val="20"/>
              </w:rPr>
            </w:pPr>
            <w:r>
              <w:rPr>
                <w:rFonts w:hint="default"/>
                <w:kern w:val="0"/>
                <w:szCs w:val="20"/>
              </w:rPr>
              <w:t>根据《中华人民共和国环境保护法》、《中华人民共和国环境影响评价法》、《建设项目环境保护管理条例》（国令第682号）、《建设项目环境影响评价分类管理名录》（2021年版）等法规文件。本项目属于“十九、造纸和纸制品业22-38、纸制品制造223-有涂布、浸渍、印刷、粘胶工艺的”，应当编制环境影响评价报告表。受安徽双诚包装有限公司的委托，我公司承担本项目的环境影响评价工作。接受委托后，我公司组织技术人员收集相关资料并进行现场踏勘调查，在了解项目所在地及周围环境概况后，本着客观、公正、科学、规范的原则，编制了本环境影响评价报告表。</w:t>
            </w:r>
          </w:p>
          <w:p w14:paraId="53DFC319">
            <w:pPr>
              <w:pStyle w:val="44"/>
              <w:spacing w:line="360" w:lineRule="auto"/>
              <w:rPr>
                <w:rFonts w:hint="default"/>
                <w:b/>
                <w:kern w:val="0"/>
                <w:sz w:val="21"/>
                <w:szCs w:val="20"/>
              </w:rPr>
            </w:pPr>
            <w:r>
              <w:rPr>
                <w:rFonts w:hint="default"/>
                <w:b/>
                <w:kern w:val="0"/>
                <w:sz w:val="21"/>
                <w:szCs w:val="20"/>
              </w:rPr>
              <w:t>表 2-</w:t>
            </w:r>
            <w:r>
              <w:rPr>
                <w:rFonts w:hint="default"/>
                <w:b/>
                <w:kern w:val="0"/>
                <w:sz w:val="21"/>
                <w:szCs w:val="20"/>
              </w:rPr>
              <w:fldChar w:fldCharType="begin"/>
            </w:r>
            <w:r>
              <w:rPr>
                <w:rFonts w:hint="default"/>
                <w:b/>
                <w:kern w:val="0"/>
                <w:sz w:val="21"/>
                <w:szCs w:val="20"/>
              </w:rPr>
              <w:instrText xml:space="preserve"> SEQ 表 \* ARABIC \s 1 </w:instrText>
            </w:r>
            <w:r>
              <w:rPr>
                <w:rFonts w:hint="default"/>
                <w:b/>
                <w:kern w:val="0"/>
                <w:sz w:val="21"/>
                <w:szCs w:val="20"/>
              </w:rPr>
              <w:fldChar w:fldCharType="separate"/>
            </w:r>
            <w:r>
              <w:rPr>
                <w:rFonts w:hint="default"/>
                <w:b/>
                <w:kern w:val="0"/>
                <w:sz w:val="21"/>
                <w:szCs w:val="20"/>
              </w:rPr>
              <w:t>1</w:t>
            </w:r>
            <w:r>
              <w:rPr>
                <w:rFonts w:hint="default"/>
                <w:b/>
                <w:kern w:val="0"/>
                <w:sz w:val="21"/>
                <w:szCs w:val="20"/>
              </w:rPr>
              <w:fldChar w:fldCharType="end"/>
            </w:r>
            <w:r>
              <w:rPr>
                <w:rFonts w:hint="default"/>
                <w:b/>
                <w:kern w:val="0"/>
                <w:sz w:val="21"/>
                <w:szCs w:val="20"/>
              </w:rPr>
              <w:t xml:space="preserve"> 《建设项目环境影响评价分类管理名录》（2021年版）摘录</w:t>
            </w:r>
          </w:p>
          <w:tbl>
            <w:tblPr>
              <w:tblStyle w:val="2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2249"/>
              <w:gridCol w:w="1719"/>
              <w:gridCol w:w="1736"/>
              <w:gridCol w:w="1636"/>
            </w:tblGrid>
            <w:tr w14:paraId="4F828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757" w:type="pct"/>
                  <w:gridSpan w:val="2"/>
                  <w:vAlign w:val="center"/>
                  <mc:AlternateContent>
                    <mc:Choice Requires="wpsCustomData">
                      <wpsCustomData:diagonals>
                        <wpsCustomData:diagonal from="10000" to="30000">
                          <wpsCustomData:border w:val="single" w:color="auto" w:sz="4" w:space="0"/>
                        </wpsCustomData:diagonal>
                      </wpsCustomData:diagonals>
                    </mc:Choice>
                  </mc:AlternateContent>
                </w:tcPr>
                <w:p w14:paraId="40E4AEB7">
                  <w:pPr>
                    <w:pStyle w:val="29"/>
                    <w:overflowPunct w:val="0"/>
                    <w:autoSpaceDE w:val="0"/>
                    <w:autoSpaceDN w:val="0"/>
                    <w:snapToGrid w:val="0"/>
                    <w:jc w:val="both"/>
                    <w:rPr>
                      <w:b/>
                      <w:bCs/>
                      <w:sz w:val="21"/>
                      <w:szCs w:val="21"/>
                    </w:rPr>
                  </w:pPr>
                </w:p>
                <w:p w14:paraId="609D1BB3">
                  <w:pPr>
                    <w:pStyle w:val="29"/>
                    <w:overflowPunct w:val="0"/>
                    <w:autoSpaceDE w:val="0"/>
                    <w:autoSpaceDN w:val="0"/>
                    <w:snapToGrid w:val="0"/>
                    <w:jc w:val="both"/>
                    <w:rPr>
                      <w:b/>
                      <w:bCs/>
                      <w:sz w:val="21"/>
                      <w:szCs w:val="21"/>
                    </w:rPr>
                  </w:pPr>
                </w:p>
                <w:p w14:paraId="7FFD8E59">
                  <w:pPr>
                    <w:pStyle w:val="29"/>
                    <w:overflowPunct w:val="0"/>
                    <w:autoSpaceDE w:val="0"/>
                    <w:autoSpaceDN w:val="0"/>
                    <w:snapToGrid w:val="0"/>
                    <w:jc w:val="both"/>
                    <mc:AlternateContent>
                      <mc:Choice Requires="wpsCustomData">
                        <wpsCustomData:diagonalParaType/>
                      </mc:Choice>
                    </mc:AlternateContent>
                    <w:rPr>
                      <w:b/>
                      <w:bCs/>
                      <w:sz w:val="21"/>
                      <w:szCs w:val="21"/>
                    </w:rPr>
                  </w:pPr>
                  <w:r>
                    <w:rPr>
                      <w:b/>
                      <w:bCs/>
                      <w:sz w:val="21"/>
                      <w:szCs w:val="21"/>
                    </w:rPr>
                    <w:t>环评类别</w:t>
                  </w:r>
                </w:p>
                <w:p w14:paraId="53885CE5">
                  <w:pPr>
                    <w:pStyle w:val="29"/>
                    <w:overflowPunct w:val="0"/>
                    <w:autoSpaceDE w:val="0"/>
                    <w:autoSpaceDN w:val="0"/>
                    <w:snapToGrid/>
                    <w:ind w:firstLine="843" w:firstLineChars="400"/>
                    <w:jc w:val="left"/>
                    <w:rPr>
                      <w:b/>
                      <w:bCs/>
                      <w:sz w:val="21"/>
                      <w:szCs w:val="21"/>
                    </w:rPr>
                  </w:pPr>
                  <w:r>
                    <w:rPr>
                      <w:b/>
                      <w:bCs/>
                      <w:sz w:val="21"/>
                      <w:szCs w:val="21"/>
                    </w:rPr>
                    <w:t>项目类别</w:t>
                  </w:r>
                </w:p>
                <w:p w14:paraId="6F7BF700">
                  <w:pPr>
                    <w:pStyle w:val="29"/>
                    <w:overflowPunct w:val="0"/>
                    <w:autoSpaceDE w:val="0"/>
                    <w:autoSpaceDN w:val="0"/>
                    <w:jc w:val="both"/>
                    <w:rPr>
                      <w:b/>
                      <w:bCs/>
                      <w:sz w:val="21"/>
                      <w:szCs w:val="21"/>
                    </w:rPr>
                  </w:pPr>
                </w:p>
              </w:tc>
              <w:tc>
                <w:tcPr>
                  <w:tcW w:w="1095" w:type="pct"/>
                  <w:vAlign w:val="center"/>
                </w:tcPr>
                <w:p w14:paraId="3D4AE93D">
                  <w:pPr>
                    <w:pStyle w:val="29"/>
                    <w:overflowPunct w:val="0"/>
                    <w:autoSpaceDE w:val="0"/>
                    <w:autoSpaceDN w:val="0"/>
                    <w:rPr>
                      <w:b/>
                      <w:bCs/>
                      <w:sz w:val="21"/>
                      <w:szCs w:val="21"/>
                    </w:rPr>
                  </w:pPr>
                  <w:r>
                    <w:rPr>
                      <w:b/>
                      <w:bCs/>
                      <w:sz w:val="21"/>
                      <w:szCs w:val="21"/>
                    </w:rPr>
                    <w:t>报告书</w:t>
                  </w:r>
                </w:p>
              </w:tc>
              <w:tc>
                <w:tcPr>
                  <w:tcW w:w="1106" w:type="pct"/>
                  <w:vAlign w:val="center"/>
                </w:tcPr>
                <w:p w14:paraId="7DE29B34">
                  <w:pPr>
                    <w:pStyle w:val="29"/>
                    <w:overflowPunct w:val="0"/>
                    <w:autoSpaceDE w:val="0"/>
                    <w:autoSpaceDN w:val="0"/>
                    <w:rPr>
                      <w:b/>
                      <w:bCs/>
                      <w:sz w:val="21"/>
                      <w:szCs w:val="21"/>
                    </w:rPr>
                  </w:pPr>
                  <w:r>
                    <w:rPr>
                      <w:b/>
                      <w:bCs/>
                      <w:sz w:val="21"/>
                      <w:szCs w:val="21"/>
                    </w:rPr>
                    <w:t>报告表</w:t>
                  </w:r>
                </w:p>
              </w:tc>
              <w:tc>
                <w:tcPr>
                  <w:tcW w:w="1040" w:type="pct"/>
                  <w:vAlign w:val="center"/>
                </w:tcPr>
                <w:p w14:paraId="7969161E">
                  <w:pPr>
                    <w:pStyle w:val="29"/>
                    <w:overflowPunct w:val="0"/>
                    <w:autoSpaceDE w:val="0"/>
                    <w:autoSpaceDN w:val="0"/>
                    <w:rPr>
                      <w:b/>
                      <w:bCs/>
                      <w:sz w:val="21"/>
                      <w:szCs w:val="21"/>
                    </w:rPr>
                  </w:pPr>
                  <w:r>
                    <w:rPr>
                      <w:b/>
                      <w:bCs/>
                      <w:sz w:val="21"/>
                      <w:szCs w:val="21"/>
                    </w:rPr>
                    <w:t>登记表</w:t>
                  </w:r>
                </w:p>
              </w:tc>
            </w:tr>
            <w:tr w14:paraId="21289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5000" w:type="pct"/>
                  <w:gridSpan w:val="5"/>
                  <w:vAlign w:val="center"/>
                </w:tcPr>
                <w:p w14:paraId="5CF79554">
                  <w:pPr>
                    <w:pStyle w:val="29"/>
                    <w:overflowPunct w:val="0"/>
                    <w:autoSpaceDE w:val="0"/>
                    <w:autoSpaceDN w:val="0"/>
                    <w:jc w:val="both"/>
                    <w:rPr>
                      <w:sz w:val="21"/>
                      <w:szCs w:val="21"/>
                    </w:rPr>
                  </w:pPr>
                  <w:r>
                    <w:rPr>
                      <w:sz w:val="21"/>
                      <w:szCs w:val="21"/>
                    </w:rPr>
                    <w:t>十九、造纸和纸制品业22</w:t>
                  </w:r>
                </w:p>
              </w:tc>
            </w:tr>
            <w:tr w14:paraId="763E7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6" w:hRule="atLeast"/>
                <w:jc w:val="center"/>
              </w:trPr>
              <w:tc>
                <w:tcPr>
                  <w:tcW w:w="324" w:type="pct"/>
                  <w:vAlign w:val="center"/>
                </w:tcPr>
                <w:p w14:paraId="2D34B808">
                  <w:pPr>
                    <w:pStyle w:val="29"/>
                    <w:overflowPunct w:val="0"/>
                    <w:autoSpaceDE w:val="0"/>
                    <w:autoSpaceDN w:val="0"/>
                    <w:rPr>
                      <w:sz w:val="21"/>
                      <w:szCs w:val="21"/>
                    </w:rPr>
                  </w:pPr>
                  <w:r>
                    <w:rPr>
                      <w:sz w:val="21"/>
                      <w:szCs w:val="21"/>
                    </w:rPr>
                    <w:t>38</w:t>
                  </w:r>
                </w:p>
              </w:tc>
              <w:tc>
                <w:tcPr>
                  <w:tcW w:w="1433" w:type="pct"/>
                  <w:vAlign w:val="center"/>
                </w:tcPr>
                <w:p w14:paraId="5A84E21F">
                  <w:pPr>
                    <w:pStyle w:val="29"/>
                    <w:overflowPunct w:val="0"/>
                    <w:autoSpaceDE w:val="0"/>
                    <w:autoSpaceDN w:val="0"/>
                    <w:rPr>
                      <w:sz w:val="21"/>
                      <w:szCs w:val="21"/>
                    </w:rPr>
                  </w:pPr>
                  <w:r>
                    <w:rPr>
                      <w:sz w:val="21"/>
                      <w:szCs w:val="21"/>
                    </w:rPr>
                    <w:t>纸制品制造223*</w:t>
                  </w:r>
                </w:p>
              </w:tc>
              <w:tc>
                <w:tcPr>
                  <w:tcW w:w="1095" w:type="pct"/>
                  <w:vAlign w:val="center"/>
                </w:tcPr>
                <w:p w14:paraId="36E3A996">
                  <w:pPr>
                    <w:pStyle w:val="29"/>
                    <w:overflowPunct w:val="0"/>
                    <w:autoSpaceDE w:val="0"/>
                    <w:autoSpaceDN w:val="0"/>
                    <w:rPr>
                      <w:sz w:val="21"/>
                      <w:szCs w:val="21"/>
                    </w:rPr>
                  </w:pPr>
                  <w:r>
                    <w:rPr>
                      <w:sz w:val="21"/>
                      <w:szCs w:val="21"/>
                    </w:rPr>
                    <w:t>/</w:t>
                  </w:r>
                </w:p>
              </w:tc>
              <w:tc>
                <w:tcPr>
                  <w:tcW w:w="1106" w:type="pct"/>
                  <w:vAlign w:val="center"/>
                </w:tcPr>
                <w:p w14:paraId="56EDAFAA">
                  <w:pPr>
                    <w:pStyle w:val="29"/>
                    <w:overflowPunct w:val="0"/>
                    <w:autoSpaceDE w:val="0"/>
                    <w:autoSpaceDN w:val="0"/>
                    <w:rPr>
                      <w:sz w:val="21"/>
                      <w:szCs w:val="21"/>
                    </w:rPr>
                  </w:pPr>
                  <w:r>
                    <w:rPr>
                      <w:sz w:val="21"/>
                      <w:szCs w:val="21"/>
                    </w:rPr>
                    <w:t>有涂布、浸渍、印刷、粘胶工艺的</w:t>
                  </w:r>
                </w:p>
              </w:tc>
              <w:tc>
                <w:tcPr>
                  <w:tcW w:w="1040" w:type="pct"/>
                  <w:vAlign w:val="center"/>
                </w:tcPr>
                <w:p w14:paraId="7778F43B">
                  <w:pPr>
                    <w:pStyle w:val="29"/>
                    <w:overflowPunct w:val="0"/>
                    <w:autoSpaceDE w:val="0"/>
                    <w:autoSpaceDN w:val="0"/>
                    <w:rPr>
                      <w:sz w:val="21"/>
                      <w:szCs w:val="21"/>
                    </w:rPr>
                  </w:pPr>
                  <w:r>
                    <w:rPr>
                      <w:sz w:val="21"/>
                      <w:szCs w:val="21"/>
                    </w:rPr>
                    <w:t>/</w:t>
                  </w:r>
                </w:p>
              </w:tc>
            </w:tr>
          </w:tbl>
          <w:p w14:paraId="5536D81A">
            <w:pPr>
              <w:pStyle w:val="45"/>
              <w:adjustRightInd w:val="0"/>
              <w:snapToGrid w:val="0"/>
              <w:ind w:firstLineChars="0"/>
              <w:rPr>
                <w:rFonts w:hint="default"/>
                <w:kern w:val="0"/>
                <w:szCs w:val="20"/>
              </w:rPr>
            </w:pPr>
            <w:r>
              <w:rPr>
                <w:rFonts w:hint="default"/>
                <w:kern w:val="0"/>
                <w:szCs w:val="20"/>
              </w:rPr>
              <w:t>根据《固定污染源排污许可分类管理名录》(2019年版),本项目属于“十七、造纸和纸制品业 22·38、纸制品制造 2231”中有工业废水或者废气排放的，属于简化管理的类别；同时涉及“五十一、通用工序110工业炉窑中的除纳入重点排污单位名录的，以天然气或者电为能源的加热炉、热处理炉或者干燥炉（窑）”类别，属于登记管理的类别。综上，本项目</w:t>
            </w:r>
            <w:r>
              <w:rPr>
                <w:rFonts w:hint="default" w:ascii="Times New Roman" w:hAnsi="Times New Roman" w:cs="Times New Roman"/>
                <w:kern w:val="0"/>
                <w:szCs w:val="20"/>
                <w:lang w:eastAsia="zh-CN"/>
              </w:rPr>
              <w:t>属于简化管理类别</w:t>
            </w:r>
            <w:r>
              <w:rPr>
                <w:rFonts w:hint="default"/>
                <w:kern w:val="0"/>
                <w:szCs w:val="20"/>
              </w:rPr>
              <w:t>。</w:t>
            </w:r>
          </w:p>
          <w:p w14:paraId="340D4991">
            <w:pPr>
              <w:pStyle w:val="44"/>
              <w:spacing w:line="360" w:lineRule="auto"/>
              <w:rPr>
                <w:rFonts w:hint="default"/>
                <w:b/>
                <w:kern w:val="0"/>
                <w:sz w:val="21"/>
                <w:szCs w:val="20"/>
              </w:rPr>
            </w:pPr>
            <w:r>
              <w:rPr>
                <w:rFonts w:hint="default"/>
                <w:b/>
                <w:kern w:val="0"/>
                <w:sz w:val="21"/>
                <w:szCs w:val="20"/>
              </w:rPr>
              <w:t>表2-2 固定污染源排污许可证分类管理名录(2019版)对照表</w:t>
            </w:r>
          </w:p>
          <w:tbl>
            <w:tblPr>
              <w:tblStyle w:val="32"/>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4"/>
              <w:gridCol w:w="1650"/>
              <w:gridCol w:w="1427"/>
              <w:gridCol w:w="2685"/>
              <w:gridCol w:w="1505"/>
            </w:tblGrid>
            <w:tr w14:paraId="36093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72" w:type="pct"/>
                  <w:vAlign w:val="center"/>
                </w:tcPr>
                <w:p w14:paraId="7CCC1DA2">
                  <w:pPr>
                    <w:pStyle w:val="29"/>
                    <w:rPr>
                      <w:b/>
                      <w:bCs/>
                      <w:sz w:val="21"/>
                      <w:szCs w:val="21"/>
                    </w:rPr>
                  </w:pPr>
                  <w:r>
                    <w:rPr>
                      <w:b/>
                      <w:bCs/>
                      <w:sz w:val="21"/>
                      <w:szCs w:val="21"/>
                    </w:rPr>
                    <w:t>序号</w:t>
                  </w:r>
                </w:p>
              </w:tc>
              <w:tc>
                <w:tcPr>
                  <w:tcW w:w="1051" w:type="pct"/>
                  <w:vAlign w:val="center"/>
                </w:tcPr>
                <w:p w14:paraId="3D99C783">
                  <w:pPr>
                    <w:pStyle w:val="29"/>
                    <w:rPr>
                      <w:b/>
                      <w:bCs/>
                      <w:sz w:val="21"/>
                      <w:szCs w:val="21"/>
                    </w:rPr>
                  </w:pPr>
                  <w:r>
                    <w:rPr>
                      <w:b/>
                      <w:bCs/>
                      <w:sz w:val="21"/>
                      <w:szCs w:val="21"/>
                    </w:rPr>
                    <w:t>行业类别</w:t>
                  </w:r>
                </w:p>
              </w:tc>
              <w:tc>
                <w:tcPr>
                  <w:tcW w:w="909" w:type="pct"/>
                  <w:vAlign w:val="center"/>
                </w:tcPr>
                <w:p w14:paraId="4F87C993">
                  <w:pPr>
                    <w:pStyle w:val="29"/>
                    <w:rPr>
                      <w:b/>
                      <w:bCs/>
                      <w:sz w:val="21"/>
                      <w:szCs w:val="21"/>
                    </w:rPr>
                  </w:pPr>
                  <w:r>
                    <w:rPr>
                      <w:b/>
                      <w:bCs/>
                      <w:sz w:val="21"/>
                      <w:szCs w:val="21"/>
                    </w:rPr>
                    <w:t>重点管理</w:t>
                  </w:r>
                </w:p>
              </w:tc>
              <w:tc>
                <w:tcPr>
                  <w:tcW w:w="1710" w:type="pct"/>
                  <w:vAlign w:val="center"/>
                </w:tcPr>
                <w:p w14:paraId="274CF634">
                  <w:pPr>
                    <w:pStyle w:val="29"/>
                    <w:rPr>
                      <w:b/>
                      <w:bCs/>
                      <w:sz w:val="21"/>
                      <w:szCs w:val="21"/>
                    </w:rPr>
                  </w:pPr>
                  <w:r>
                    <w:rPr>
                      <w:b/>
                      <w:bCs/>
                      <w:sz w:val="21"/>
                      <w:szCs w:val="21"/>
                    </w:rPr>
                    <w:t>简化管理</w:t>
                  </w:r>
                </w:p>
              </w:tc>
              <w:tc>
                <w:tcPr>
                  <w:tcW w:w="956" w:type="pct"/>
                  <w:vAlign w:val="center"/>
                </w:tcPr>
                <w:p w14:paraId="4E8DEEA6">
                  <w:pPr>
                    <w:pStyle w:val="29"/>
                    <w:rPr>
                      <w:b/>
                      <w:bCs/>
                      <w:sz w:val="21"/>
                      <w:szCs w:val="21"/>
                    </w:rPr>
                  </w:pPr>
                  <w:r>
                    <w:rPr>
                      <w:b/>
                      <w:bCs/>
                      <w:sz w:val="21"/>
                      <w:szCs w:val="21"/>
                    </w:rPr>
                    <w:t>登记管理</w:t>
                  </w:r>
                </w:p>
              </w:tc>
            </w:tr>
            <w:tr w14:paraId="61526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trPr>
              <w:tc>
                <w:tcPr>
                  <w:tcW w:w="5000" w:type="pct"/>
                  <w:gridSpan w:val="5"/>
                  <w:vAlign w:val="center"/>
                </w:tcPr>
                <w:p w14:paraId="1A26E601">
                  <w:pPr>
                    <w:pStyle w:val="29"/>
                    <w:rPr>
                      <w:sz w:val="21"/>
                      <w:szCs w:val="21"/>
                    </w:rPr>
                  </w:pPr>
                  <w:r>
                    <w:rPr>
                      <w:sz w:val="21"/>
                      <w:szCs w:val="21"/>
                    </w:rPr>
                    <w:t>十七、造纸和纸制品业 22</w:t>
                  </w:r>
                </w:p>
              </w:tc>
            </w:tr>
            <w:tr w14:paraId="5E19B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72" w:type="pct"/>
                  <w:vAlign w:val="center"/>
                </w:tcPr>
                <w:p w14:paraId="31DC4F7A">
                  <w:pPr>
                    <w:pStyle w:val="29"/>
                    <w:rPr>
                      <w:sz w:val="21"/>
                      <w:szCs w:val="21"/>
                    </w:rPr>
                  </w:pPr>
                  <w:r>
                    <w:rPr>
                      <w:sz w:val="21"/>
                      <w:szCs w:val="21"/>
                    </w:rPr>
                    <w:t>38</w:t>
                  </w:r>
                </w:p>
              </w:tc>
              <w:tc>
                <w:tcPr>
                  <w:tcW w:w="1051" w:type="pct"/>
                  <w:shd w:val="clear" w:color="auto" w:fill="auto"/>
                  <w:vAlign w:val="center"/>
                </w:tcPr>
                <w:p w14:paraId="6BE1C532">
                  <w:pPr>
                    <w:pStyle w:val="29"/>
                    <w:rPr>
                      <w:sz w:val="21"/>
                      <w:szCs w:val="21"/>
                    </w:rPr>
                  </w:pPr>
                  <w:r>
                    <w:rPr>
                      <w:sz w:val="21"/>
                      <w:szCs w:val="21"/>
                    </w:rPr>
                    <w:t>纸制品制造 223</w:t>
                  </w:r>
                </w:p>
              </w:tc>
              <w:tc>
                <w:tcPr>
                  <w:tcW w:w="909" w:type="pct"/>
                  <w:shd w:val="clear" w:color="auto" w:fill="auto"/>
                  <w:vAlign w:val="center"/>
                </w:tcPr>
                <w:p w14:paraId="4F57131D">
                  <w:pPr>
                    <w:pStyle w:val="29"/>
                    <w:rPr>
                      <w:sz w:val="21"/>
                      <w:szCs w:val="21"/>
                    </w:rPr>
                  </w:pPr>
                  <w:r>
                    <w:rPr>
                      <w:sz w:val="21"/>
                      <w:szCs w:val="21"/>
                    </w:rPr>
                    <w:t>/</w:t>
                  </w:r>
                </w:p>
                <w:p w14:paraId="5A85146D">
                  <w:pPr>
                    <w:pStyle w:val="29"/>
                    <w:jc w:val="both"/>
                    <w:rPr>
                      <w:sz w:val="21"/>
                      <w:szCs w:val="21"/>
                    </w:rPr>
                  </w:pPr>
                </w:p>
              </w:tc>
              <w:tc>
                <w:tcPr>
                  <w:tcW w:w="1710" w:type="pct"/>
                  <w:shd w:val="clear" w:color="auto" w:fill="D7D7D7" w:themeFill="background1" w:themeFillShade="D8"/>
                  <w:vAlign w:val="center"/>
                </w:tcPr>
                <w:p w14:paraId="3E6D9215">
                  <w:pPr>
                    <w:pStyle w:val="29"/>
                    <w:rPr>
                      <w:sz w:val="21"/>
                      <w:szCs w:val="21"/>
                    </w:rPr>
                  </w:pPr>
                  <w:r>
                    <w:rPr>
                      <w:b/>
                      <w:bCs/>
                      <w:sz w:val="21"/>
                      <w:szCs w:val="21"/>
                    </w:rPr>
                    <w:t>有工业废水或者废气排放的</w:t>
                  </w:r>
                </w:p>
              </w:tc>
              <w:tc>
                <w:tcPr>
                  <w:tcW w:w="956" w:type="pct"/>
                  <w:vAlign w:val="center"/>
                </w:tcPr>
                <w:p w14:paraId="0C8A0C78">
                  <w:pPr>
                    <w:pStyle w:val="29"/>
                    <w:rPr>
                      <w:sz w:val="21"/>
                      <w:szCs w:val="21"/>
                    </w:rPr>
                  </w:pPr>
                </w:p>
                <w:p w14:paraId="270D0D18">
                  <w:pPr>
                    <w:pStyle w:val="29"/>
                    <w:rPr>
                      <w:sz w:val="21"/>
                      <w:szCs w:val="21"/>
                    </w:rPr>
                  </w:pPr>
                  <w:r>
                    <w:rPr>
                      <w:sz w:val="21"/>
                      <w:szCs w:val="21"/>
                    </w:rPr>
                    <w:t>其他﹡</w:t>
                  </w:r>
                </w:p>
              </w:tc>
            </w:tr>
            <w:tr w14:paraId="0FA54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5000" w:type="pct"/>
                  <w:gridSpan w:val="5"/>
                  <w:vAlign w:val="center"/>
                </w:tcPr>
                <w:p w14:paraId="1AF6F86E">
                  <w:pPr>
                    <w:pStyle w:val="29"/>
                    <w:rPr>
                      <w:sz w:val="21"/>
                      <w:szCs w:val="21"/>
                    </w:rPr>
                  </w:pPr>
                  <w:r>
                    <w:rPr>
                      <w:sz w:val="21"/>
                      <w:szCs w:val="21"/>
                    </w:rPr>
                    <w:t>五十一、通用工序</w:t>
                  </w:r>
                </w:p>
              </w:tc>
            </w:tr>
            <w:tr w14:paraId="55994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7" w:hRule="atLeast"/>
              </w:trPr>
              <w:tc>
                <w:tcPr>
                  <w:tcW w:w="372" w:type="pct"/>
                  <w:vAlign w:val="center"/>
                </w:tcPr>
                <w:p w14:paraId="53957B24">
                  <w:pPr>
                    <w:pStyle w:val="29"/>
                    <w:rPr>
                      <w:sz w:val="21"/>
                      <w:szCs w:val="21"/>
                    </w:rPr>
                  </w:pPr>
                  <w:r>
                    <w:rPr>
                      <w:sz w:val="21"/>
                      <w:szCs w:val="21"/>
                    </w:rPr>
                    <w:t>110</w:t>
                  </w:r>
                </w:p>
              </w:tc>
              <w:tc>
                <w:tcPr>
                  <w:tcW w:w="1051" w:type="pct"/>
                  <w:vAlign w:val="center"/>
                </w:tcPr>
                <w:p w14:paraId="28A2012D">
                  <w:pPr>
                    <w:pStyle w:val="29"/>
                    <w:rPr>
                      <w:sz w:val="21"/>
                      <w:szCs w:val="21"/>
                    </w:rPr>
                  </w:pPr>
                  <w:r>
                    <w:rPr>
                      <w:sz w:val="21"/>
                      <w:szCs w:val="21"/>
                    </w:rPr>
                    <w:t>工业炉窑</w:t>
                  </w:r>
                </w:p>
              </w:tc>
              <w:tc>
                <w:tcPr>
                  <w:tcW w:w="909" w:type="pct"/>
                  <w:shd w:val="clear" w:color="auto" w:fill="auto"/>
                  <w:vAlign w:val="center"/>
                </w:tcPr>
                <w:p w14:paraId="6A13E0CE">
                  <w:pPr>
                    <w:pStyle w:val="29"/>
                    <w:rPr>
                      <w:sz w:val="21"/>
                      <w:szCs w:val="21"/>
                    </w:rPr>
                  </w:pPr>
                  <w:r>
                    <w:rPr>
                      <w:sz w:val="21"/>
                      <w:szCs w:val="21"/>
                    </w:rPr>
                    <w:t>纳入重点排污单位名录的</w:t>
                  </w:r>
                </w:p>
              </w:tc>
              <w:tc>
                <w:tcPr>
                  <w:tcW w:w="1710" w:type="pct"/>
                  <w:shd w:val="clear" w:color="auto" w:fill="auto"/>
                  <w:vAlign w:val="center"/>
                </w:tcPr>
                <w:p w14:paraId="17A4274A">
                  <w:pPr>
                    <w:pStyle w:val="29"/>
                    <w:rPr>
                      <w:sz w:val="21"/>
                      <w:szCs w:val="21"/>
                    </w:rPr>
                  </w:pPr>
                  <w:r>
                    <w:rPr>
                      <w:sz w:val="21"/>
                      <w:szCs w:val="21"/>
                    </w:rPr>
                    <w:t>除纳入重点排污单位名录的，除以天然气或者电为能源的加热炉、热处理炉、干燥炉（窑）以外的其他工业炉窑。</w:t>
                  </w:r>
                </w:p>
              </w:tc>
              <w:tc>
                <w:tcPr>
                  <w:tcW w:w="956" w:type="pct"/>
                  <w:shd w:val="clear" w:color="auto" w:fill="D7D7D7" w:themeFill="background1" w:themeFillShade="D8"/>
                  <w:vAlign w:val="center"/>
                </w:tcPr>
                <w:p w14:paraId="0F83FD4E">
                  <w:pPr>
                    <w:pStyle w:val="29"/>
                    <w:rPr>
                      <w:sz w:val="21"/>
                      <w:szCs w:val="21"/>
                    </w:rPr>
                  </w:pPr>
                  <w:r>
                    <w:rPr>
                      <w:sz w:val="21"/>
                      <w:szCs w:val="21"/>
                    </w:rPr>
                    <w:t>除纳入重点排污单位名录的，以</w:t>
                  </w:r>
                  <w:r>
                    <w:rPr>
                      <w:b/>
                      <w:bCs/>
                      <w:sz w:val="21"/>
                      <w:szCs w:val="21"/>
                    </w:rPr>
                    <w:t>天然气</w:t>
                  </w:r>
                  <w:r>
                    <w:rPr>
                      <w:sz w:val="21"/>
                      <w:szCs w:val="21"/>
                    </w:rPr>
                    <w:t>或者电为能源的加热炉、热处理炉或者干燥炉（窑）。</w:t>
                  </w:r>
                </w:p>
              </w:tc>
            </w:tr>
          </w:tbl>
          <w:p w14:paraId="7560F684">
            <w:pPr>
              <w:pStyle w:val="55"/>
              <w:wordWrap/>
              <w:adjustRightInd w:val="0"/>
              <w:snapToGrid w:val="0"/>
              <w:ind w:firstLine="0" w:firstLineChars="0"/>
              <w:rPr>
                <w:kern w:val="0"/>
                <w:szCs w:val="20"/>
              </w:rPr>
            </w:pPr>
            <w:r>
              <w:rPr>
                <w:rFonts w:hint="default" w:ascii="Times New Roman" w:hAnsi="Times New Roman" w:cs="Times New Roman"/>
                <w:kern w:val="0"/>
                <w:szCs w:val="20"/>
              </w:rPr>
              <w:t>2.2项目组成</w:t>
            </w:r>
          </w:p>
          <w:p w14:paraId="23DE1BE4">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2.2.1基本概况</w:t>
            </w:r>
          </w:p>
          <w:p w14:paraId="1AE0D013">
            <w:pPr>
              <w:pStyle w:val="45"/>
              <w:adjustRightInd w:val="0"/>
              <w:snapToGrid w:val="0"/>
              <w:ind w:firstLineChars="0"/>
              <w:rPr>
                <w:rFonts w:hint="default"/>
                <w:kern w:val="0"/>
                <w:szCs w:val="20"/>
              </w:rPr>
            </w:pPr>
            <w:r>
              <w:rPr>
                <w:rFonts w:hint="default"/>
                <w:kern w:val="0"/>
                <w:szCs w:val="20"/>
              </w:rPr>
              <w:t>（1）项目名称：安徽双诚包装有限公司年加工5000万平方米包装材料项目</w:t>
            </w:r>
          </w:p>
          <w:p w14:paraId="3D9B1F00">
            <w:pPr>
              <w:pStyle w:val="45"/>
              <w:adjustRightInd w:val="0"/>
              <w:snapToGrid w:val="0"/>
              <w:ind w:firstLineChars="0"/>
              <w:rPr>
                <w:rFonts w:hint="default"/>
                <w:kern w:val="0"/>
                <w:szCs w:val="20"/>
              </w:rPr>
            </w:pPr>
            <w:r>
              <w:rPr>
                <w:rFonts w:hint="default"/>
                <w:kern w:val="0"/>
                <w:szCs w:val="20"/>
              </w:rPr>
              <w:t>（2）建设单位：安徽双诚包装有限公司</w:t>
            </w:r>
          </w:p>
          <w:p w14:paraId="03012263">
            <w:pPr>
              <w:pStyle w:val="45"/>
              <w:adjustRightInd w:val="0"/>
              <w:snapToGrid w:val="0"/>
              <w:ind w:firstLineChars="0"/>
              <w:rPr>
                <w:rFonts w:hint="default"/>
                <w:kern w:val="0"/>
                <w:szCs w:val="20"/>
              </w:rPr>
            </w:pPr>
            <w:r>
              <w:rPr>
                <w:rFonts w:hint="default"/>
                <w:kern w:val="0"/>
                <w:szCs w:val="20"/>
              </w:rPr>
              <w:t>（3）建设性质：新建</w:t>
            </w:r>
          </w:p>
          <w:p w14:paraId="5D90EC35">
            <w:pPr>
              <w:pStyle w:val="45"/>
              <w:adjustRightInd w:val="0"/>
              <w:snapToGrid w:val="0"/>
              <w:ind w:firstLineChars="0"/>
              <w:rPr>
                <w:rFonts w:hint="default"/>
                <w:kern w:val="0"/>
                <w:szCs w:val="20"/>
              </w:rPr>
            </w:pPr>
            <w:r>
              <w:rPr>
                <w:rFonts w:hint="default"/>
                <w:kern w:val="0"/>
                <w:szCs w:val="20"/>
              </w:rPr>
              <w:t>（4）建设规模：安徽双诚包装有限公司</w:t>
            </w:r>
            <w:r>
              <w:rPr>
                <w:rFonts w:hint="default" w:ascii="Times New Roman" w:hAnsi="Times New Roman" w:cs="Times New Roman"/>
                <w:kern w:val="0"/>
                <w:szCs w:val="20"/>
              </w:rPr>
              <w:t>租用安徽普特</w:t>
            </w:r>
            <w:r>
              <w:rPr>
                <w:rFonts w:hint="default" w:ascii="Times New Roman" w:hAnsi="Times New Roman" w:cs="Times New Roman"/>
                <w:kern w:val="0"/>
                <w:szCs w:val="20"/>
                <w:lang w:eastAsia="zh-CN"/>
              </w:rPr>
              <w:t>机械制造有限公司</w:t>
            </w:r>
            <w:r>
              <w:rPr>
                <w:rFonts w:hint="default" w:ascii="Times New Roman" w:hAnsi="Times New Roman" w:cs="Times New Roman"/>
                <w:kern w:val="0"/>
                <w:szCs w:val="20"/>
              </w:rPr>
              <w:t>现有闲置厂房6000m</w:t>
            </w:r>
            <w:r>
              <w:rPr>
                <w:rFonts w:hint="default" w:ascii="Times New Roman" w:hAnsi="Times New Roman" w:cs="Times New Roman"/>
                <w:kern w:val="0"/>
                <w:szCs w:val="20"/>
                <w:vertAlign w:val="superscript"/>
              </w:rPr>
              <w:t>2</w:t>
            </w:r>
            <w:r>
              <w:rPr>
                <w:rFonts w:hint="default" w:ascii="Times New Roman" w:hAnsi="Times New Roman" w:cs="Times New Roman"/>
                <w:kern w:val="0"/>
                <w:szCs w:val="20"/>
              </w:rPr>
              <w:t>，在厂房内重新布局实施建设</w:t>
            </w:r>
            <w:r>
              <w:rPr>
                <w:rFonts w:hint="default"/>
                <w:kern w:val="0"/>
                <w:szCs w:val="20"/>
              </w:rPr>
              <w:t>，引进2.2-2.5米宽的高档纸板生产线、印刷设备及相关辅助设备。项目建成后形成年加工5000万平方米包装材料的生产能力。</w:t>
            </w:r>
          </w:p>
          <w:p w14:paraId="1BC28899">
            <w:pPr>
              <w:pStyle w:val="55"/>
              <w:adjustRightInd w:val="0"/>
              <w:snapToGrid w:val="0"/>
              <w:ind w:firstLine="0" w:firstLineChars="0"/>
              <w:rPr>
                <w:b/>
                <w:bCs w:val="0"/>
                <w:kern w:val="0"/>
                <w:szCs w:val="20"/>
              </w:rPr>
            </w:pPr>
            <w:r>
              <w:rPr>
                <w:b/>
                <w:bCs w:val="0"/>
                <w:kern w:val="0"/>
                <w:szCs w:val="20"/>
              </w:rPr>
              <w:t>2.2.2建设地点</w:t>
            </w:r>
          </w:p>
          <w:p w14:paraId="10FF09CF">
            <w:pPr>
              <w:pStyle w:val="45"/>
              <w:adjustRightInd w:val="0"/>
              <w:snapToGrid w:val="0"/>
              <w:ind w:firstLineChars="0"/>
              <w:rPr>
                <w:rFonts w:hint="default"/>
                <w:kern w:val="0"/>
                <w:szCs w:val="20"/>
              </w:rPr>
            </w:pPr>
            <w:r>
              <w:rPr>
                <w:rFonts w:hint="default"/>
                <w:kern w:val="0"/>
                <w:szCs w:val="20"/>
              </w:rPr>
              <w:t>本项目位于安徽省淮南市谢家集区李郢孜镇经济开发区经五路与卧园路交叉口向西50米，用地性质为工业用地。</w:t>
            </w:r>
            <w:r>
              <w:rPr>
                <w:rFonts w:hint="default"/>
                <w:kern w:val="0"/>
                <w:szCs w:val="20"/>
                <w:lang w:val="zh-CN"/>
              </w:rPr>
              <w:t>项目所在地</w:t>
            </w:r>
            <w:r>
              <w:rPr>
                <w:rFonts w:hint="default"/>
                <w:bCs w:val="0"/>
                <w:kern w:val="0"/>
                <w:szCs w:val="20"/>
              </w:rPr>
              <w:t>东侧为孟岗村，西侧隔经五路为润泰纺织，南侧为S12滁新高速，北侧为安徽艾茵新材料科技有限公司、淮南腾麒供应链有限公司。</w:t>
            </w:r>
          </w:p>
          <w:p w14:paraId="232814D4">
            <w:pPr>
              <w:pStyle w:val="44"/>
              <w:spacing w:line="360" w:lineRule="auto"/>
              <w:rPr>
                <w:b/>
                <w:kern w:val="0"/>
                <w:sz w:val="21"/>
                <w:szCs w:val="20"/>
              </w:rPr>
            </w:pPr>
            <w:r>
              <w:rPr>
                <w:b/>
                <w:kern w:val="0"/>
                <w:sz w:val="21"/>
                <w:szCs w:val="20"/>
              </w:rPr>
              <w:t>表 2-3 项目周边环境概况</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9"/>
              <w:gridCol w:w="1464"/>
              <w:gridCol w:w="4258"/>
            </w:tblGrid>
            <w:tr w14:paraId="2F4EF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6" w:type="pct"/>
                  <w:vAlign w:val="center"/>
                </w:tcPr>
                <w:p w14:paraId="53B3DF8F">
                  <w:pPr>
                    <w:pStyle w:val="29"/>
                    <w:rPr>
                      <w:b/>
                      <w:bCs/>
                      <w:sz w:val="21"/>
                      <w:szCs w:val="21"/>
                    </w:rPr>
                  </w:pPr>
                  <w:r>
                    <w:rPr>
                      <w:b/>
                      <w:bCs/>
                      <w:sz w:val="21"/>
                      <w:szCs w:val="21"/>
                    </w:rPr>
                    <w:t>方位</w:t>
                  </w:r>
                </w:p>
              </w:tc>
              <w:tc>
                <w:tcPr>
                  <w:tcW w:w="932" w:type="pct"/>
                  <w:vAlign w:val="center"/>
                </w:tcPr>
                <w:p w14:paraId="369442EC">
                  <w:pPr>
                    <w:pStyle w:val="29"/>
                    <w:rPr>
                      <w:b/>
                      <w:bCs/>
                      <w:sz w:val="21"/>
                      <w:szCs w:val="21"/>
                    </w:rPr>
                  </w:pPr>
                  <w:r>
                    <w:rPr>
                      <w:b/>
                      <w:bCs/>
                      <w:sz w:val="21"/>
                      <w:szCs w:val="21"/>
                    </w:rPr>
                    <w:t>最近距离</w:t>
                  </w:r>
                </w:p>
              </w:tc>
              <w:tc>
                <w:tcPr>
                  <w:tcW w:w="2711" w:type="pct"/>
                  <w:vAlign w:val="center"/>
                </w:tcPr>
                <w:p w14:paraId="70D826A2">
                  <w:pPr>
                    <w:pStyle w:val="29"/>
                    <w:rPr>
                      <w:b/>
                      <w:bCs/>
                      <w:sz w:val="21"/>
                      <w:szCs w:val="21"/>
                    </w:rPr>
                  </w:pPr>
                  <w:r>
                    <w:rPr>
                      <w:b/>
                      <w:bCs/>
                      <w:sz w:val="21"/>
                      <w:szCs w:val="21"/>
                    </w:rPr>
                    <w:t>环境现状</w:t>
                  </w:r>
                </w:p>
              </w:tc>
            </w:tr>
            <w:tr w14:paraId="5481A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356" w:type="pct"/>
                  <w:vAlign w:val="center"/>
                </w:tcPr>
                <w:p w14:paraId="03B19C42">
                  <w:pPr>
                    <w:pStyle w:val="29"/>
                    <w:rPr>
                      <w:sz w:val="21"/>
                      <w:szCs w:val="21"/>
                    </w:rPr>
                  </w:pPr>
                  <w:r>
                    <w:rPr>
                      <w:sz w:val="21"/>
                      <w:szCs w:val="21"/>
                    </w:rPr>
                    <w:t>东侧</w:t>
                  </w:r>
                </w:p>
              </w:tc>
              <w:tc>
                <w:tcPr>
                  <w:tcW w:w="932" w:type="pct"/>
                  <w:vAlign w:val="center"/>
                </w:tcPr>
                <w:p w14:paraId="4FC44DDE">
                  <w:pPr>
                    <w:pStyle w:val="29"/>
                    <w:rPr>
                      <w:sz w:val="21"/>
                      <w:szCs w:val="21"/>
                    </w:rPr>
                  </w:pPr>
                  <w:r>
                    <w:rPr>
                      <w:sz w:val="21"/>
                      <w:szCs w:val="21"/>
                    </w:rPr>
                    <w:t>37m</w:t>
                  </w:r>
                </w:p>
              </w:tc>
              <w:tc>
                <w:tcPr>
                  <w:tcW w:w="2711" w:type="pct"/>
                  <w:vAlign w:val="center"/>
                </w:tcPr>
                <w:p w14:paraId="38EC18D6">
                  <w:pPr>
                    <w:pStyle w:val="29"/>
                    <w:rPr>
                      <w:sz w:val="21"/>
                      <w:szCs w:val="21"/>
                    </w:rPr>
                  </w:pPr>
                  <w:r>
                    <w:rPr>
                      <w:sz w:val="21"/>
                      <w:szCs w:val="21"/>
                    </w:rPr>
                    <w:t>孟岗村</w:t>
                  </w:r>
                </w:p>
              </w:tc>
            </w:tr>
            <w:tr w14:paraId="3C543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jc w:val="center"/>
              </w:trPr>
              <w:tc>
                <w:tcPr>
                  <w:tcW w:w="1356" w:type="pct"/>
                  <w:vAlign w:val="center"/>
                </w:tcPr>
                <w:p w14:paraId="0CC0B90E">
                  <w:pPr>
                    <w:pStyle w:val="29"/>
                    <w:rPr>
                      <w:sz w:val="21"/>
                      <w:szCs w:val="21"/>
                    </w:rPr>
                  </w:pPr>
                  <w:r>
                    <w:rPr>
                      <w:sz w:val="21"/>
                      <w:szCs w:val="21"/>
                    </w:rPr>
                    <w:t>南侧</w:t>
                  </w:r>
                </w:p>
              </w:tc>
              <w:tc>
                <w:tcPr>
                  <w:tcW w:w="932" w:type="pct"/>
                  <w:vAlign w:val="center"/>
                </w:tcPr>
                <w:p w14:paraId="5887FCB1">
                  <w:pPr>
                    <w:pStyle w:val="29"/>
                    <w:rPr>
                      <w:sz w:val="21"/>
                      <w:szCs w:val="21"/>
                    </w:rPr>
                  </w:pPr>
                  <w:r>
                    <w:rPr>
                      <w:sz w:val="21"/>
                      <w:szCs w:val="21"/>
                    </w:rPr>
                    <w:t>79m</w:t>
                  </w:r>
                </w:p>
              </w:tc>
              <w:tc>
                <w:tcPr>
                  <w:tcW w:w="2711" w:type="pct"/>
                  <w:vAlign w:val="center"/>
                </w:tcPr>
                <w:p w14:paraId="73F5EB63">
                  <w:pPr>
                    <w:pStyle w:val="29"/>
                    <w:rPr>
                      <w:sz w:val="21"/>
                      <w:szCs w:val="21"/>
                    </w:rPr>
                  </w:pPr>
                  <w:r>
                    <w:rPr>
                      <w:bCs/>
                      <w:sz w:val="21"/>
                      <w:szCs w:val="21"/>
                    </w:rPr>
                    <w:t>S12滁新高速</w:t>
                  </w:r>
                </w:p>
              </w:tc>
            </w:tr>
            <w:tr w14:paraId="21EB6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6" w:type="pct"/>
                  <w:vMerge w:val="restart"/>
                  <w:vAlign w:val="center"/>
                </w:tcPr>
                <w:p w14:paraId="055D663D">
                  <w:pPr>
                    <w:pStyle w:val="29"/>
                    <w:rPr>
                      <w:sz w:val="21"/>
                      <w:szCs w:val="21"/>
                    </w:rPr>
                  </w:pPr>
                  <w:r>
                    <w:rPr>
                      <w:sz w:val="21"/>
                      <w:szCs w:val="21"/>
                    </w:rPr>
                    <w:t>西侧</w:t>
                  </w:r>
                </w:p>
              </w:tc>
              <w:tc>
                <w:tcPr>
                  <w:tcW w:w="932" w:type="pct"/>
                  <w:vAlign w:val="center"/>
                </w:tcPr>
                <w:p w14:paraId="6B27D646">
                  <w:pPr>
                    <w:pStyle w:val="29"/>
                    <w:rPr>
                      <w:sz w:val="21"/>
                      <w:szCs w:val="21"/>
                    </w:rPr>
                  </w:pPr>
                  <w:r>
                    <w:rPr>
                      <w:sz w:val="21"/>
                      <w:szCs w:val="21"/>
                    </w:rPr>
                    <w:t>31m</w:t>
                  </w:r>
                </w:p>
              </w:tc>
              <w:tc>
                <w:tcPr>
                  <w:tcW w:w="2711" w:type="pct"/>
                  <w:vAlign w:val="center"/>
                </w:tcPr>
                <w:p w14:paraId="72542A65">
                  <w:pPr>
                    <w:pStyle w:val="29"/>
                    <w:rPr>
                      <w:sz w:val="21"/>
                      <w:szCs w:val="21"/>
                    </w:rPr>
                  </w:pPr>
                  <w:r>
                    <w:rPr>
                      <w:bCs/>
                      <w:sz w:val="21"/>
                      <w:szCs w:val="21"/>
                    </w:rPr>
                    <w:t>经五路</w:t>
                  </w:r>
                </w:p>
              </w:tc>
            </w:tr>
            <w:tr w14:paraId="394B2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6" w:type="pct"/>
                  <w:vMerge w:val="continue"/>
                  <w:vAlign w:val="center"/>
                </w:tcPr>
                <w:p w14:paraId="5E9BB629">
                  <w:pPr>
                    <w:pStyle w:val="29"/>
                    <w:rPr>
                      <w:sz w:val="21"/>
                      <w:szCs w:val="21"/>
                    </w:rPr>
                  </w:pPr>
                </w:p>
              </w:tc>
              <w:tc>
                <w:tcPr>
                  <w:tcW w:w="932" w:type="pct"/>
                  <w:vAlign w:val="center"/>
                </w:tcPr>
                <w:p w14:paraId="16A830E4">
                  <w:pPr>
                    <w:pStyle w:val="29"/>
                    <w:rPr>
                      <w:sz w:val="21"/>
                      <w:szCs w:val="21"/>
                    </w:rPr>
                  </w:pPr>
                  <w:r>
                    <w:rPr>
                      <w:sz w:val="21"/>
                      <w:szCs w:val="21"/>
                    </w:rPr>
                    <w:t>隔</w:t>
                  </w:r>
                  <w:r>
                    <w:rPr>
                      <w:bCs/>
                      <w:sz w:val="21"/>
                      <w:szCs w:val="21"/>
                    </w:rPr>
                    <w:t>经五路</w:t>
                  </w:r>
                </w:p>
              </w:tc>
              <w:tc>
                <w:tcPr>
                  <w:tcW w:w="2711" w:type="pct"/>
                  <w:vAlign w:val="center"/>
                </w:tcPr>
                <w:p w14:paraId="4D68672E">
                  <w:pPr>
                    <w:pStyle w:val="29"/>
                    <w:rPr>
                      <w:sz w:val="21"/>
                      <w:szCs w:val="21"/>
                    </w:rPr>
                  </w:pPr>
                  <w:r>
                    <w:rPr>
                      <w:rFonts w:hint="default" w:ascii="Times New Roman" w:hAnsi="Times New Roman" w:cs="Times New Roman"/>
                      <w:bCs/>
                      <w:sz w:val="21"/>
                      <w:szCs w:val="21"/>
                    </w:rPr>
                    <w:t>淮南市润泰纺织有限公司</w:t>
                  </w:r>
                </w:p>
              </w:tc>
            </w:tr>
            <w:tr w14:paraId="0C108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6" w:type="pct"/>
                  <w:vMerge w:val="restart"/>
                  <w:vAlign w:val="center"/>
                </w:tcPr>
                <w:p w14:paraId="140CF1D2">
                  <w:pPr>
                    <w:pStyle w:val="29"/>
                    <w:rPr>
                      <w:sz w:val="21"/>
                      <w:szCs w:val="21"/>
                    </w:rPr>
                  </w:pPr>
                  <w:r>
                    <w:rPr>
                      <w:sz w:val="21"/>
                      <w:szCs w:val="21"/>
                    </w:rPr>
                    <w:t>北侧</w:t>
                  </w:r>
                </w:p>
              </w:tc>
              <w:tc>
                <w:tcPr>
                  <w:tcW w:w="932" w:type="pct"/>
                  <w:vAlign w:val="center"/>
                </w:tcPr>
                <w:p w14:paraId="4FA5B671">
                  <w:pPr>
                    <w:pStyle w:val="29"/>
                    <w:rPr>
                      <w:sz w:val="21"/>
                      <w:szCs w:val="21"/>
                    </w:rPr>
                  </w:pPr>
                  <w:r>
                    <w:rPr>
                      <w:sz w:val="21"/>
                      <w:szCs w:val="21"/>
                    </w:rPr>
                    <w:t>紧邻</w:t>
                  </w:r>
                </w:p>
              </w:tc>
              <w:tc>
                <w:tcPr>
                  <w:tcW w:w="2711" w:type="pct"/>
                  <w:vAlign w:val="center"/>
                </w:tcPr>
                <w:p w14:paraId="2354ECE3">
                  <w:pPr>
                    <w:pStyle w:val="29"/>
                    <w:rPr>
                      <w:sz w:val="21"/>
                      <w:szCs w:val="21"/>
                    </w:rPr>
                  </w:pPr>
                  <w:r>
                    <w:rPr>
                      <w:bCs/>
                      <w:sz w:val="21"/>
                      <w:szCs w:val="21"/>
                    </w:rPr>
                    <w:t>安徽艾茵新材料科技有限公司</w:t>
                  </w:r>
                </w:p>
              </w:tc>
            </w:tr>
            <w:tr w14:paraId="5F720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6" w:type="pct"/>
                  <w:vMerge w:val="continue"/>
                  <w:vAlign w:val="center"/>
                </w:tcPr>
                <w:p w14:paraId="70114124">
                  <w:pPr>
                    <w:pStyle w:val="29"/>
                    <w:rPr>
                      <w:sz w:val="21"/>
                      <w:szCs w:val="21"/>
                    </w:rPr>
                  </w:pPr>
                </w:p>
              </w:tc>
              <w:tc>
                <w:tcPr>
                  <w:tcW w:w="932" w:type="pct"/>
                  <w:vAlign w:val="center"/>
                </w:tcPr>
                <w:p w14:paraId="60FCEE46">
                  <w:pPr>
                    <w:pStyle w:val="29"/>
                    <w:rPr>
                      <w:sz w:val="21"/>
                      <w:szCs w:val="21"/>
                    </w:rPr>
                  </w:pPr>
                  <w:r>
                    <w:rPr>
                      <w:sz w:val="21"/>
                      <w:szCs w:val="21"/>
                    </w:rPr>
                    <w:t>紧邻</w:t>
                  </w:r>
                </w:p>
              </w:tc>
              <w:tc>
                <w:tcPr>
                  <w:tcW w:w="2711" w:type="pct"/>
                  <w:vAlign w:val="center"/>
                </w:tcPr>
                <w:p w14:paraId="624DD85B">
                  <w:pPr>
                    <w:pStyle w:val="29"/>
                    <w:rPr>
                      <w:sz w:val="21"/>
                      <w:szCs w:val="21"/>
                    </w:rPr>
                  </w:pPr>
                  <w:r>
                    <w:rPr>
                      <w:bCs/>
                      <w:sz w:val="21"/>
                      <w:szCs w:val="21"/>
                    </w:rPr>
                    <w:t>淮南腾麒供应链有限公司</w:t>
                  </w:r>
                </w:p>
              </w:tc>
            </w:tr>
          </w:tbl>
          <w:p w14:paraId="35A6E0DE">
            <w:pPr>
              <w:pStyle w:val="2"/>
              <w:outlineLvl w:val="2"/>
              <w:rPr>
                <w:rFonts w:hint="default" w:ascii="Times New Roman" w:hAnsi="Times New Roman" w:cs="Times New Roman"/>
              </w:rPr>
            </w:pPr>
            <w:r>
              <w:rPr>
                <w:rFonts w:hint="default" w:ascii="Times New Roman" w:hAnsi="Times New Roman" w:cs="Times New Roman"/>
              </w:rPr>
              <w:drawing>
                <wp:inline distT="0" distB="0" distL="114300" distR="114300">
                  <wp:extent cx="5052695" cy="3215005"/>
                  <wp:effectExtent l="0" t="0" r="14605" b="444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6"/>
                          <a:stretch>
                            <a:fillRect/>
                          </a:stretch>
                        </pic:blipFill>
                        <pic:spPr>
                          <a:xfrm>
                            <a:off x="0" y="0"/>
                            <a:ext cx="5052695" cy="3215005"/>
                          </a:xfrm>
                          <a:prstGeom prst="rect">
                            <a:avLst/>
                          </a:prstGeom>
                          <a:noFill/>
                          <a:ln>
                            <a:noFill/>
                          </a:ln>
                        </pic:spPr>
                      </pic:pic>
                    </a:graphicData>
                  </a:graphic>
                </wp:inline>
              </w:drawing>
            </w:r>
          </w:p>
          <w:p w14:paraId="5E0D83F5">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图 2-</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图 \* ARABIC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2</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项目四周概况图</w:t>
            </w:r>
          </w:p>
          <w:p w14:paraId="478C29A4">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2.2.3工程建设内容</w:t>
            </w:r>
          </w:p>
          <w:p w14:paraId="67265809">
            <w:pPr>
              <w:overflowPunct w:val="0"/>
              <w:autoSpaceDE w:val="0"/>
              <w:autoSpaceDN w:val="0"/>
              <w:ind w:firstLine="480" w:firstLineChars="200"/>
              <w:rPr>
                <w:rFonts w:hint="default" w:ascii="Times New Roman" w:hAnsi="Times New Roman" w:cs="Times New Roman"/>
              </w:rPr>
            </w:pPr>
            <w:r>
              <w:rPr>
                <w:rFonts w:hint="default" w:ascii="Times New Roman" w:hAnsi="Times New Roman" w:cs="Times New Roman"/>
              </w:rPr>
              <w:t>本项目主要工程内容见下表。</w:t>
            </w:r>
          </w:p>
          <w:p w14:paraId="450C3AD8">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2-4 项目主要建设内容一览表</w:t>
            </w:r>
          </w:p>
          <w:tbl>
            <w:tblPr>
              <w:tblStyle w:val="22"/>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408"/>
              <w:gridCol w:w="1056"/>
              <w:gridCol w:w="4762"/>
              <w:gridCol w:w="930"/>
            </w:tblGrid>
            <w:tr w14:paraId="07EC8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 w:type="pct"/>
                  <w:vAlign w:val="center"/>
                </w:tcPr>
                <w:p w14:paraId="013A47B0">
                  <w:pPr>
                    <w:pStyle w:val="29"/>
                    <w:overflowPunct w:val="0"/>
                    <w:autoSpaceDE w:val="0"/>
                    <w:autoSpaceDN w:val="0"/>
                    <w:rPr>
                      <w:b/>
                      <w:bCs/>
                      <w:sz w:val="21"/>
                      <w:szCs w:val="21"/>
                    </w:rPr>
                  </w:pPr>
                  <w:r>
                    <w:rPr>
                      <w:b/>
                      <w:bCs/>
                      <w:sz w:val="21"/>
                      <w:szCs w:val="21"/>
                    </w:rPr>
                    <w:t>工程类别</w:t>
                  </w:r>
                </w:p>
              </w:tc>
              <w:tc>
                <w:tcPr>
                  <w:tcW w:w="932" w:type="pct"/>
                  <w:gridSpan w:val="2"/>
                  <w:vAlign w:val="center"/>
                </w:tcPr>
                <w:p w14:paraId="33DCEEE6">
                  <w:pPr>
                    <w:pStyle w:val="29"/>
                    <w:overflowPunct w:val="0"/>
                    <w:autoSpaceDE w:val="0"/>
                    <w:autoSpaceDN w:val="0"/>
                    <w:rPr>
                      <w:b/>
                      <w:bCs/>
                      <w:sz w:val="21"/>
                      <w:szCs w:val="21"/>
                    </w:rPr>
                  </w:pPr>
                  <w:r>
                    <w:rPr>
                      <w:b/>
                      <w:bCs/>
                      <w:sz w:val="21"/>
                      <w:szCs w:val="21"/>
                    </w:rPr>
                    <w:t>工程名称</w:t>
                  </w:r>
                </w:p>
              </w:tc>
              <w:tc>
                <w:tcPr>
                  <w:tcW w:w="3031" w:type="pct"/>
                  <w:vAlign w:val="center"/>
                </w:tcPr>
                <w:p w14:paraId="3DC5BDBB">
                  <w:pPr>
                    <w:pStyle w:val="29"/>
                    <w:overflowPunct w:val="0"/>
                    <w:autoSpaceDE w:val="0"/>
                    <w:autoSpaceDN w:val="0"/>
                    <w:rPr>
                      <w:b/>
                      <w:bCs/>
                      <w:sz w:val="21"/>
                      <w:szCs w:val="21"/>
                    </w:rPr>
                  </w:pPr>
                  <w:r>
                    <w:rPr>
                      <w:b/>
                      <w:bCs/>
                      <w:sz w:val="21"/>
                      <w:szCs w:val="21"/>
                    </w:rPr>
                    <w:t>工程内容及规模</w:t>
                  </w:r>
                </w:p>
              </w:tc>
              <w:tc>
                <w:tcPr>
                  <w:tcW w:w="592" w:type="pct"/>
                  <w:vAlign w:val="center"/>
                </w:tcPr>
                <w:p w14:paraId="660C7B8C">
                  <w:pPr>
                    <w:pStyle w:val="29"/>
                    <w:overflowPunct w:val="0"/>
                    <w:autoSpaceDE w:val="0"/>
                    <w:autoSpaceDN w:val="0"/>
                    <w:rPr>
                      <w:b/>
                      <w:bCs/>
                      <w:sz w:val="21"/>
                      <w:szCs w:val="21"/>
                    </w:rPr>
                  </w:pPr>
                  <w:r>
                    <w:rPr>
                      <w:b/>
                      <w:bCs/>
                      <w:sz w:val="21"/>
                      <w:szCs w:val="21"/>
                    </w:rPr>
                    <w:t>备注</w:t>
                  </w:r>
                </w:p>
              </w:tc>
            </w:tr>
            <w:tr w14:paraId="6D682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443" w:type="pct"/>
                  <w:vAlign w:val="center"/>
                </w:tcPr>
                <w:p w14:paraId="18D58C92">
                  <w:pPr>
                    <w:pStyle w:val="29"/>
                    <w:overflowPunct w:val="0"/>
                    <w:autoSpaceDE w:val="0"/>
                    <w:autoSpaceDN w:val="0"/>
                    <w:rPr>
                      <w:sz w:val="21"/>
                      <w:szCs w:val="21"/>
                    </w:rPr>
                  </w:pPr>
                  <w:r>
                    <w:rPr>
                      <w:sz w:val="21"/>
                      <w:szCs w:val="21"/>
                    </w:rPr>
                    <w:t>主体工程</w:t>
                  </w:r>
                </w:p>
              </w:tc>
              <w:tc>
                <w:tcPr>
                  <w:tcW w:w="932" w:type="pct"/>
                  <w:gridSpan w:val="2"/>
                  <w:vAlign w:val="center"/>
                </w:tcPr>
                <w:p w14:paraId="537E80A0">
                  <w:pPr>
                    <w:pStyle w:val="29"/>
                    <w:overflowPunct w:val="0"/>
                    <w:autoSpaceDE w:val="0"/>
                    <w:autoSpaceDN w:val="0"/>
                    <w:rPr>
                      <w:sz w:val="21"/>
                      <w:szCs w:val="21"/>
                    </w:rPr>
                  </w:pPr>
                  <w:r>
                    <w:rPr>
                      <w:sz w:val="21"/>
                      <w:szCs w:val="21"/>
                    </w:rPr>
                    <w:t>生产车间</w:t>
                  </w:r>
                </w:p>
              </w:tc>
              <w:tc>
                <w:tcPr>
                  <w:tcW w:w="3031" w:type="pct"/>
                  <w:vAlign w:val="center"/>
                </w:tcPr>
                <w:p w14:paraId="37194DD2">
                  <w:pPr>
                    <w:pStyle w:val="29"/>
                    <w:rPr>
                      <w:sz w:val="21"/>
                      <w:szCs w:val="21"/>
                    </w:rPr>
                  </w:pPr>
                  <w:r>
                    <w:rPr>
                      <w:sz w:val="21"/>
                      <w:szCs w:val="21"/>
                    </w:rPr>
                    <w:t>利用现有车间6000m</w:t>
                  </w:r>
                  <w:r>
                    <w:rPr>
                      <w:sz w:val="21"/>
                      <w:szCs w:val="21"/>
                      <w:vertAlign w:val="superscript"/>
                    </w:rPr>
                    <w:t>2</w:t>
                  </w:r>
                  <w:r>
                    <w:rPr>
                      <w:sz w:val="21"/>
                      <w:szCs w:val="21"/>
                    </w:rPr>
                    <w:t>，建设一条包装材料的生产线，主要工艺为制胶、涂胶粘合、烘压定型、印刷、钉箱。主要设备包括单面瓦楞机、水墨印刷机、横纵切机等，可形成年产5000万平方米包装材料的生产能力。车间层高12米。</w:t>
                  </w:r>
                </w:p>
              </w:tc>
              <w:tc>
                <w:tcPr>
                  <w:tcW w:w="592" w:type="pct"/>
                  <w:vMerge w:val="restart"/>
                  <w:vAlign w:val="center"/>
                </w:tcPr>
                <w:p w14:paraId="60CB4701">
                  <w:pPr>
                    <w:pStyle w:val="29"/>
                    <w:overflowPunct w:val="0"/>
                    <w:autoSpaceDE w:val="0"/>
                    <w:autoSpaceDN w:val="0"/>
                    <w:rPr>
                      <w:sz w:val="21"/>
                      <w:szCs w:val="21"/>
                    </w:rPr>
                  </w:pPr>
                  <w:r>
                    <w:rPr>
                      <w:sz w:val="21"/>
                      <w:szCs w:val="21"/>
                    </w:rPr>
                    <w:t>租赁闲置厂房，内部划分各功能区</w:t>
                  </w:r>
                </w:p>
                <w:p w14:paraId="716FE9C5">
                  <w:pPr>
                    <w:pStyle w:val="29"/>
                    <w:overflowPunct w:val="0"/>
                    <w:autoSpaceDE w:val="0"/>
                    <w:autoSpaceDN w:val="0"/>
                    <w:rPr>
                      <w:sz w:val="21"/>
                      <w:szCs w:val="21"/>
                    </w:rPr>
                  </w:pPr>
                  <w:r>
                    <w:rPr>
                      <w:sz w:val="21"/>
                      <w:szCs w:val="21"/>
                    </w:rPr>
                    <w:t>新建</w:t>
                  </w:r>
                </w:p>
              </w:tc>
            </w:tr>
            <w:tr w14:paraId="4E39D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restart"/>
                  <w:vAlign w:val="center"/>
                </w:tcPr>
                <w:p w14:paraId="4FA5403E">
                  <w:pPr>
                    <w:pStyle w:val="29"/>
                    <w:overflowPunct w:val="0"/>
                    <w:autoSpaceDE w:val="0"/>
                    <w:autoSpaceDN w:val="0"/>
                    <w:rPr>
                      <w:sz w:val="21"/>
                      <w:szCs w:val="21"/>
                    </w:rPr>
                  </w:pPr>
                  <w:r>
                    <w:rPr>
                      <w:sz w:val="21"/>
                      <w:szCs w:val="21"/>
                    </w:rPr>
                    <w:t>储运工程</w:t>
                  </w:r>
                </w:p>
              </w:tc>
              <w:tc>
                <w:tcPr>
                  <w:tcW w:w="260" w:type="pct"/>
                  <w:vMerge w:val="restart"/>
                  <w:vAlign w:val="center"/>
                </w:tcPr>
                <w:p w14:paraId="119E662A">
                  <w:pPr>
                    <w:pStyle w:val="29"/>
                    <w:overflowPunct w:val="0"/>
                    <w:autoSpaceDE w:val="0"/>
                    <w:autoSpaceDN w:val="0"/>
                    <w:rPr>
                      <w:sz w:val="21"/>
                      <w:szCs w:val="21"/>
                    </w:rPr>
                  </w:pPr>
                  <w:r>
                    <w:rPr>
                      <w:sz w:val="21"/>
                      <w:szCs w:val="21"/>
                    </w:rPr>
                    <w:t>原料区</w:t>
                  </w:r>
                </w:p>
              </w:tc>
              <w:tc>
                <w:tcPr>
                  <w:tcW w:w="672" w:type="pct"/>
                  <w:vAlign w:val="center"/>
                </w:tcPr>
                <w:p w14:paraId="04C2125B">
                  <w:pPr>
                    <w:pStyle w:val="29"/>
                    <w:overflowPunct w:val="0"/>
                    <w:autoSpaceDE w:val="0"/>
                    <w:autoSpaceDN w:val="0"/>
                    <w:rPr>
                      <w:sz w:val="21"/>
                      <w:szCs w:val="21"/>
                    </w:rPr>
                  </w:pPr>
                  <w:r>
                    <w:rPr>
                      <w:sz w:val="21"/>
                      <w:szCs w:val="21"/>
                    </w:rPr>
                    <w:t>原纸</w:t>
                  </w:r>
                </w:p>
              </w:tc>
              <w:tc>
                <w:tcPr>
                  <w:tcW w:w="3031" w:type="pct"/>
                  <w:vAlign w:val="center"/>
                </w:tcPr>
                <w:p w14:paraId="2446F045">
                  <w:pPr>
                    <w:pStyle w:val="29"/>
                    <w:overflowPunct w:val="0"/>
                    <w:autoSpaceDE w:val="0"/>
                    <w:autoSpaceDN w:val="0"/>
                    <w:rPr>
                      <w:sz w:val="21"/>
                      <w:szCs w:val="21"/>
                    </w:rPr>
                  </w:pPr>
                  <w:r>
                    <w:rPr>
                      <w:sz w:val="21"/>
                      <w:szCs w:val="21"/>
                    </w:rPr>
                    <w:t>原纸暂存区占地约1200m</w:t>
                  </w:r>
                  <w:r>
                    <w:rPr>
                      <w:sz w:val="21"/>
                      <w:szCs w:val="21"/>
                      <w:vertAlign w:val="superscript"/>
                    </w:rPr>
                    <w:t>2</w:t>
                  </w:r>
                  <w:r>
                    <w:rPr>
                      <w:sz w:val="21"/>
                      <w:szCs w:val="21"/>
                    </w:rPr>
                    <w:t>，位于厂区西北侧，最大储存量为500t。</w:t>
                  </w:r>
                </w:p>
              </w:tc>
              <w:tc>
                <w:tcPr>
                  <w:tcW w:w="592" w:type="pct"/>
                  <w:vMerge w:val="continue"/>
                  <w:vAlign w:val="center"/>
                </w:tcPr>
                <w:p w14:paraId="507C5E48">
                  <w:pPr>
                    <w:pStyle w:val="29"/>
                    <w:overflowPunct w:val="0"/>
                    <w:autoSpaceDE w:val="0"/>
                    <w:autoSpaceDN w:val="0"/>
                    <w:rPr>
                      <w:sz w:val="21"/>
                      <w:szCs w:val="21"/>
                    </w:rPr>
                  </w:pPr>
                </w:p>
              </w:tc>
            </w:tr>
            <w:tr w14:paraId="2EE71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3" w:type="pct"/>
                  <w:vMerge w:val="continue"/>
                  <w:vAlign w:val="center"/>
                </w:tcPr>
                <w:p w14:paraId="1C7F70DC">
                  <w:pPr>
                    <w:pStyle w:val="29"/>
                    <w:overflowPunct w:val="0"/>
                    <w:autoSpaceDE w:val="0"/>
                    <w:autoSpaceDN w:val="0"/>
                    <w:rPr>
                      <w:sz w:val="21"/>
                      <w:szCs w:val="21"/>
                    </w:rPr>
                  </w:pPr>
                </w:p>
              </w:tc>
              <w:tc>
                <w:tcPr>
                  <w:tcW w:w="260" w:type="pct"/>
                  <w:vMerge w:val="continue"/>
                  <w:vAlign w:val="center"/>
                </w:tcPr>
                <w:p w14:paraId="60196908">
                  <w:pPr>
                    <w:pStyle w:val="29"/>
                    <w:overflowPunct w:val="0"/>
                    <w:autoSpaceDE w:val="0"/>
                    <w:autoSpaceDN w:val="0"/>
                    <w:rPr>
                      <w:sz w:val="21"/>
                      <w:szCs w:val="21"/>
                    </w:rPr>
                  </w:pPr>
                </w:p>
              </w:tc>
              <w:tc>
                <w:tcPr>
                  <w:tcW w:w="672" w:type="pct"/>
                  <w:vAlign w:val="center"/>
                </w:tcPr>
                <w:p w14:paraId="49DF5230">
                  <w:pPr>
                    <w:pStyle w:val="29"/>
                    <w:overflowPunct w:val="0"/>
                    <w:autoSpaceDE w:val="0"/>
                    <w:autoSpaceDN w:val="0"/>
                    <w:rPr>
                      <w:sz w:val="21"/>
                      <w:szCs w:val="21"/>
                    </w:rPr>
                  </w:pPr>
                  <w:r>
                    <w:rPr>
                      <w:sz w:val="21"/>
                      <w:szCs w:val="21"/>
                    </w:rPr>
                    <w:t>玉米淀粉</w:t>
                  </w:r>
                </w:p>
              </w:tc>
              <w:tc>
                <w:tcPr>
                  <w:tcW w:w="3031" w:type="pct"/>
                  <w:vAlign w:val="center"/>
                </w:tcPr>
                <w:p w14:paraId="1760E610">
                  <w:pPr>
                    <w:pStyle w:val="29"/>
                    <w:overflowPunct w:val="0"/>
                    <w:autoSpaceDE w:val="0"/>
                    <w:autoSpaceDN w:val="0"/>
                    <w:rPr>
                      <w:sz w:val="21"/>
                      <w:szCs w:val="21"/>
                    </w:rPr>
                  </w:pPr>
                  <w:r>
                    <w:rPr>
                      <w:sz w:val="21"/>
                      <w:szCs w:val="21"/>
                    </w:rPr>
                    <w:t>存放于制胶原料暂存区占地约20m</w:t>
                  </w:r>
                  <w:r>
                    <w:rPr>
                      <w:sz w:val="21"/>
                      <w:szCs w:val="21"/>
                      <w:vertAlign w:val="superscript"/>
                    </w:rPr>
                    <w:t>3</w:t>
                  </w:r>
                  <w:r>
                    <w:rPr>
                      <w:sz w:val="21"/>
                      <w:szCs w:val="21"/>
                    </w:rPr>
                    <w:t>，位于原纸暂存区西侧最大储存量为20t。</w:t>
                  </w:r>
                </w:p>
              </w:tc>
              <w:tc>
                <w:tcPr>
                  <w:tcW w:w="592" w:type="pct"/>
                  <w:vMerge w:val="continue"/>
                  <w:vAlign w:val="center"/>
                </w:tcPr>
                <w:p w14:paraId="7B66B97E">
                  <w:pPr>
                    <w:pStyle w:val="29"/>
                    <w:overflowPunct w:val="0"/>
                    <w:autoSpaceDE w:val="0"/>
                    <w:autoSpaceDN w:val="0"/>
                    <w:rPr>
                      <w:sz w:val="21"/>
                      <w:szCs w:val="21"/>
                    </w:rPr>
                  </w:pPr>
                </w:p>
              </w:tc>
            </w:tr>
            <w:tr w14:paraId="1C898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continue"/>
                  <w:vAlign w:val="center"/>
                </w:tcPr>
                <w:p w14:paraId="71FC0B7B">
                  <w:pPr>
                    <w:pStyle w:val="29"/>
                    <w:overflowPunct w:val="0"/>
                    <w:autoSpaceDE w:val="0"/>
                    <w:autoSpaceDN w:val="0"/>
                    <w:rPr>
                      <w:sz w:val="21"/>
                      <w:szCs w:val="21"/>
                    </w:rPr>
                  </w:pPr>
                </w:p>
              </w:tc>
              <w:tc>
                <w:tcPr>
                  <w:tcW w:w="260" w:type="pct"/>
                  <w:vMerge w:val="continue"/>
                  <w:vAlign w:val="center"/>
                </w:tcPr>
                <w:p w14:paraId="6D515130">
                  <w:pPr>
                    <w:pStyle w:val="29"/>
                    <w:overflowPunct w:val="0"/>
                    <w:autoSpaceDE w:val="0"/>
                    <w:autoSpaceDN w:val="0"/>
                    <w:rPr>
                      <w:sz w:val="21"/>
                      <w:szCs w:val="21"/>
                    </w:rPr>
                  </w:pPr>
                </w:p>
              </w:tc>
              <w:tc>
                <w:tcPr>
                  <w:tcW w:w="672" w:type="pct"/>
                  <w:vAlign w:val="center"/>
                </w:tcPr>
                <w:p w14:paraId="63A480AB">
                  <w:pPr>
                    <w:pStyle w:val="29"/>
                    <w:overflowPunct w:val="0"/>
                    <w:autoSpaceDE w:val="0"/>
                    <w:autoSpaceDN w:val="0"/>
                    <w:rPr>
                      <w:sz w:val="21"/>
                      <w:szCs w:val="21"/>
                    </w:rPr>
                  </w:pPr>
                  <w:r>
                    <w:rPr>
                      <w:sz w:val="21"/>
                      <w:szCs w:val="21"/>
                    </w:rPr>
                    <w:t>硼砂</w:t>
                  </w:r>
                </w:p>
              </w:tc>
              <w:tc>
                <w:tcPr>
                  <w:tcW w:w="3031" w:type="pct"/>
                  <w:vAlign w:val="center"/>
                </w:tcPr>
                <w:p w14:paraId="38E8FF0E">
                  <w:pPr>
                    <w:pStyle w:val="29"/>
                    <w:overflowPunct w:val="0"/>
                    <w:autoSpaceDE w:val="0"/>
                    <w:autoSpaceDN w:val="0"/>
                    <w:rPr>
                      <w:sz w:val="21"/>
                      <w:szCs w:val="21"/>
                    </w:rPr>
                  </w:pPr>
                  <w:r>
                    <w:rPr>
                      <w:sz w:val="21"/>
                      <w:szCs w:val="21"/>
                    </w:rPr>
                    <w:t>存放于制胶原料暂存区占地约20m</w:t>
                  </w:r>
                  <w:r>
                    <w:rPr>
                      <w:sz w:val="21"/>
                      <w:szCs w:val="21"/>
                      <w:vertAlign w:val="superscript"/>
                    </w:rPr>
                    <w:t>3</w:t>
                  </w:r>
                  <w:r>
                    <w:rPr>
                      <w:sz w:val="21"/>
                      <w:szCs w:val="21"/>
                    </w:rPr>
                    <w:t>，位于原纸暂存区西侧最大储存量为0.5t。</w:t>
                  </w:r>
                </w:p>
              </w:tc>
              <w:tc>
                <w:tcPr>
                  <w:tcW w:w="592" w:type="pct"/>
                  <w:vMerge w:val="continue"/>
                  <w:vAlign w:val="center"/>
                </w:tcPr>
                <w:p w14:paraId="5D8D9B3E">
                  <w:pPr>
                    <w:pStyle w:val="29"/>
                    <w:overflowPunct w:val="0"/>
                    <w:autoSpaceDE w:val="0"/>
                    <w:autoSpaceDN w:val="0"/>
                    <w:rPr>
                      <w:sz w:val="21"/>
                      <w:szCs w:val="21"/>
                    </w:rPr>
                  </w:pPr>
                </w:p>
              </w:tc>
            </w:tr>
            <w:tr w14:paraId="74A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continue"/>
                  <w:vAlign w:val="center"/>
                </w:tcPr>
                <w:p w14:paraId="64099B31">
                  <w:pPr>
                    <w:pStyle w:val="29"/>
                    <w:overflowPunct w:val="0"/>
                    <w:autoSpaceDE w:val="0"/>
                    <w:autoSpaceDN w:val="0"/>
                    <w:rPr>
                      <w:sz w:val="21"/>
                      <w:szCs w:val="21"/>
                    </w:rPr>
                  </w:pPr>
                </w:p>
              </w:tc>
              <w:tc>
                <w:tcPr>
                  <w:tcW w:w="260" w:type="pct"/>
                  <w:vMerge w:val="continue"/>
                  <w:vAlign w:val="center"/>
                </w:tcPr>
                <w:p w14:paraId="5F938FA0">
                  <w:pPr>
                    <w:pStyle w:val="29"/>
                    <w:overflowPunct w:val="0"/>
                    <w:autoSpaceDE w:val="0"/>
                    <w:autoSpaceDN w:val="0"/>
                    <w:rPr>
                      <w:sz w:val="21"/>
                      <w:szCs w:val="21"/>
                    </w:rPr>
                  </w:pPr>
                </w:p>
              </w:tc>
              <w:tc>
                <w:tcPr>
                  <w:tcW w:w="672" w:type="pct"/>
                  <w:vAlign w:val="center"/>
                </w:tcPr>
                <w:p w14:paraId="3AF9CB63">
                  <w:pPr>
                    <w:pStyle w:val="29"/>
                    <w:overflowPunct w:val="0"/>
                    <w:autoSpaceDE w:val="0"/>
                    <w:autoSpaceDN w:val="0"/>
                    <w:rPr>
                      <w:sz w:val="21"/>
                      <w:szCs w:val="21"/>
                    </w:rPr>
                  </w:pPr>
                  <w:r>
                    <w:rPr>
                      <w:sz w:val="21"/>
                      <w:szCs w:val="21"/>
                    </w:rPr>
                    <w:t>氢氧化钠</w:t>
                  </w:r>
                </w:p>
              </w:tc>
              <w:tc>
                <w:tcPr>
                  <w:tcW w:w="3031" w:type="pct"/>
                  <w:vAlign w:val="center"/>
                </w:tcPr>
                <w:p w14:paraId="1BFC5BC6">
                  <w:pPr>
                    <w:pStyle w:val="29"/>
                    <w:overflowPunct w:val="0"/>
                    <w:autoSpaceDE w:val="0"/>
                    <w:autoSpaceDN w:val="0"/>
                    <w:rPr>
                      <w:sz w:val="21"/>
                      <w:szCs w:val="21"/>
                    </w:rPr>
                  </w:pPr>
                  <w:r>
                    <w:rPr>
                      <w:sz w:val="21"/>
                      <w:szCs w:val="21"/>
                    </w:rPr>
                    <w:t>存放于制胶原料暂存区占地约20m</w:t>
                  </w:r>
                  <w:r>
                    <w:rPr>
                      <w:sz w:val="21"/>
                      <w:szCs w:val="21"/>
                      <w:vertAlign w:val="superscript"/>
                    </w:rPr>
                    <w:t>3</w:t>
                  </w:r>
                  <w:r>
                    <w:rPr>
                      <w:sz w:val="21"/>
                      <w:szCs w:val="21"/>
                    </w:rPr>
                    <w:t>，位于原纸暂存区西侧最大储存量为0.3t。</w:t>
                  </w:r>
                </w:p>
              </w:tc>
              <w:tc>
                <w:tcPr>
                  <w:tcW w:w="592" w:type="pct"/>
                  <w:vMerge w:val="continue"/>
                  <w:vAlign w:val="center"/>
                </w:tcPr>
                <w:p w14:paraId="3B59875B">
                  <w:pPr>
                    <w:pStyle w:val="29"/>
                    <w:overflowPunct w:val="0"/>
                    <w:autoSpaceDE w:val="0"/>
                    <w:autoSpaceDN w:val="0"/>
                    <w:rPr>
                      <w:sz w:val="21"/>
                      <w:szCs w:val="21"/>
                    </w:rPr>
                  </w:pPr>
                </w:p>
              </w:tc>
            </w:tr>
            <w:tr w14:paraId="5E00D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continue"/>
                  <w:vAlign w:val="center"/>
                </w:tcPr>
                <w:p w14:paraId="4EBEC21F">
                  <w:pPr>
                    <w:pStyle w:val="29"/>
                    <w:overflowPunct w:val="0"/>
                    <w:autoSpaceDE w:val="0"/>
                    <w:autoSpaceDN w:val="0"/>
                    <w:rPr>
                      <w:sz w:val="21"/>
                      <w:szCs w:val="21"/>
                    </w:rPr>
                  </w:pPr>
                </w:p>
              </w:tc>
              <w:tc>
                <w:tcPr>
                  <w:tcW w:w="260" w:type="pct"/>
                  <w:vMerge w:val="continue"/>
                  <w:vAlign w:val="center"/>
                </w:tcPr>
                <w:p w14:paraId="0729F74E">
                  <w:pPr>
                    <w:pStyle w:val="29"/>
                    <w:overflowPunct w:val="0"/>
                    <w:autoSpaceDE w:val="0"/>
                    <w:autoSpaceDN w:val="0"/>
                    <w:rPr>
                      <w:sz w:val="21"/>
                      <w:szCs w:val="21"/>
                    </w:rPr>
                  </w:pPr>
                </w:p>
              </w:tc>
              <w:tc>
                <w:tcPr>
                  <w:tcW w:w="672" w:type="pct"/>
                  <w:vAlign w:val="center"/>
                </w:tcPr>
                <w:p w14:paraId="70012F38">
                  <w:pPr>
                    <w:pStyle w:val="29"/>
                    <w:overflowPunct w:val="0"/>
                    <w:autoSpaceDE w:val="0"/>
                    <w:autoSpaceDN w:val="0"/>
                    <w:rPr>
                      <w:sz w:val="21"/>
                      <w:szCs w:val="21"/>
                    </w:rPr>
                  </w:pPr>
                  <w:r>
                    <w:rPr>
                      <w:sz w:val="21"/>
                      <w:szCs w:val="21"/>
                    </w:rPr>
                    <w:t>水性油墨</w:t>
                  </w:r>
                </w:p>
              </w:tc>
              <w:tc>
                <w:tcPr>
                  <w:tcW w:w="3031" w:type="pct"/>
                  <w:vAlign w:val="center"/>
                </w:tcPr>
                <w:p w14:paraId="787D66E9">
                  <w:pPr>
                    <w:pStyle w:val="29"/>
                    <w:overflowPunct w:val="0"/>
                    <w:autoSpaceDE w:val="0"/>
                    <w:autoSpaceDN w:val="0"/>
                    <w:rPr>
                      <w:sz w:val="21"/>
                      <w:szCs w:val="21"/>
                    </w:rPr>
                  </w:pPr>
                  <w:r>
                    <w:rPr>
                      <w:sz w:val="21"/>
                      <w:szCs w:val="21"/>
                    </w:rPr>
                    <w:t>存放于原料仓库，位于厂区西南侧中段，占地面积10m</w:t>
                  </w:r>
                  <w:r>
                    <w:rPr>
                      <w:sz w:val="21"/>
                      <w:szCs w:val="21"/>
                      <w:vertAlign w:val="superscript"/>
                    </w:rPr>
                    <w:t>2</w:t>
                  </w:r>
                  <w:r>
                    <w:rPr>
                      <w:sz w:val="21"/>
                      <w:szCs w:val="21"/>
                    </w:rPr>
                    <w:t>最大储存量为0.08t。</w:t>
                  </w:r>
                </w:p>
              </w:tc>
              <w:tc>
                <w:tcPr>
                  <w:tcW w:w="592" w:type="pct"/>
                  <w:vMerge w:val="continue"/>
                  <w:vAlign w:val="center"/>
                </w:tcPr>
                <w:p w14:paraId="7DE1E450">
                  <w:pPr>
                    <w:pStyle w:val="29"/>
                    <w:overflowPunct w:val="0"/>
                    <w:autoSpaceDE w:val="0"/>
                    <w:autoSpaceDN w:val="0"/>
                    <w:rPr>
                      <w:sz w:val="21"/>
                      <w:szCs w:val="21"/>
                    </w:rPr>
                  </w:pPr>
                </w:p>
              </w:tc>
            </w:tr>
            <w:tr w14:paraId="03787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continue"/>
                  <w:vAlign w:val="center"/>
                </w:tcPr>
                <w:p w14:paraId="6085AE28">
                  <w:pPr>
                    <w:pStyle w:val="29"/>
                    <w:overflowPunct w:val="0"/>
                    <w:autoSpaceDE w:val="0"/>
                    <w:autoSpaceDN w:val="0"/>
                    <w:rPr>
                      <w:sz w:val="21"/>
                      <w:szCs w:val="21"/>
                    </w:rPr>
                  </w:pPr>
                </w:p>
              </w:tc>
              <w:tc>
                <w:tcPr>
                  <w:tcW w:w="260" w:type="pct"/>
                  <w:vMerge w:val="continue"/>
                  <w:vAlign w:val="center"/>
                </w:tcPr>
                <w:p w14:paraId="0377120C">
                  <w:pPr>
                    <w:pStyle w:val="29"/>
                    <w:overflowPunct w:val="0"/>
                    <w:autoSpaceDE w:val="0"/>
                    <w:autoSpaceDN w:val="0"/>
                    <w:rPr>
                      <w:sz w:val="21"/>
                      <w:szCs w:val="21"/>
                    </w:rPr>
                  </w:pPr>
                </w:p>
              </w:tc>
              <w:tc>
                <w:tcPr>
                  <w:tcW w:w="672" w:type="pct"/>
                  <w:vAlign w:val="center"/>
                </w:tcPr>
                <w:p w14:paraId="09FBFDDA">
                  <w:pPr>
                    <w:pStyle w:val="29"/>
                    <w:overflowPunct w:val="0"/>
                    <w:autoSpaceDE w:val="0"/>
                    <w:autoSpaceDN w:val="0"/>
                    <w:rPr>
                      <w:sz w:val="21"/>
                      <w:szCs w:val="21"/>
                    </w:rPr>
                  </w:pPr>
                  <w:r>
                    <w:rPr>
                      <w:sz w:val="21"/>
                      <w:szCs w:val="21"/>
                    </w:rPr>
                    <w:t>扁丝</w:t>
                  </w:r>
                </w:p>
              </w:tc>
              <w:tc>
                <w:tcPr>
                  <w:tcW w:w="3031" w:type="pct"/>
                  <w:vAlign w:val="center"/>
                </w:tcPr>
                <w:p w14:paraId="23463D1C">
                  <w:pPr>
                    <w:pStyle w:val="29"/>
                    <w:overflowPunct w:val="0"/>
                    <w:autoSpaceDE w:val="0"/>
                    <w:autoSpaceDN w:val="0"/>
                    <w:rPr>
                      <w:sz w:val="21"/>
                      <w:szCs w:val="21"/>
                    </w:rPr>
                  </w:pPr>
                  <w:r>
                    <w:rPr>
                      <w:sz w:val="21"/>
                      <w:szCs w:val="21"/>
                    </w:rPr>
                    <w:t>存放于原料仓库，位于厂区西南侧中段，占地面积10m</w:t>
                  </w:r>
                  <w:r>
                    <w:rPr>
                      <w:sz w:val="21"/>
                      <w:szCs w:val="21"/>
                      <w:vertAlign w:val="superscript"/>
                    </w:rPr>
                    <w:t>2</w:t>
                  </w:r>
                  <w:r>
                    <w:rPr>
                      <w:sz w:val="21"/>
                      <w:szCs w:val="21"/>
                    </w:rPr>
                    <w:t>最大储存量为0.16t。</w:t>
                  </w:r>
                </w:p>
              </w:tc>
              <w:tc>
                <w:tcPr>
                  <w:tcW w:w="592" w:type="pct"/>
                  <w:vMerge w:val="continue"/>
                  <w:vAlign w:val="center"/>
                </w:tcPr>
                <w:p w14:paraId="58A31564">
                  <w:pPr>
                    <w:pStyle w:val="29"/>
                    <w:overflowPunct w:val="0"/>
                    <w:autoSpaceDE w:val="0"/>
                    <w:autoSpaceDN w:val="0"/>
                    <w:rPr>
                      <w:sz w:val="21"/>
                      <w:szCs w:val="21"/>
                    </w:rPr>
                  </w:pPr>
                </w:p>
              </w:tc>
            </w:tr>
            <w:tr w14:paraId="2B9EC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443" w:type="pct"/>
                  <w:vMerge w:val="continue"/>
                  <w:vAlign w:val="center"/>
                </w:tcPr>
                <w:p w14:paraId="4046D55F">
                  <w:pPr>
                    <w:pStyle w:val="29"/>
                    <w:overflowPunct w:val="0"/>
                    <w:autoSpaceDE w:val="0"/>
                    <w:autoSpaceDN w:val="0"/>
                    <w:rPr>
                      <w:sz w:val="21"/>
                      <w:szCs w:val="21"/>
                    </w:rPr>
                  </w:pPr>
                </w:p>
              </w:tc>
              <w:tc>
                <w:tcPr>
                  <w:tcW w:w="260" w:type="pct"/>
                  <w:vMerge w:val="continue"/>
                  <w:vAlign w:val="center"/>
                </w:tcPr>
                <w:p w14:paraId="78746717">
                  <w:pPr>
                    <w:pStyle w:val="29"/>
                    <w:overflowPunct w:val="0"/>
                    <w:autoSpaceDE w:val="0"/>
                    <w:autoSpaceDN w:val="0"/>
                    <w:rPr>
                      <w:sz w:val="21"/>
                      <w:szCs w:val="21"/>
                    </w:rPr>
                  </w:pPr>
                </w:p>
              </w:tc>
              <w:tc>
                <w:tcPr>
                  <w:tcW w:w="672" w:type="pct"/>
                  <w:vAlign w:val="center"/>
                </w:tcPr>
                <w:p w14:paraId="24A3C56F">
                  <w:pPr>
                    <w:pStyle w:val="29"/>
                    <w:overflowPunct w:val="0"/>
                    <w:autoSpaceDE w:val="0"/>
                    <w:autoSpaceDN w:val="0"/>
                    <w:rPr>
                      <w:sz w:val="21"/>
                      <w:szCs w:val="21"/>
                    </w:rPr>
                  </w:pPr>
                  <w:r>
                    <w:rPr>
                      <w:sz w:val="21"/>
                      <w:szCs w:val="21"/>
                    </w:rPr>
                    <w:t>机油</w:t>
                  </w:r>
                </w:p>
              </w:tc>
              <w:tc>
                <w:tcPr>
                  <w:tcW w:w="3031" w:type="pct"/>
                  <w:vAlign w:val="center"/>
                </w:tcPr>
                <w:p w14:paraId="39D9F257">
                  <w:pPr>
                    <w:pStyle w:val="29"/>
                    <w:overflowPunct w:val="0"/>
                    <w:autoSpaceDE w:val="0"/>
                    <w:autoSpaceDN w:val="0"/>
                    <w:rPr>
                      <w:sz w:val="21"/>
                      <w:szCs w:val="21"/>
                    </w:rPr>
                  </w:pPr>
                  <w:r>
                    <w:rPr>
                      <w:sz w:val="21"/>
                      <w:szCs w:val="21"/>
                    </w:rPr>
                    <w:t>存放于原料仓库，位于厂区西南侧中段，占地面积10m</w:t>
                  </w:r>
                  <w:r>
                    <w:rPr>
                      <w:sz w:val="21"/>
                      <w:szCs w:val="21"/>
                      <w:vertAlign w:val="superscript"/>
                    </w:rPr>
                    <w:t>2</w:t>
                  </w:r>
                  <w:r>
                    <w:rPr>
                      <w:sz w:val="21"/>
                      <w:szCs w:val="21"/>
                    </w:rPr>
                    <w:t>最大储存量为0.1t。</w:t>
                  </w:r>
                </w:p>
              </w:tc>
              <w:tc>
                <w:tcPr>
                  <w:tcW w:w="592" w:type="pct"/>
                  <w:vMerge w:val="continue"/>
                  <w:vAlign w:val="center"/>
                </w:tcPr>
                <w:p w14:paraId="7932C43A">
                  <w:pPr>
                    <w:pStyle w:val="29"/>
                    <w:overflowPunct w:val="0"/>
                    <w:autoSpaceDE w:val="0"/>
                    <w:autoSpaceDN w:val="0"/>
                    <w:rPr>
                      <w:sz w:val="21"/>
                      <w:szCs w:val="21"/>
                    </w:rPr>
                  </w:pPr>
                </w:p>
              </w:tc>
            </w:tr>
            <w:tr w14:paraId="409B1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443" w:type="pct"/>
                  <w:vMerge w:val="continue"/>
                  <w:vAlign w:val="center"/>
                </w:tcPr>
                <w:p w14:paraId="069E24E9">
                  <w:pPr>
                    <w:pStyle w:val="29"/>
                    <w:overflowPunct w:val="0"/>
                    <w:autoSpaceDE w:val="0"/>
                    <w:autoSpaceDN w:val="0"/>
                    <w:rPr>
                      <w:sz w:val="21"/>
                      <w:szCs w:val="21"/>
                    </w:rPr>
                  </w:pPr>
                </w:p>
              </w:tc>
              <w:tc>
                <w:tcPr>
                  <w:tcW w:w="932" w:type="pct"/>
                  <w:gridSpan w:val="2"/>
                  <w:vAlign w:val="center"/>
                </w:tcPr>
                <w:p w14:paraId="7BFAA5C1">
                  <w:pPr>
                    <w:pStyle w:val="29"/>
                    <w:overflowPunct w:val="0"/>
                    <w:autoSpaceDE w:val="0"/>
                    <w:autoSpaceDN w:val="0"/>
                    <w:rPr>
                      <w:sz w:val="21"/>
                      <w:szCs w:val="21"/>
                    </w:rPr>
                  </w:pPr>
                  <w:r>
                    <w:rPr>
                      <w:sz w:val="21"/>
                      <w:szCs w:val="21"/>
                    </w:rPr>
                    <w:t>成品暂存区</w:t>
                  </w:r>
                </w:p>
              </w:tc>
              <w:tc>
                <w:tcPr>
                  <w:tcW w:w="3031" w:type="pct"/>
                  <w:vAlign w:val="center"/>
                </w:tcPr>
                <w:p w14:paraId="59B5D645">
                  <w:pPr>
                    <w:pStyle w:val="29"/>
                    <w:overflowPunct w:val="0"/>
                    <w:autoSpaceDE w:val="0"/>
                    <w:autoSpaceDN w:val="0"/>
                    <w:rPr>
                      <w:sz w:val="21"/>
                      <w:szCs w:val="21"/>
                    </w:rPr>
                  </w:pPr>
                  <w:r>
                    <w:rPr>
                      <w:sz w:val="21"/>
                      <w:szCs w:val="21"/>
                    </w:rPr>
                    <w:t>占地2000m</w:t>
                  </w:r>
                  <w:r>
                    <w:rPr>
                      <w:sz w:val="21"/>
                      <w:szCs w:val="21"/>
                      <w:vertAlign w:val="superscript"/>
                    </w:rPr>
                    <w:t>2</w:t>
                  </w:r>
                  <w:r>
                    <w:rPr>
                      <w:sz w:val="21"/>
                      <w:szCs w:val="21"/>
                    </w:rPr>
                    <w:t>，位于厂房西侧，主要存放成品纸板、纸箱。</w:t>
                  </w:r>
                </w:p>
              </w:tc>
              <w:tc>
                <w:tcPr>
                  <w:tcW w:w="592" w:type="pct"/>
                  <w:vMerge w:val="continue"/>
                  <w:vAlign w:val="center"/>
                </w:tcPr>
                <w:p w14:paraId="2FEA0A55">
                  <w:pPr>
                    <w:pStyle w:val="29"/>
                    <w:overflowPunct w:val="0"/>
                    <w:autoSpaceDE w:val="0"/>
                    <w:autoSpaceDN w:val="0"/>
                    <w:rPr>
                      <w:sz w:val="21"/>
                      <w:szCs w:val="21"/>
                    </w:rPr>
                  </w:pPr>
                </w:p>
              </w:tc>
            </w:tr>
            <w:tr w14:paraId="61FA9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443" w:type="pct"/>
                  <w:vMerge w:val="continue"/>
                  <w:vAlign w:val="center"/>
                </w:tcPr>
                <w:p w14:paraId="19A5CD04">
                  <w:pPr>
                    <w:pStyle w:val="29"/>
                    <w:overflowPunct w:val="0"/>
                    <w:autoSpaceDE w:val="0"/>
                    <w:autoSpaceDN w:val="0"/>
                    <w:rPr>
                      <w:sz w:val="21"/>
                      <w:szCs w:val="21"/>
                    </w:rPr>
                  </w:pPr>
                </w:p>
              </w:tc>
              <w:tc>
                <w:tcPr>
                  <w:tcW w:w="932" w:type="pct"/>
                  <w:gridSpan w:val="2"/>
                  <w:vAlign w:val="center"/>
                </w:tcPr>
                <w:p w14:paraId="08B6D059">
                  <w:pPr>
                    <w:pStyle w:val="29"/>
                    <w:overflowPunct w:val="0"/>
                    <w:autoSpaceDE w:val="0"/>
                    <w:autoSpaceDN w:val="0"/>
                    <w:rPr>
                      <w:sz w:val="21"/>
                      <w:szCs w:val="21"/>
                    </w:rPr>
                  </w:pPr>
                  <w:r>
                    <w:rPr>
                      <w:sz w:val="21"/>
                      <w:szCs w:val="21"/>
                    </w:rPr>
                    <w:t>半成品暂存区</w:t>
                  </w:r>
                </w:p>
              </w:tc>
              <w:tc>
                <w:tcPr>
                  <w:tcW w:w="3031" w:type="pct"/>
                  <w:vAlign w:val="center"/>
                </w:tcPr>
                <w:p w14:paraId="68639B28">
                  <w:pPr>
                    <w:pStyle w:val="29"/>
                    <w:overflowPunct w:val="0"/>
                    <w:autoSpaceDE w:val="0"/>
                    <w:autoSpaceDN w:val="0"/>
                    <w:rPr>
                      <w:sz w:val="21"/>
                      <w:szCs w:val="21"/>
                    </w:rPr>
                  </w:pPr>
                  <w:r>
                    <w:rPr>
                      <w:sz w:val="21"/>
                      <w:szCs w:val="21"/>
                    </w:rPr>
                    <w:t>占地1000m</w:t>
                  </w:r>
                  <w:r>
                    <w:rPr>
                      <w:sz w:val="21"/>
                      <w:szCs w:val="21"/>
                      <w:vertAlign w:val="superscript"/>
                    </w:rPr>
                    <w:t>2</w:t>
                  </w:r>
                  <w:r>
                    <w:rPr>
                      <w:sz w:val="21"/>
                      <w:szCs w:val="21"/>
                    </w:rPr>
                    <w:t>，位于厂房成品暂存区北侧，主要存放半成品纸板、纸箱。</w:t>
                  </w:r>
                </w:p>
              </w:tc>
              <w:tc>
                <w:tcPr>
                  <w:tcW w:w="592" w:type="pct"/>
                  <w:vMerge w:val="continue"/>
                  <w:vAlign w:val="center"/>
                </w:tcPr>
                <w:p w14:paraId="5044298B">
                  <w:pPr>
                    <w:pStyle w:val="29"/>
                    <w:overflowPunct w:val="0"/>
                    <w:autoSpaceDE w:val="0"/>
                    <w:autoSpaceDN w:val="0"/>
                    <w:rPr>
                      <w:sz w:val="21"/>
                      <w:szCs w:val="21"/>
                    </w:rPr>
                  </w:pPr>
                </w:p>
              </w:tc>
            </w:tr>
            <w:tr w14:paraId="7C2CD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443" w:type="pct"/>
                  <w:vMerge w:val="restart"/>
                  <w:vAlign w:val="center"/>
                </w:tcPr>
                <w:p w14:paraId="6543984A">
                  <w:pPr>
                    <w:pStyle w:val="29"/>
                    <w:overflowPunct w:val="0"/>
                    <w:autoSpaceDE w:val="0"/>
                    <w:autoSpaceDN w:val="0"/>
                    <w:rPr>
                      <w:sz w:val="21"/>
                      <w:szCs w:val="21"/>
                    </w:rPr>
                  </w:pPr>
                  <w:r>
                    <w:rPr>
                      <w:sz w:val="21"/>
                      <w:szCs w:val="21"/>
                    </w:rPr>
                    <w:t>辅助工程</w:t>
                  </w:r>
                </w:p>
              </w:tc>
              <w:tc>
                <w:tcPr>
                  <w:tcW w:w="932" w:type="pct"/>
                  <w:gridSpan w:val="2"/>
                  <w:vAlign w:val="center"/>
                </w:tcPr>
                <w:p w14:paraId="6D364E55">
                  <w:pPr>
                    <w:pStyle w:val="29"/>
                    <w:overflowPunct w:val="0"/>
                    <w:autoSpaceDE w:val="0"/>
                    <w:autoSpaceDN w:val="0"/>
                    <w:rPr>
                      <w:sz w:val="21"/>
                      <w:szCs w:val="21"/>
                    </w:rPr>
                  </w:pPr>
                  <w:r>
                    <w:rPr>
                      <w:sz w:val="21"/>
                      <w:szCs w:val="21"/>
                    </w:rPr>
                    <w:t>办公区</w:t>
                  </w:r>
                </w:p>
              </w:tc>
              <w:tc>
                <w:tcPr>
                  <w:tcW w:w="3031" w:type="pct"/>
                  <w:vAlign w:val="center"/>
                </w:tcPr>
                <w:p w14:paraId="576811F5">
                  <w:pPr>
                    <w:pStyle w:val="29"/>
                    <w:overflowPunct w:val="0"/>
                    <w:autoSpaceDE w:val="0"/>
                    <w:autoSpaceDN w:val="0"/>
                    <w:rPr>
                      <w:sz w:val="21"/>
                      <w:szCs w:val="21"/>
                    </w:rPr>
                  </w:pPr>
                  <w:r>
                    <w:rPr>
                      <w:sz w:val="21"/>
                      <w:szCs w:val="21"/>
                    </w:rPr>
                    <w:t>位于厂房西南侧，建筑面积为100m</w:t>
                  </w:r>
                  <w:r>
                    <w:rPr>
                      <w:sz w:val="21"/>
                      <w:szCs w:val="21"/>
                      <w:vertAlign w:val="superscript"/>
                    </w:rPr>
                    <w:t>2</w:t>
                  </w:r>
                  <w:r>
                    <w:rPr>
                      <w:sz w:val="21"/>
                      <w:szCs w:val="21"/>
                    </w:rPr>
                    <w:t>，用于综合办公。</w:t>
                  </w:r>
                </w:p>
              </w:tc>
              <w:tc>
                <w:tcPr>
                  <w:tcW w:w="592" w:type="pct"/>
                  <w:vMerge w:val="continue"/>
                  <w:vAlign w:val="center"/>
                </w:tcPr>
                <w:p w14:paraId="4E85C03D">
                  <w:pPr>
                    <w:pStyle w:val="29"/>
                    <w:overflowPunct w:val="0"/>
                    <w:autoSpaceDE w:val="0"/>
                    <w:autoSpaceDN w:val="0"/>
                    <w:rPr>
                      <w:sz w:val="21"/>
                      <w:szCs w:val="21"/>
                    </w:rPr>
                  </w:pPr>
                </w:p>
              </w:tc>
            </w:tr>
            <w:tr w14:paraId="283E6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443" w:type="pct"/>
                  <w:vMerge w:val="continue"/>
                  <w:vAlign w:val="center"/>
                </w:tcPr>
                <w:p w14:paraId="5EF44FF8">
                  <w:pPr>
                    <w:pStyle w:val="29"/>
                    <w:overflowPunct w:val="0"/>
                    <w:autoSpaceDE w:val="0"/>
                    <w:autoSpaceDN w:val="0"/>
                    <w:rPr>
                      <w:sz w:val="21"/>
                      <w:szCs w:val="21"/>
                    </w:rPr>
                  </w:pPr>
                </w:p>
              </w:tc>
              <w:tc>
                <w:tcPr>
                  <w:tcW w:w="932" w:type="pct"/>
                  <w:gridSpan w:val="2"/>
                  <w:vAlign w:val="center"/>
                </w:tcPr>
                <w:p w14:paraId="5DACB761">
                  <w:pPr>
                    <w:pStyle w:val="29"/>
                    <w:overflowPunct w:val="0"/>
                    <w:autoSpaceDE w:val="0"/>
                    <w:autoSpaceDN w:val="0"/>
                    <w:rPr>
                      <w:sz w:val="21"/>
                      <w:szCs w:val="21"/>
                    </w:rPr>
                  </w:pPr>
                  <w:r>
                    <w:rPr>
                      <w:sz w:val="21"/>
                      <w:szCs w:val="21"/>
                    </w:rPr>
                    <w:t>食堂</w:t>
                  </w:r>
                </w:p>
              </w:tc>
              <w:tc>
                <w:tcPr>
                  <w:tcW w:w="3031" w:type="pct"/>
                  <w:vAlign w:val="center"/>
                </w:tcPr>
                <w:p w14:paraId="4603FFB8">
                  <w:pPr>
                    <w:pStyle w:val="29"/>
                    <w:rPr>
                      <w:sz w:val="21"/>
                      <w:szCs w:val="21"/>
                    </w:rPr>
                  </w:pPr>
                  <w:r>
                    <w:rPr>
                      <w:sz w:val="21"/>
                      <w:szCs w:val="21"/>
                    </w:rPr>
                    <w:t>位于办公区西侧，建筑面积10m</w:t>
                  </w:r>
                  <w:r>
                    <w:rPr>
                      <w:sz w:val="21"/>
                      <w:szCs w:val="21"/>
                      <w:vertAlign w:val="superscript"/>
                    </w:rPr>
                    <w:t>2</w:t>
                  </w:r>
                </w:p>
              </w:tc>
              <w:tc>
                <w:tcPr>
                  <w:tcW w:w="592" w:type="pct"/>
                  <w:vMerge w:val="continue"/>
                  <w:vAlign w:val="center"/>
                </w:tcPr>
                <w:p w14:paraId="22761CDF">
                  <w:pPr>
                    <w:pStyle w:val="29"/>
                    <w:overflowPunct w:val="0"/>
                    <w:autoSpaceDE w:val="0"/>
                    <w:autoSpaceDN w:val="0"/>
                    <w:rPr>
                      <w:sz w:val="21"/>
                      <w:szCs w:val="21"/>
                    </w:rPr>
                  </w:pPr>
                </w:p>
              </w:tc>
            </w:tr>
            <w:tr w14:paraId="2E47D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trPr>
              <w:tc>
                <w:tcPr>
                  <w:tcW w:w="443" w:type="pct"/>
                  <w:vMerge w:val="restart"/>
                  <w:vAlign w:val="center"/>
                </w:tcPr>
                <w:p w14:paraId="7D14DD08">
                  <w:pPr>
                    <w:pStyle w:val="29"/>
                    <w:overflowPunct w:val="0"/>
                    <w:autoSpaceDE w:val="0"/>
                    <w:autoSpaceDN w:val="0"/>
                    <w:rPr>
                      <w:sz w:val="21"/>
                      <w:szCs w:val="21"/>
                    </w:rPr>
                  </w:pPr>
                  <w:r>
                    <w:rPr>
                      <w:sz w:val="21"/>
                      <w:szCs w:val="21"/>
                    </w:rPr>
                    <w:t>公用工程</w:t>
                  </w:r>
                </w:p>
              </w:tc>
              <w:tc>
                <w:tcPr>
                  <w:tcW w:w="932" w:type="pct"/>
                  <w:gridSpan w:val="2"/>
                  <w:vAlign w:val="center"/>
                </w:tcPr>
                <w:p w14:paraId="247065B5">
                  <w:pPr>
                    <w:pStyle w:val="29"/>
                    <w:overflowPunct w:val="0"/>
                    <w:autoSpaceDE w:val="0"/>
                    <w:autoSpaceDN w:val="0"/>
                    <w:rPr>
                      <w:sz w:val="21"/>
                      <w:szCs w:val="21"/>
                    </w:rPr>
                  </w:pPr>
                  <w:r>
                    <w:rPr>
                      <w:sz w:val="21"/>
                      <w:szCs w:val="21"/>
                    </w:rPr>
                    <w:t>供电</w:t>
                  </w:r>
                </w:p>
              </w:tc>
              <w:tc>
                <w:tcPr>
                  <w:tcW w:w="3031" w:type="pct"/>
                  <w:vAlign w:val="center"/>
                </w:tcPr>
                <w:p w14:paraId="06FA9684">
                  <w:pPr>
                    <w:pStyle w:val="29"/>
                    <w:overflowPunct w:val="0"/>
                    <w:autoSpaceDE w:val="0"/>
                    <w:autoSpaceDN w:val="0"/>
                    <w:rPr>
                      <w:sz w:val="21"/>
                      <w:szCs w:val="21"/>
                    </w:rPr>
                  </w:pPr>
                  <w:r>
                    <w:rPr>
                      <w:sz w:val="21"/>
                      <w:szCs w:val="21"/>
                    </w:rPr>
                    <w:t>市政电网供应，年用电量18万kW·h。</w:t>
                  </w:r>
                </w:p>
              </w:tc>
              <w:tc>
                <w:tcPr>
                  <w:tcW w:w="592" w:type="pct"/>
                  <w:vAlign w:val="center"/>
                </w:tcPr>
                <w:p w14:paraId="566CFD8D">
                  <w:pPr>
                    <w:pStyle w:val="29"/>
                    <w:overflowPunct w:val="0"/>
                    <w:autoSpaceDE w:val="0"/>
                    <w:autoSpaceDN w:val="0"/>
                    <w:rPr>
                      <w:sz w:val="21"/>
                      <w:szCs w:val="21"/>
                    </w:rPr>
                  </w:pPr>
                  <w:r>
                    <w:rPr>
                      <w:sz w:val="21"/>
                      <w:szCs w:val="21"/>
                    </w:rPr>
                    <w:t>依托</w:t>
                  </w:r>
                </w:p>
              </w:tc>
            </w:tr>
            <w:tr w14:paraId="56BC0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3" w:type="pct"/>
                  <w:vMerge w:val="continue"/>
                  <w:vAlign w:val="center"/>
                </w:tcPr>
                <w:p w14:paraId="15BD5A3B">
                  <w:pPr>
                    <w:pStyle w:val="29"/>
                    <w:overflowPunct w:val="0"/>
                    <w:autoSpaceDE w:val="0"/>
                    <w:autoSpaceDN w:val="0"/>
                    <w:rPr>
                      <w:sz w:val="21"/>
                      <w:szCs w:val="21"/>
                    </w:rPr>
                  </w:pPr>
                </w:p>
              </w:tc>
              <w:tc>
                <w:tcPr>
                  <w:tcW w:w="932" w:type="pct"/>
                  <w:gridSpan w:val="2"/>
                  <w:vAlign w:val="center"/>
                </w:tcPr>
                <w:p w14:paraId="1C3B45E7">
                  <w:pPr>
                    <w:pStyle w:val="29"/>
                    <w:overflowPunct w:val="0"/>
                    <w:autoSpaceDE w:val="0"/>
                    <w:autoSpaceDN w:val="0"/>
                    <w:rPr>
                      <w:sz w:val="21"/>
                      <w:szCs w:val="21"/>
                    </w:rPr>
                  </w:pPr>
                  <w:r>
                    <w:rPr>
                      <w:sz w:val="21"/>
                      <w:szCs w:val="21"/>
                    </w:rPr>
                    <w:t>给水</w:t>
                  </w:r>
                </w:p>
              </w:tc>
              <w:tc>
                <w:tcPr>
                  <w:tcW w:w="3031" w:type="pct"/>
                  <w:vAlign w:val="center"/>
                </w:tcPr>
                <w:p w14:paraId="28F578CD">
                  <w:pPr>
                    <w:pStyle w:val="29"/>
                    <w:overflowPunct w:val="0"/>
                    <w:autoSpaceDE w:val="0"/>
                    <w:autoSpaceDN w:val="0"/>
                    <w:rPr>
                      <w:sz w:val="21"/>
                      <w:szCs w:val="21"/>
                    </w:rPr>
                  </w:pPr>
                  <w:r>
                    <w:rPr>
                      <w:sz w:val="21"/>
                      <w:szCs w:val="21"/>
                    </w:rPr>
                    <w:t>市政管网自来水供应，用水量8044t/a。</w:t>
                  </w:r>
                </w:p>
              </w:tc>
              <w:tc>
                <w:tcPr>
                  <w:tcW w:w="592" w:type="pct"/>
                  <w:vAlign w:val="center"/>
                </w:tcPr>
                <w:p w14:paraId="6C2807B1">
                  <w:pPr>
                    <w:pStyle w:val="29"/>
                    <w:overflowPunct w:val="0"/>
                    <w:autoSpaceDE w:val="0"/>
                    <w:autoSpaceDN w:val="0"/>
                    <w:rPr>
                      <w:sz w:val="21"/>
                      <w:szCs w:val="21"/>
                    </w:rPr>
                  </w:pPr>
                  <w:r>
                    <w:rPr>
                      <w:sz w:val="21"/>
                      <w:szCs w:val="21"/>
                    </w:rPr>
                    <w:t>依托</w:t>
                  </w:r>
                </w:p>
              </w:tc>
            </w:tr>
            <w:tr w14:paraId="7A3D7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3" w:type="pct"/>
                  <w:vMerge w:val="continue"/>
                  <w:vAlign w:val="center"/>
                </w:tcPr>
                <w:p w14:paraId="0737BC34">
                  <w:pPr>
                    <w:pStyle w:val="29"/>
                    <w:overflowPunct w:val="0"/>
                    <w:autoSpaceDE w:val="0"/>
                    <w:autoSpaceDN w:val="0"/>
                    <w:rPr>
                      <w:sz w:val="21"/>
                      <w:szCs w:val="21"/>
                    </w:rPr>
                  </w:pPr>
                </w:p>
              </w:tc>
              <w:tc>
                <w:tcPr>
                  <w:tcW w:w="932" w:type="pct"/>
                  <w:gridSpan w:val="2"/>
                  <w:vAlign w:val="center"/>
                </w:tcPr>
                <w:p w14:paraId="003BD17D">
                  <w:pPr>
                    <w:pStyle w:val="29"/>
                    <w:overflowPunct w:val="0"/>
                    <w:autoSpaceDE w:val="0"/>
                    <w:autoSpaceDN w:val="0"/>
                    <w:rPr>
                      <w:sz w:val="21"/>
                      <w:szCs w:val="21"/>
                    </w:rPr>
                  </w:pPr>
                  <w:r>
                    <w:rPr>
                      <w:sz w:val="21"/>
                      <w:szCs w:val="21"/>
                    </w:rPr>
                    <w:t>供气</w:t>
                  </w:r>
                </w:p>
              </w:tc>
              <w:tc>
                <w:tcPr>
                  <w:tcW w:w="3031" w:type="pct"/>
                  <w:vAlign w:val="center"/>
                </w:tcPr>
                <w:p w14:paraId="11E05D8A">
                  <w:pPr>
                    <w:pStyle w:val="29"/>
                    <w:overflowPunct w:val="0"/>
                    <w:autoSpaceDE w:val="0"/>
                    <w:autoSpaceDN w:val="0"/>
                    <w:rPr>
                      <w:sz w:val="21"/>
                      <w:szCs w:val="21"/>
                    </w:rPr>
                  </w:pPr>
                  <w:r>
                    <w:rPr>
                      <w:sz w:val="21"/>
                      <w:szCs w:val="21"/>
                    </w:rPr>
                    <w:t>市政天然气管网供应，用气量45万m</w:t>
                  </w:r>
                  <w:r>
                    <w:rPr>
                      <w:sz w:val="21"/>
                      <w:szCs w:val="21"/>
                      <w:vertAlign w:val="superscript"/>
                    </w:rPr>
                    <w:t>3</w:t>
                  </w:r>
                  <w:r>
                    <w:rPr>
                      <w:sz w:val="21"/>
                      <w:szCs w:val="21"/>
                    </w:rPr>
                    <w:t>/a。</w:t>
                  </w:r>
                </w:p>
              </w:tc>
              <w:tc>
                <w:tcPr>
                  <w:tcW w:w="592" w:type="pct"/>
                  <w:vAlign w:val="center"/>
                </w:tcPr>
                <w:p w14:paraId="6771224A">
                  <w:pPr>
                    <w:pStyle w:val="29"/>
                    <w:overflowPunct w:val="0"/>
                    <w:autoSpaceDE w:val="0"/>
                    <w:autoSpaceDN w:val="0"/>
                    <w:rPr>
                      <w:sz w:val="21"/>
                      <w:szCs w:val="21"/>
                    </w:rPr>
                  </w:pPr>
                  <w:r>
                    <w:rPr>
                      <w:sz w:val="21"/>
                      <w:szCs w:val="21"/>
                    </w:rPr>
                    <w:t>依托</w:t>
                  </w:r>
                </w:p>
              </w:tc>
            </w:tr>
            <w:tr w14:paraId="0D18C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3" w:type="pct"/>
                  <w:vMerge w:val="continue"/>
                  <w:vAlign w:val="center"/>
                </w:tcPr>
                <w:p w14:paraId="222772B8">
                  <w:pPr>
                    <w:pStyle w:val="29"/>
                    <w:overflowPunct w:val="0"/>
                    <w:autoSpaceDE w:val="0"/>
                    <w:autoSpaceDN w:val="0"/>
                    <w:rPr>
                      <w:sz w:val="21"/>
                      <w:szCs w:val="21"/>
                    </w:rPr>
                  </w:pPr>
                </w:p>
              </w:tc>
              <w:tc>
                <w:tcPr>
                  <w:tcW w:w="932" w:type="pct"/>
                  <w:gridSpan w:val="2"/>
                  <w:vAlign w:val="center"/>
                </w:tcPr>
                <w:p w14:paraId="5E68B2B7">
                  <w:pPr>
                    <w:pStyle w:val="29"/>
                    <w:overflowPunct w:val="0"/>
                    <w:autoSpaceDE w:val="0"/>
                    <w:autoSpaceDN w:val="0"/>
                    <w:rPr>
                      <w:sz w:val="21"/>
                      <w:szCs w:val="21"/>
                    </w:rPr>
                  </w:pPr>
                  <w:r>
                    <w:rPr>
                      <w:sz w:val="21"/>
                      <w:szCs w:val="21"/>
                    </w:rPr>
                    <w:t>排水</w:t>
                  </w:r>
                </w:p>
              </w:tc>
              <w:tc>
                <w:tcPr>
                  <w:tcW w:w="3031" w:type="pct"/>
                  <w:vAlign w:val="center"/>
                </w:tcPr>
                <w:p w14:paraId="719D0752">
                  <w:pPr>
                    <w:pStyle w:val="29"/>
                    <w:overflowPunct w:val="0"/>
                    <w:autoSpaceDE w:val="0"/>
                    <w:autoSpaceDN w:val="0"/>
                    <w:rPr>
                      <w:sz w:val="21"/>
                      <w:szCs w:val="21"/>
                    </w:rPr>
                  </w:pPr>
                  <w:r>
                    <w:rPr>
                      <w:sz w:val="21"/>
                      <w:szCs w:val="21"/>
                    </w:rPr>
                    <w:t>产生的生活污水经化粪池预处理后排入市政污水管网</w:t>
                  </w:r>
                  <w:r>
                    <w:rPr>
                      <w:rFonts w:hint="eastAsia"/>
                      <w:sz w:val="21"/>
                      <w:szCs w:val="21"/>
                      <w:lang w:eastAsia="zh-CN"/>
                    </w:rPr>
                    <w:t>；锅炉废水经新建排污口DW001依托园区污水管网排入八公山污水处理厂</w:t>
                  </w:r>
                  <w:r>
                    <w:rPr>
                      <w:sz w:val="21"/>
                      <w:szCs w:val="21"/>
                    </w:rPr>
                    <w:t>。</w:t>
                  </w:r>
                </w:p>
              </w:tc>
              <w:tc>
                <w:tcPr>
                  <w:tcW w:w="592" w:type="pct"/>
                  <w:vAlign w:val="center"/>
                </w:tcPr>
                <w:p w14:paraId="302EC3C2">
                  <w:pPr>
                    <w:pStyle w:val="29"/>
                    <w:overflowPunct w:val="0"/>
                    <w:autoSpaceDE w:val="0"/>
                    <w:autoSpaceDN w:val="0"/>
                    <w:rPr>
                      <w:rFonts w:hint="eastAsia" w:eastAsia="宋体"/>
                      <w:sz w:val="21"/>
                      <w:szCs w:val="21"/>
                      <w:lang w:val="en-US" w:eastAsia="zh-CN"/>
                    </w:rPr>
                  </w:pPr>
                  <w:r>
                    <w:rPr>
                      <w:sz w:val="21"/>
                      <w:szCs w:val="21"/>
                    </w:rPr>
                    <w:t>依托</w:t>
                  </w:r>
                  <w:r>
                    <w:rPr>
                      <w:rFonts w:hint="eastAsia"/>
                      <w:sz w:val="21"/>
                      <w:szCs w:val="21"/>
                      <w:lang w:val="en-US" w:eastAsia="zh-CN"/>
                    </w:rPr>
                    <w:t>+新建</w:t>
                  </w:r>
                </w:p>
              </w:tc>
            </w:tr>
            <w:tr w14:paraId="312BD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443" w:type="pct"/>
                  <w:vMerge w:val="restart"/>
                  <w:vAlign w:val="center"/>
                </w:tcPr>
                <w:p w14:paraId="0A1B0B53">
                  <w:pPr>
                    <w:pStyle w:val="29"/>
                    <w:overflowPunct w:val="0"/>
                    <w:autoSpaceDE w:val="0"/>
                    <w:autoSpaceDN w:val="0"/>
                    <w:rPr>
                      <w:sz w:val="21"/>
                      <w:szCs w:val="21"/>
                    </w:rPr>
                  </w:pPr>
                  <w:r>
                    <w:rPr>
                      <w:sz w:val="21"/>
                      <w:szCs w:val="21"/>
                    </w:rPr>
                    <w:t>环保工程</w:t>
                  </w:r>
                </w:p>
              </w:tc>
              <w:tc>
                <w:tcPr>
                  <w:tcW w:w="932" w:type="pct"/>
                  <w:gridSpan w:val="2"/>
                  <w:vAlign w:val="center"/>
                </w:tcPr>
                <w:p w14:paraId="4A8E2FD1">
                  <w:pPr>
                    <w:pStyle w:val="29"/>
                    <w:overflowPunct w:val="0"/>
                    <w:autoSpaceDE w:val="0"/>
                    <w:autoSpaceDN w:val="0"/>
                    <w:rPr>
                      <w:sz w:val="21"/>
                      <w:szCs w:val="21"/>
                    </w:rPr>
                  </w:pPr>
                  <w:r>
                    <w:rPr>
                      <w:sz w:val="21"/>
                      <w:szCs w:val="21"/>
                    </w:rPr>
                    <w:t>废水治理</w:t>
                  </w:r>
                </w:p>
              </w:tc>
              <w:tc>
                <w:tcPr>
                  <w:tcW w:w="3031" w:type="pct"/>
                  <w:vAlign w:val="center"/>
                </w:tcPr>
                <w:p w14:paraId="4BCD3566">
                  <w:pPr>
                    <w:pStyle w:val="29"/>
                    <w:overflowPunct w:val="0"/>
                    <w:autoSpaceDE w:val="0"/>
                    <w:autoSpaceDN w:val="0"/>
                    <w:rPr>
                      <w:sz w:val="21"/>
                      <w:szCs w:val="21"/>
                    </w:rPr>
                  </w:pPr>
                  <w:r>
                    <w:rPr>
                      <w:sz w:val="21"/>
                      <w:szCs w:val="21"/>
                    </w:rPr>
                    <w:t>项目制胶设备冲洗废水收集回用至制胶工序；印刷设备冲洗废液作为危险废物委托有资质单位处置；员工生活污水进入化粪池处理后经市政污水管网排入</w:t>
                  </w:r>
                  <w:r>
                    <w:rPr>
                      <w:rFonts w:hint="default" w:ascii="Times New Roman" w:hAnsi="Times New Roman" w:cs="Times New Roman"/>
                      <w:sz w:val="21"/>
                      <w:szCs w:val="21"/>
                      <w:lang w:eastAsia="zh-CN"/>
                    </w:rPr>
                    <w:t>淮南首创八公山污水处理厂</w:t>
                  </w:r>
                  <w:r>
                    <w:rPr>
                      <w:sz w:val="21"/>
                      <w:szCs w:val="21"/>
                    </w:rPr>
                    <w:t>，</w:t>
                  </w:r>
                  <w:r>
                    <w:rPr>
                      <w:rFonts w:hint="default" w:ascii="Times New Roman" w:hAnsi="Times New Roman" w:cs="Times New Roman"/>
                      <w:bCs/>
                      <w:snapToGrid w:val="0"/>
                      <w:sz w:val="21"/>
                      <w:szCs w:val="21"/>
                      <w:highlight w:val="none"/>
                      <w:shd w:val="clear" w:color="auto" w:fill="FFFFFF"/>
                    </w:rPr>
                    <w:t>锅炉废水经新建排污口DW001依托园区污水管网排入</w:t>
                  </w:r>
                  <w:r>
                    <w:rPr>
                      <w:rFonts w:hint="default" w:ascii="Times New Roman" w:hAnsi="Times New Roman" w:cs="Times New Roman"/>
                      <w:bCs/>
                      <w:snapToGrid w:val="0"/>
                      <w:sz w:val="21"/>
                      <w:szCs w:val="21"/>
                      <w:highlight w:val="none"/>
                      <w:shd w:val="clear" w:color="auto" w:fill="FFFFFF"/>
                      <w:lang w:eastAsia="zh-CN"/>
                    </w:rPr>
                    <w:t>淮南首创八公山污水处理厂</w:t>
                  </w:r>
                  <w:r>
                    <w:rPr>
                      <w:sz w:val="21"/>
                      <w:szCs w:val="21"/>
                      <w:highlight w:val="none"/>
                    </w:rPr>
                    <w:t>。</w:t>
                  </w:r>
                </w:p>
              </w:tc>
              <w:tc>
                <w:tcPr>
                  <w:tcW w:w="592" w:type="pct"/>
                  <w:vAlign w:val="center"/>
                </w:tcPr>
                <w:p w14:paraId="1A86670B">
                  <w:pPr>
                    <w:pStyle w:val="29"/>
                    <w:overflowPunct w:val="0"/>
                    <w:autoSpaceDE w:val="0"/>
                    <w:autoSpaceDN w:val="0"/>
                    <w:rPr>
                      <w:rFonts w:hint="default"/>
                      <w:sz w:val="21"/>
                      <w:szCs w:val="21"/>
                    </w:rPr>
                  </w:pPr>
                  <w:r>
                    <w:rPr>
                      <w:sz w:val="21"/>
                      <w:szCs w:val="21"/>
                    </w:rPr>
                    <w:t>依托</w:t>
                  </w:r>
                  <w:r>
                    <w:rPr>
                      <w:rFonts w:hint="default" w:ascii="Times New Roman" w:hAnsi="Times New Roman" w:cs="Times New Roman"/>
                      <w:sz w:val="21"/>
                      <w:szCs w:val="21"/>
                      <w:lang w:val="en-US" w:eastAsia="zh-CN"/>
                    </w:rPr>
                    <w:t>+新建</w:t>
                  </w:r>
                </w:p>
              </w:tc>
            </w:tr>
            <w:tr w14:paraId="640D1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 w:type="pct"/>
                  <w:vMerge w:val="continue"/>
                  <w:vAlign w:val="center"/>
                </w:tcPr>
                <w:p w14:paraId="79816C14">
                  <w:pPr>
                    <w:pStyle w:val="29"/>
                    <w:overflowPunct w:val="0"/>
                    <w:autoSpaceDE w:val="0"/>
                    <w:autoSpaceDN w:val="0"/>
                    <w:rPr>
                      <w:sz w:val="21"/>
                      <w:szCs w:val="21"/>
                    </w:rPr>
                  </w:pPr>
                </w:p>
              </w:tc>
              <w:tc>
                <w:tcPr>
                  <w:tcW w:w="932" w:type="pct"/>
                  <w:gridSpan w:val="2"/>
                  <w:vAlign w:val="center"/>
                </w:tcPr>
                <w:p w14:paraId="751C3F96">
                  <w:pPr>
                    <w:pStyle w:val="29"/>
                    <w:overflowPunct w:val="0"/>
                    <w:autoSpaceDE w:val="0"/>
                    <w:autoSpaceDN w:val="0"/>
                    <w:rPr>
                      <w:sz w:val="21"/>
                      <w:szCs w:val="21"/>
                    </w:rPr>
                  </w:pPr>
                  <w:r>
                    <w:rPr>
                      <w:sz w:val="21"/>
                      <w:szCs w:val="21"/>
                    </w:rPr>
                    <w:t>废气治理</w:t>
                  </w:r>
                </w:p>
              </w:tc>
              <w:tc>
                <w:tcPr>
                  <w:tcW w:w="3031" w:type="pct"/>
                  <w:vAlign w:val="center"/>
                </w:tcPr>
                <w:p w14:paraId="57C0554D">
                  <w:pPr>
                    <w:pStyle w:val="29"/>
                    <w:overflowPunct w:val="0"/>
                    <w:autoSpaceDE w:val="0"/>
                    <w:autoSpaceDN w:val="0"/>
                    <w:rPr>
                      <w:sz w:val="21"/>
                      <w:szCs w:val="21"/>
                    </w:rPr>
                  </w:pPr>
                  <w:r>
                    <w:rPr>
                      <w:sz w:val="21"/>
                      <w:szCs w:val="21"/>
                    </w:rPr>
                    <w:t>制胶投料在封闭车间内进行，加强通风降低无组织排放影响；印刷过程中产生的印刷废气通过集气罩收集后经“二级活性炭”处理后经1根15米高的排气筒排放。</w:t>
                  </w:r>
                </w:p>
              </w:tc>
              <w:tc>
                <w:tcPr>
                  <w:tcW w:w="592" w:type="pct"/>
                  <w:vAlign w:val="center"/>
                </w:tcPr>
                <w:p w14:paraId="089555E6">
                  <w:pPr>
                    <w:pStyle w:val="29"/>
                    <w:overflowPunct w:val="0"/>
                    <w:autoSpaceDE w:val="0"/>
                    <w:autoSpaceDN w:val="0"/>
                    <w:rPr>
                      <w:sz w:val="21"/>
                      <w:szCs w:val="21"/>
                    </w:rPr>
                  </w:pPr>
                  <w:r>
                    <w:rPr>
                      <w:sz w:val="21"/>
                      <w:szCs w:val="21"/>
                    </w:rPr>
                    <w:t>新建</w:t>
                  </w:r>
                </w:p>
              </w:tc>
            </w:tr>
            <w:tr w14:paraId="68DAE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 w:type="pct"/>
                  <w:vMerge w:val="continue"/>
                  <w:vAlign w:val="center"/>
                </w:tcPr>
                <w:p w14:paraId="64BB7341">
                  <w:pPr>
                    <w:pStyle w:val="29"/>
                    <w:overflowPunct w:val="0"/>
                    <w:autoSpaceDE w:val="0"/>
                    <w:autoSpaceDN w:val="0"/>
                    <w:rPr>
                      <w:sz w:val="21"/>
                      <w:szCs w:val="21"/>
                    </w:rPr>
                  </w:pPr>
                </w:p>
              </w:tc>
              <w:tc>
                <w:tcPr>
                  <w:tcW w:w="932" w:type="pct"/>
                  <w:gridSpan w:val="2"/>
                  <w:vAlign w:val="center"/>
                </w:tcPr>
                <w:p w14:paraId="064181E6">
                  <w:pPr>
                    <w:pStyle w:val="29"/>
                    <w:overflowPunct w:val="0"/>
                    <w:autoSpaceDE w:val="0"/>
                    <w:autoSpaceDN w:val="0"/>
                    <w:rPr>
                      <w:sz w:val="21"/>
                      <w:szCs w:val="21"/>
                    </w:rPr>
                  </w:pPr>
                  <w:r>
                    <w:rPr>
                      <w:sz w:val="21"/>
                      <w:szCs w:val="21"/>
                    </w:rPr>
                    <w:t>噪声治理</w:t>
                  </w:r>
                </w:p>
              </w:tc>
              <w:tc>
                <w:tcPr>
                  <w:tcW w:w="3031" w:type="pct"/>
                  <w:vAlign w:val="center"/>
                </w:tcPr>
                <w:p w14:paraId="1A20FCA5">
                  <w:pPr>
                    <w:pStyle w:val="29"/>
                    <w:overflowPunct w:val="0"/>
                    <w:autoSpaceDE w:val="0"/>
                    <w:autoSpaceDN w:val="0"/>
                    <w:rPr>
                      <w:sz w:val="21"/>
                      <w:szCs w:val="21"/>
                    </w:rPr>
                  </w:pPr>
                  <w:r>
                    <w:rPr>
                      <w:sz w:val="21"/>
                      <w:szCs w:val="21"/>
                    </w:rPr>
                    <w:t>对噪声设备进行合理布局，选用低噪声设备，采取隔声、消声、减震等措施。</w:t>
                  </w:r>
                </w:p>
              </w:tc>
              <w:tc>
                <w:tcPr>
                  <w:tcW w:w="592" w:type="pct"/>
                  <w:vAlign w:val="center"/>
                </w:tcPr>
                <w:p w14:paraId="7E89003B">
                  <w:pPr>
                    <w:pStyle w:val="29"/>
                    <w:overflowPunct w:val="0"/>
                    <w:autoSpaceDE w:val="0"/>
                    <w:autoSpaceDN w:val="0"/>
                    <w:rPr>
                      <w:sz w:val="21"/>
                      <w:szCs w:val="21"/>
                    </w:rPr>
                  </w:pPr>
                  <w:r>
                    <w:rPr>
                      <w:sz w:val="21"/>
                      <w:szCs w:val="21"/>
                    </w:rPr>
                    <w:t>新建</w:t>
                  </w:r>
                </w:p>
              </w:tc>
            </w:tr>
            <w:tr w14:paraId="71727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 w:type="pct"/>
                  <w:vMerge w:val="continue"/>
                  <w:vAlign w:val="center"/>
                </w:tcPr>
                <w:p w14:paraId="30610503">
                  <w:pPr>
                    <w:pStyle w:val="29"/>
                    <w:overflowPunct w:val="0"/>
                    <w:autoSpaceDE w:val="0"/>
                    <w:autoSpaceDN w:val="0"/>
                    <w:rPr>
                      <w:sz w:val="21"/>
                      <w:szCs w:val="21"/>
                    </w:rPr>
                  </w:pPr>
                </w:p>
              </w:tc>
              <w:tc>
                <w:tcPr>
                  <w:tcW w:w="932" w:type="pct"/>
                  <w:gridSpan w:val="2"/>
                  <w:vAlign w:val="center"/>
                </w:tcPr>
                <w:p w14:paraId="150A1504">
                  <w:pPr>
                    <w:pStyle w:val="29"/>
                    <w:overflowPunct w:val="0"/>
                    <w:autoSpaceDE w:val="0"/>
                    <w:autoSpaceDN w:val="0"/>
                    <w:rPr>
                      <w:sz w:val="21"/>
                      <w:szCs w:val="21"/>
                    </w:rPr>
                  </w:pPr>
                  <w:r>
                    <w:rPr>
                      <w:sz w:val="21"/>
                      <w:szCs w:val="21"/>
                    </w:rPr>
                    <w:t>固废处理设施</w:t>
                  </w:r>
                </w:p>
              </w:tc>
              <w:tc>
                <w:tcPr>
                  <w:tcW w:w="3031" w:type="pct"/>
                  <w:vAlign w:val="center"/>
                </w:tcPr>
                <w:p w14:paraId="3ED4F486">
                  <w:pPr>
                    <w:pStyle w:val="29"/>
                    <w:overflowPunct w:val="0"/>
                    <w:autoSpaceDE w:val="0"/>
                    <w:autoSpaceDN w:val="0"/>
                    <w:rPr>
                      <w:sz w:val="21"/>
                      <w:szCs w:val="21"/>
                    </w:rPr>
                  </w:pPr>
                  <w:r>
                    <w:rPr>
                      <w:sz w:val="21"/>
                      <w:szCs w:val="21"/>
                    </w:rPr>
                    <w:t>生活垃圾委托环卫部门清运；危险废物设置10m</w:t>
                  </w:r>
                  <w:r>
                    <w:rPr>
                      <w:sz w:val="21"/>
                      <w:szCs w:val="21"/>
                      <w:vertAlign w:val="superscript"/>
                    </w:rPr>
                    <w:t>2</w:t>
                  </w:r>
                  <w:r>
                    <w:rPr>
                      <w:sz w:val="21"/>
                      <w:szCs w:val="21"/>
                    </w:rPr>
                    <w:t>危废暂存间暂存，并委托有危废处理资质的单位处置。</w:t>
                  </w:r>
                </w:p>
              </w:tc>
              <w:tc>
                <w:tcPr>
                  <w:tcW w:w="592" w:type="pct"/>
                  <w:vAlign w:val="center"/>
                </w:tcPr>
                <w:p w14:paraId="0AB589C1">
                  <w:pPr>
                    <w:pStyle w:val="29"/>
                    <w:overflowPunct w:val="0"/>
                    <w:autoSpaceDE w:val="0"/>
                    <w:autoSpaceDN w:val="0"/>
                    <w:rPr>
                      <w:sz w:val="21"/>
                      <w:szCs w:val="21"/>
                    </w:rPr>
                  </w:pPr>
                  <w:r>
                    <w:rPr>
                      <w:sz w:val="21"/>
                      <w:szCs w:val="21"/>
                    </w:rPr>
                    <w:t>新建</w:t>
                  </w:r>
                </w:p>
              </w:tc>
            </w:tr>
          </w:tbl>
          <w:p w14:paraId="4F9D6317">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2.2.4产品方案</w:t>
            </w:r>
          </w:p>
          <w:p w14:paraId="63EF5879">
            <w:pPr>
              <w:pStyle w:val="45"/>
              <w:adjustRightInd w:val="0"/>
              <w:snapToGrid w:val="0"/>
              <w:ind w:firstLineChars="0"/>
              <w:rPr>
                <w:rFonts w:hint="default" w:ascii="Times New Roman" w:hAnsi="Times New Roman" w:cs="Times New Roman"/>
              </w:rPr>
            </w:pPr>
            <w:r>
              <w:rPr>
                <w:rFonts w:hint="default"/>
                <w:kern w:val="0"/>
                <w:szCs w:val="20"/>
              </w:rPr>
              <w:t>项目建成后，可形成年加工5000万平方米包装材料的生产能力。具体年产品方案见下表：</w:t>
            </w:r>
          </w:p>
          <w:p w14:paraId="7022021B">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2-5 主要产品方案一览表</w:t>
            </w:r>
          </w:p>
          <w:tbl>
            <w:tblPr>
              <w:tblStyle w:val="21"/>
              <w:tblW w:w="4998"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196"/>
              <w:gridCol w:w="1301"/>
              <w:gridCol w:w="1748"/>
              <w:gridCol w:w="1476"/>
              <w:gridCol w:w="1481"/>
            </w:tblGrid>
            <w:tr w14:paraId="37696B4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419" w:type="pct"/>
                  <w:tcBorders>
                    <w:top w:val="single" w:color="auto" w:sz="6" w:space="0"/>
                    <w:left w:val="single" w:color="auto" w:sz="0" w:space="0"/>
                    <w:bottom w:val="single" w:color="auto" w:sz="6" w:space="0"/>
                    <w:right w:val="single" w:color="auto" w:sz="6" w:space="0"/>
                  </w:tcBorders>
                  <w:vAlign w:val="center"/>
                </w:tcPr>
                <w:p w14:paraId="63B7B214">
                  <w:pPr>
                    <w:pStyle w:val="29"/>
                    <w:overflowPunct w:val="0"/>
                    <w:autoSpaceDE w:val="0"/>
                    <w:autoSpaceDN w:val="0"/>
                    <w:rPr>
                      <w:b/>
                      <w:bCs/>
                      <w:sz w:val="21"/>
                      <w:szCs w:val="21"/>
                    </w:rPr>
                  </w:pPr>
                  <w:r>
                    <w:rPr>
                      <w:b/>
                      <w:bCs/>
                      <w:sz w:val="21"/>
                      <w:szCs w:val="21"/>
                    </w:rPr>
                    <w:t>序号</w:t>
                  </w:r>
                </w:p>
              </w:tc>
              <w:tc>
                <w:tcPr>
                  <w:tcW w:w="760" w:type="pct"/>
                  <w:tcBorders>
                    <w:top w:val="single" w:color="auto" w:sz="6" w:space="0"/>
                    <w:left w:val="single" w:color="auto" w:sz="6" w:space="0"/>
                    <w:bottom w:val="single" w:color="auto" w:sz="6" w:space="0"/>
                    <w:right w:val="single" w:color="auto" w:sz="6" w:space="0"/>
                  </w:tcBorders>
                  <w:vAlign w:val="center"/>
                </w:tcPr>
                <w:p w14:paraId="1937953D">
                  <w:pPr>
                    <w:pStyle w:val="29"/>
                    <w:overflowPunct w:val="0"/>
                    <w:autoSpaceDE w:val="0"/>
                    <w:autoSpaceDN w:val="0"/>
                    <w:rPr>
                      <w:b/>
                      <w:bCs/>
                      <w:sz w:val="21"/>
                      <w:szCs w:val="21"/>
                    </w:rPr>
                  </w:pPr>
                  <w:r>
                    <w:rPr>
                      <w:b/>
                      <w:bCs/>
                      <w:sz w:val="21"/>
                      <w:szCs w:val="21"/>
                    </w:rPr>
                    <w:t>生产线</w:t>
                  </w:r>
                </w:p>
                <w:p w14:paraId="04651530">
                  <w:pPr>
                    <w:pStyle w:val="29"/>
                    <w:overflowPunct w:val="0"/>
                    <w:autoSpaceDE w:val="0"/>
                    <w:autoSpaceDN w:val="0"/>
                    <w:rPr>
                      <w:b/>
                      <w:bCs/>
                      <w:sz w:val="21"/>
                      <w:szCs w:val="21"/>
                    </w:rPr>
                  </w:pPr>
                  <w:r>
                    <w:rPr>
                      <w:b/>
                      <w:bCs/>
                      <w:sz w:val="21"/>
                      <w:szCs w:val="21"/>
                    </w:rPr>
                    <w:t>编号</w:t>
                  </w:r>
                </w:p>
              </w:tc>
              <w:tc>
                <w:tcPr>
                  <w:tcW w:w="827" w:type="pct"/>
                  <w:tcBorders>
                    <w:top w:val="single" w:color="auto" w:sz="6" w:space="0"/>
                    <w:left w:val="single" w:color="auto" w:sz="6" w:space="0"/>
                    <w:bottom w:val="single" w:color="auto" w:sz="6" w:space="0"/>
                    <w:right w:val="single" w:color="auto" w:sz="6" w:space="0"/>
                  </w:tcBorders>
                  <w:vAlign w:val="center"/>
                </w:tcPr>
                <w:p w14:paraId="34EA859D">
                  <w:pPr>
                    <w:pStyle w:val="29"/>
                    <w:overflowPunct w:val="0"/>
                    <w:autoSpaceDE w:val="0"/>
                    <w:autoSpaceDN w:val="0"/>
                    <w:rPr>
                      <w:b/>
                      <w:bCs/>
                      <w:sz w:val="21"/>
                      <w:szCs w:val="21"/>
                    </w:rPr>
                  </w:pPr>
                  <w:r>
                    <w:rPr>
                      <w:b/>
                      <w:bCs/>
                      <w:sz w:val="21"/>
                      <w:szCs w:val="21"/>
                    </w:rPr>
                    <w:t>产品名称</w:t>
                  </w:r>
                </w:p>
              </w:tc>
              <w:tc>
                <w:tcPr>
                  <w:tcW w:w="1111" w:type="pct"/>
                  <w:tcBorders>
                    <w:top w:val="single" w:color="auto" w:sz="6" w:space="0"/>
                    <w:left w:val="single" w:color="auto" w:sz="6" w:space="0"/>
                    <w:bottom w:val="single" w:color="auto" w:sz="6" w:space="0"/>
                    <w:right w:val="single" w:color="auto" w:sz="6" w:space="0"/>
                  </w:tcBorders>
                  <w:vAlign w:val="center"/>
                </w:tcPr>
                <w:p w14:paraId="2414B433">
                  <w:pPr>
                    <w:pStyle w:val="29"/>
                    <w:overflowPunct w:val="0"/>
                    <w:autoSpaceDE w:val="0"/>
                    <w:autoSpaceDN w:val="0"/>
                    <w:rPr>
                      <w:b/>
                      <w:bCs/>
                      <w:sz w:val="21"/>
                      <w:szCs w:val="21"/>
                    </w:rPr>
                  </w:pPr>
                  <w:r>
                    <w:rPr>
                      <w:b/>
                      <w:bCs/>
                      <w:sz w:val="21"/>
                      <w:szCs w:val="21"/>
                    </w:rPr>
                    <w:t>纸箱规格</w:t>
                  </w:r>
                </w:p>
              </w:tc>
              <w:tc>
                <w:tcPr>
                  <w:tcW w:w="938" w:type="pct"/>
                  <w:tcBorders>
                    <w:top w:val="single" w:color="auto" w:sz="6" w:space="0"/>
                    <w:left w:val="single" w:color="auto" w:sz="6" w:space="0"/>
                    <w:bottom w:val="single" w:color="auto" w:sz="6" w:space="0"/>
                    <w:right w:val="single" w:color="auto" w:sz="6" w:space="0"/>
                  </w:tcBorders>
                  <w:vAlign w:val="center"/>
                </w:tcPr>
                <w:p w14:paraId="4951CC0A">
                  <w:pPr>
                    <w:pStyle w:val="29"/>
                    <w:overflowPunct w:val="0"/>
                    <w:autoSpaceDE w:val="0"/>
                    <w:autoSpaceDN w:val="0"/>
                    <w:rPr>
                      <w:b/>
                      <w:bCs/>
                      <w:sz w:val="21"/>
                      <w:szCs w:val="21"/>
                    </w:rPr>
                  </w:pPr>
                  <w:r>
                    <w:rPr>
                      <w:b/>
                      <w:bCs/>
                      <w:sz w:val="21"/>
                      <w:szCs w:val="21"/>
                    </w:rPr>
                    <w:t>产品面积（万平方米）</w:t>
                  </w:r>
                </w:p>
              </w:tc>
              <w:tc>
                <w:tcPr>
                  <w:tcW w:w="941" w:type="pct"/>
                  <w:tcBorders>
                    <w:top w:val="single" w:color="auto" w:sz="6" w:space="0"/>
                    <w:left w:val="single" w:color="auto" w:sz="6" w:space="0"/>
                    <w:bottom w:val="single" w:color="auto" w:sz="6" w:space="0"/>
                    <w:right w:val="single" w:color="auto" w:sz="6" w:space="0"/>
                  </w:tcBorders>
                  <w:vAlign w:val="center"/>
                </w:tcPr>
                <w:p w14:paraId="620D685C">
                  <w:pPr>
                    <w:pStyle w:val="29"/>
                    <w:overflowPunct w:val="0"/>
                    <w:autoSpaceDE w:val="0"/>
                    <w:autoSpaceDN w:val="0"/>
                    <w:rPr>
                      <w:b/>
                      <w:bCs/>
                      <w:sz w:val="21"/>
                      <w:szCs w:val="21"/>
                    </w:rPr>
                  </w:pPr>
                  <w:r>
                    <w:rPr>
                      <w:b/>
                      <w:bCs/>
                      <w:sz w:val="21"/>
                      <w:szCs w:val="21"/>
                    </w:rPr>
                    <w:t>设计年生产时间（h）</w:t>
                  </w:r>
                </w:p>
              </w:tc>
            </w:tr>
            <w:tr w14:paraId="08A0A357">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9" w:type="pct"/>
                  <w:vMerge w:val="restart"/>
                  <w:tcBorders>
                    <w:top w:val="single" w:color="auto" w:sz="6" w:space="0"/>
                    <w:left w:val="single" w:color="auto" w:sz="4" w:space="0"/>
                    <w:bottom w:val="single" w:color="auto" w:sz="6" w:space="0"/>
                    <w:right w:val="single" w:color="auto" w:sz="6" w:space="0"/>
                  </w:tcBorders>
                  <w:vAlign w:val="center"/>
                </w:tcPr>
                <w:p w14:paraId="6244BB03">
                  <w:pPr>
                    <w:pStyle w:val="29"/>
                    <w:overflowPunct w:val="0"/>
                    <w:autoSpaceDE w:val="0"/>
                    <w:autoSpaceDN w:val="0"/>
                    <w:rPr>
                      <w:sz w:val="21"/>
                      <w:szCs w:val="21"/>
                    </w:rPr>
                  </w:pPr>
                  <w:r>
                    <w:rPr>
                      <w:sz w:val="21"/>
                      <w:szCs w:val="21"/>
                    </w:rPr>
                    <w:t>1</w:t>
                  </w:r>
                </w:p>
              </w:tc>
              <w:tc>
                <w:tcPr>
                  <w:tcW w:w="760" w:type="pct"/>
                  <w:vMerge w:val="restart"/>
                  <w:tcBorders>
                    <w:top w:val="single" w:color="auto" w:sz="6" w:space="0"/>
                    <w:left w:val="single" w:color="auto" w:sz="6" w:space="0"/>
                    <w:bottom w:val="single" w:color="auto" w:sz="6" w:space="0"/>
                    <w:right w:val="single" w:color="auto" w:sz="6" w:space="0"/>
                  </w:tcBorders>
                  <w:vAlign w:val="center"/>
                </w:tcPr>
                <w:p w14:paraId="01C73B7C">
                  <w:pPr>
                    <w:pStyle w:val="29"/>
                    <w:overflowPunct w:val="0"/>
                    <w:autoSpaceDE w:val="0"/>
                    <w:autoSpaceDN w:val="0"/>
                    <w:rPr>
                      <w:sz w:val="21"/>
                      <w:szCs w:val="21"/>
                    </w:rPr>
                  </w:pPr>
                  <w:r>
                    <w:rPr>
                      <w:sz w:val="21"/>
                      <w:szCs w:val="21"/>
                    </w:rPr>
                    <w:t>SCX001</w:t>
                  </w:r>
                </w:p>
              </w:tc>
              <w:tc>
                <w:tcPr>
                  <w:tcW w:w="827" w:type="pct"/>
                  <w:vMerge w:val="restart"/>
                  <w:tcBorders>
                    <w:top w:val="single" w:color="auto" w:sz="6" w:space="0"/>
                    <w:left w:val="single" w:color="auto" w:sz="6" w:space="0"/>
                    <w:bottom w:val="single" w:color="auto" w:sz="6" w:space="0"/>
                    <w:right w:val="single" w:color="auto" w:sz="6" w:space="0"/>
                  </w:tcBorders>
                  <w:vAlign w:val="center"/>
                </w:tcPr>
                <w:p w14:paraId="5341ABE8">
                  <w:pPr>
                    <w:pStyle w:val="29"/>
                    <w:overflowPunct w:val="0"/>
                    <w:autoSpaceDE w:val="0"/>
                    <w:autoSpaceDN w:val="0"/>
                    <w:rPr>
                      <w:sz w:val="21"/>
                      <w:szCs w:val="21"/>
                    </w:rPr>
                  </w:pPr>
                  <w:r>
                    <w:rPr>
                      <w:sz w:val="21"/>
                      <w:szCs w:val="21"/>
                    </w:rPr>
                    <w:t>包装材料</w:t>
                  </w:r>
                </w:p>
              </w:tc>
              <w:tc>
                <w:tcPr>
                  <w:tcW w:w="1111" w:type="pct"/>
                  <w:tcBorders>
                    <w:top w:val="single" w:color="auto" w:sz="6" w:space="0"/>
                    <w:left w:val="single" w:color="auto" w:sz="6" w:space="0"/>
                    <w:bottom w:val="single" w:color="auto" w:sz="6" w:space="0"/>
                    <w:right w:val="single" w:color="auto" w:sz="6" w:space="0"/>
                  </w:tcBorders>
                  <w:vAlign w:val="center"/>
                </w:tcPr>
                <w:p w14:paraId="196CD567">
                  <w:pPr>
                    <w:pStyle w:val="29"/>
                    <w:overflowPunct w:val="0"/>
                    <w:autoSpaceDE w:val="0"/>
                    <w:autoSpaceDN w:val="0"/>
                    <w:rPr>
                      <w:sz w:val="21"/>
                      <w:szCs w:val="21"/>
                    </w:rPr>
                  </w:pPr>
                  <w:r>
                    <w:rPr>
                      <w:sz w:val="21"/>
                      <w:szCs w:val="21"/>
                    </w:rPr>
                    <w:t>两层纸板纸箱</w:t>
                  </w:r>
                </w:p>
              </w:tc>
              <w:tc>
                <w:tcPr>
                  <w:tcW w:w="938" w:type="pct"/>
                  <w:tcBorders>
                    <w:top w:val="single" w:color="auto" w:sz="6" w:space="0"/>
                    <w:left w:val="single" w:color="auto" w:sz="6" w:space="0"/>
                    <w:bottom w:val="single" w:color="auto" w:sz="6" w:space="0"/>
                    <w:right w:val="single" w:color="auto" w:sz="6" w:space="0"/>
                  </w:tcBorders>
                  <w:vAlign w:val="center"/>
                </w:tcPr>
                <w:p w14:paraId="7F438D08">
                  <w:pPr>
                    <w:pStyle w:val="29"/>
                    <w:overflowPunct w:val="0"/>
                    <w:autoSpaceDE w:val="0"/>
                    <w:autoSpaceDN w:val="0"/>
                    <w:rPr>
                      <w:sz w:val="21"/>
                      <w:szCs w:val="21"/>
                    </w:rPr>
                  </w:pPr>
                  <w:r>
                    <w:rPr>
                      <w:sz w:val="21"/>
                      <w:szCs w:val="21"/>
                    </w:rPr>
                    <w:t>2500</w:t>
                  </w:r>
                </w:p>
              </w:tc>
              <w:tc>
                <w:tcPr>
                  <w:tcW w:w="941" w:type="pct"/>
                  <w:vMerge w:val="restart"/>
                  <w:tcBorders>
                    <w:top w:val="single" w:color="auto" w:sz="6" w:space="0"/>
                    <w:left w:val="single" w:color="auto" w:sz="6" w:space="0"/>
                    <w:bottom w:val="single" w:color="auto" w:sz="6" w:space="0"/>
                    <w:right w:val="single" w:color="auto" w:sz="6" w:space="0"/>
                  </w:tcBorders>
                  <w:vAlign w:val="center"/>
                </w:tcPr>
                <w:p w14:paraId="5D866A16">
                  <w:pPr>
                    <w:pStyle w:val="29"/>
                    <w:overflowPunct w:val="0"/>
                    <w:autoSpaceDE w:val="0"/>
                    <w:autoSpaceDN w:val="0"/>
                    <w:rPr>
                      <w:sz w:val="21"/>
                      <w:szCs w:val="21"/>
                    </w:rPr>
                  </w:pPr>
                  <w:r>
                    <w:rPr>
                      <w:rFonts w:hint="default"/>
                      <w:sz w:val="21"/>
                      <w:szCs w:val="21"/>
                    </w:rPr>
                    <w:t>3000</w:t>
                  </w:r>
                </w:p>
              </w:tc>
            </w:tr>
            <w:tr w14:paraId="12BC257F">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419" w:type="pct"/>
                  <w:vMerge w:val="continue"/>
                  <w:tcBorders>
                    <w:top w:val="single" w:color="auto" w:sz="6" w:space="0"/>
                    <w:left w:val="single" w:color="auto" w:sz="4" w:space="0"/>
                    <w:bottom w:val="single" w:color="auto" w:sz="6" w:space="0"/>
                    <w:right w:val="single" w:color="auto" w:sz="6" w:space="0"/>
                  </w:tcBorders>
                  <w:vAlign w:val="center"/>
                </w:tcPr>
                <w:p w14:paraId="15A6EFD0">
                  <w:pPr>
                    <w:pStyle w:val="29"/>
                    <w:overflowPunct w:val="0"/>
                    <w:autoSpaceDE w:val="0"/>
                    <w:autoSpaceDN w:val="0"/>
                    <w:rPr>
                      <w:sz w:val="21"/>
                      <w:szCs w:val="21"/>
                    </w:rPr>
                  </w:pPr>
                </w:p>
              </w:tc>
              <w:tc>
                <w:tcPr>
                  <w:tcW w:w="760" w:type="pct"/>
                  <w:vMerge w:val="continue"/>
                  <w:tcBorders>
                    <w:top w:val="single" w:color="auto" w:sz="6" w:space="0"/>
                    <w:left w:val="single" w:color="auto" w:sz="6" w:space="0"/>
                    <w:bottom w:val="single" w:color="auto" w:sz="6" w:space="0"/>
                    <w:right w:val="single" w:color="auto" w:sz="6" w:space="0"/>
                  </w:tcBorders>
                  <w:vAlign w:val="center"/>
                </w:tcPr>
                <w:p w14:paraId="404AC2AC">
                  <w:pPr>
                    <w:pStyle w:val="29"/>
                    <w:overflowPunct w:val="0"/>
                    <w:autoSpaceDE w:val="0"/>
                    <w:autoSpaceDN w:val="0"/>
                    <w:rPr>
                      <w:sz w:val="21"/>
                      <w:szCs w:val="21"/>
                    </w:rPr>
                  </w:pPr>
                </w:p>
              </w:tc>
              <w:tc>
                <w:tcPr>
                  <w:tcW w:w="827" w:type="pct"/>
                  <w:vMerge w:val="continue"/>
                  <w:tcBorders>
                    <w:top w:val="single" w:color="auto" w:sz="6" w:space="0"/>
                    <w:left w:val="single" w:color="auto" w:sz="6" w:space="0"/>
                    <w:bottom w:val="single" w:color="auto" w:sz="6" w:space="0"/>
                    <w:right w:val="single" w:color="auto" w:sz="6" w:space="0"/>
                  </w:tcBorders>
                  <w:vAlign w:val="center"/>
                </w:tcPr>
                <w:p w14:paraId="0F1B1E99">
                  <w:pPr>
                    <w:pStyle w:val="29"/>
                    <w:overflowPunct w:val="0"/>
                    <w:autoSpaceDE w:val="0"/>
                    <w:autoSpaceDN w:val="0"/>
                    <w:rPr>
                      <w:sz w:val="21"/>
                      <w:szCs w:val="21"/>
                    </w:rPr>
                  </w:pPr>
                </w:p>
              </w:tc>
              <w:tc>
                <w:tcPr>
                  <w:tcW w:w="1111" w:type="pct"/>
                  <w:tcBorders>
                    <w:top w:val="single" w:color="auto" w:sz="6" w:space="0"/>
                    <w:left w:val="single" w:color="auto" w:sz="6" w:space="0"/>
                    <w:bottom w:val="single" w:color="auto" w:sz="6" w:space="0"/>
                    <w:right w:val="single" w:color="auto" w:sz="6" w:space="0"/>
                  </w:tcBorders>
                  <w:vAlign w:val="center"/>
                </w:tcPr>
                <w:p w14:paraId="1E718C74">
                  <w:pPr>
                    <w:pStyle w:val="29"/>
                    <w:overflowPunct w:val="0"/>
                    <w:autoSpaceDE w:val="0"/>
                    <w:autoSpaceDN w:val="0"/>
                    <w:rPr>
                      <w:sz w:val="21"/>
                      <w:szCs w:val="21"/>
                    </w:rPr>
                  </w:pPr>
                  <w:r>
                    <w:rPr>
                      <w:sz w:val="21"/>
                      <w:szCs w:val="21"/>
                    </w:rPr>
                    <w:t>三层纸板纸箱</w:t>
                  </w:r>
                </w:p>
              </w:tc>
              <w:tc>
                <w:tcPr>
                  <w:tcW w:w="938" w:type="pct"/>
                  <w:tcBorders>
                    <w:top w:val="single" w:color="auto" w:sz="6" w:space="0"/>
                    <w:left w:val="single" w:color="auto" w:sz="6" w:space="0"/>
                    <w:bottom w:val="single" w:color="auto" w:sz="6" w:space="0"/>
                    <w:right w:val="single" w:color="auto" w:sz="6" w:space="0"/>
                  </w:tcBorders>
                  <w:vAlign w:val="center"/>
                </w:tcPr>
                <w:p w14:paraId="052612D0">
                  <w:pPr>
                    <w:pStyle w:val="29"/>
                    <w:overflowPunct w:val="0"/>
                    <w:autoSpaceDE w:val="0"/>
                    <w:autoSpaceDN w:val="0"/>
                    <w:rPr>
                      <w:sz w:val="21"/>
                      <w:szCs w:val="21"/>
                    </w:rPr>
                  </w:pPr>
                  <w:r>
                    <w:rPr>
                      <w:sz w:val="21"/>
                      <w:szCs w:val="21"/>
                    </w:rPr>
                    <w:t>2500</w:t>
                  </w:r>
                </w:p>
              </w:tc>
              <w:tc>
                <w:tcPr>
                  <w:tcW w:w="941" w:type="pct"/>
                  <w:vMerge w:val="continue"/>
                  <w:tcBorders>
                    <w:top w:val="single" w:color="auto" w:sz="6" w:space="0"/>
                    <w:left w:val="single" w:color="auto" w:sz="6" w:space="0"/>
                    <w:bottom w:val="single" w:color="auto" w:sz="6" w:space="0"/>
                    <w:right w:val="single" w:color="auto" w:sz="6" w:space="0"/>
                  </w:tcBorders>
                  <w:vAlign w:val="center"/>
                </w:tcPr>
                <w:p w14:paraId="20AC72C8">
                  <w:pPr>
                    <w:pStyle w:val="50"/>
                    <w:rPr>
                      <w:sz w:val="21"/>
                      <w:szCs w:val="21"/>
                    </w:rPr>
                  </w:pPr>
                </w:p>
              </w:tc>
            </w:tr>
          </w:tbl>
          <w:p w14:paraId="56F72D83">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2.2.5主要原辅材料</w:t>
            </w:r>
          </w:p>
          <w:p w14:paraId="6399D327">
            <w:pPr>
              <w:overflowPunct w:val="0"/>
              <w:autoSpaceDE w:val="0"/>
              <w:autoSpaceDN w:val="0"/>
              <w:ind w:firstLine="480" w:firstLineChars="200"/>
              <w:rPr>
                <w:rFonts w:hint="default" w:ascii="Times New Roman" w:hAnsi="Times New Roman" w:cs="Times New Roman"/>
              </w:rPr>
            </w:pPr>
            <w:r>
              <w:rPr>
                <w:rFonts w:hint="default" w:ascii="Times New Roman" w:hAnsi="Times New Roman" w:cs="Times New Roman"/>
              </w:rPr>
              <w:t>项目主要原辅材料消耗情况见下表。</w:t>
            </w:r>
          </w:p>
          <w:p w14:paraId="1F4673D5">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2-6 项目主要原辅材料消耗情况一览表</w:t>
            </w:r>
          </w:p>
          <w:tbl>
            <w:tblPr>
              <w:tblStyle w:val="21"/>
              <w:tblW w:w="7967" w:type="dxa"/>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0"/>
              <w:gridCol w:w="716"/>
              <w:gridCol w:w="952"/>
              <w:gridCol w:w="1253"/>
              <w:gridCol w:w="721"/>
              <w:gridCol w:w="788"/>
              <w:gridCol w:w="1347"/>
              <w:gridCol w:w="910"/>
              <w:gridCol w:w="770"/>
            </w:tblGrid>
            <w:tr w14:paraId="1E83DAD8">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0" w:space="0"/>
                    <w:bottom w:val="single" w:color="auto" w:sz="6" w:space="0"/>
                    <w:right w:val="single" w:color="auto" w:sz="6" w:space="0"/>
                  </w:tcBorders>
                  <w:vAlign w:val="center"/>
                </w:tcPr>
                <w:p w14:paraId="6CD68519">
                  <w:pPr>
                    <w:pStyle w:val="29"/>
                    <w:rPr>
                      <w:b/>
                      <w:bCs/>
                      <w:sz w:val="21"/>
                      <w:szCs w:val="21"/>
                    </w:rPr>
                  </w:pPr>
                  <w:r>
                    <w:rPr>
                      <w:b/>
                      <w:bCs/>
                      <w:sz w:val="21"/>
                      <w:szCs w:val="21"/>
                    </w:rPr>
                    <w:t>序号</w:t>
                  </w:r>
                </w:p>
              </w:tc>
              <w:tc>
                <w:tcPr>
                  <w:tcW w:w="449" w:type="pct"/>
                  <w:tcBorders>
                    <w:top w:val="single" w:color="auto" w:sz="6" w:space="0"/>
                    <w:left w:val="single" w:color="auto" w:sz="6" w:space="0"/>
                    <w:bottom w:val="single" w:color="auto" w:sz="6" w:space="0"/>
                    <w:right w:val="single" w:color="auto" w:sz="6" w:space="0"/>
                  </w:tcBorders>
                  <w:vAlign w:val="center"/>
                </w:tcPr>
                <w:p w14:paraId="7CBCFE4C">
                  <w:pPr>
                    <w:pStyle w:val="29"/>
                    <w:rPr>
                      <w:b/>
                      <w:bCs/>
                      <w:sz w:val="21"/>
                      <w:szCs w:val="21"/>
                    </w:rPr>
                  </w:pPr>
                  <w:r>
                    <w:rPr>
                      <w:b/>
                      <w:bCs/>
                      <w:sz w:val="21"/>
                      <w:szCs w:val="21"/>
                    </w:rPr>
                    <w:t>种类</w:t>
                  </w:r>
                </w:p>
              </w:tc>
              <w:tc>
                <w:tcPr>
                  <w:tcW w:w="597" w:type="pct"/>
                  <w:tcBorders>
                    <w:top w:val="single" w:color="auto" w:sz="6" w:space="0"/>
                    <w:left w:val="single" w:color="auto" w:sz="6" w:space="0"/>
                    <w:bottom w:val="single" w:color="auto" w:sz="6" w:space="0"/>
                    <w:right w:val="single" w:color="auto" w:sz="6" w:space="0"/>
                  </w:tcBorders>
                  <w:vAlign w:val="center"/>
                </w:tcPr>
                <w:p w14:paraId="7974B14D">
                  <w:pPr>
                    <w:pStyle w:val="29"/>
                    <w:rPr>
                      <w:b/>
                      <w:bCs/>
                      <w:sz w:val="21"/>
                      <w:szCs w:val="21"/>
                    </w:rPr>
                  </w:pPr>
                  <w:r>
                    <w:rPr>
                      <w:b/>
                      <w:bCs/>
                      <w:sz w:val="21"/>
                      <w:szCs w:val="21"/>
                    </w:rPr>
                    <w:t>名称</w:t>
                  </w:r>
                </w:p>
              </w:tc>
              <w:tc>
                <w:tcPr>
                  <w:tcW w:w="786" w:type="pct"/>
                  <w:tcBorders>
                    <w:top w:val="single" w:color="auto" w:sz="6" w:space="0"/>
                    <w:left w:val="single" w:color="auto" w:sz="6" w:space="0"/>
                    <w:bottom w:val="single" w:color="auto" w:sz="6" w:space="0"/>
                    <w:right w:val="single" w:color="auto" w:sz="6" w:space="0"/>
                  </w:tcBorders>
                  <w:vAlign w:val="center"/>
                </w:tcPr>
                <w:p w14:paraId="0CC2D561">
                  <w:pPr>
                    <w:pStyle w:val="29"/>
                    <w:rPr>
                      <w:b/>
                      <w:bCs/>
                      <w:sz w:val="21"/>
                      <w:szCs w:val="21"/>
                    </w:rPr>
                  </w:pPr>
                  <w:r>
                    <w:rPr>
                      <w:b/>
                      <w:bCs/>
                      <w:sz w:val="21"/>
                      <w:szCs w:val="21"/>
                    </w:rPr>
                    <w:t>设计年使用量（t/a）</w:t>
                  </w:r>
                </w:p>
              </w:tc>
              <w:tc>
                <w:tcPr>
                  <w:tcW w:w="452" w:type="pct"/>
                  <w:tcBorders>
                    <w:top w:val="single" w:color="auto" w:sz="6" w:space="0"/>
                    <w:left w:val="single" w:color="auto" w:sz="6" w:space="0"/>
                    <w:bottom w:val="single" w:color="auto" w:sz="6" w:space="0"/>
                    <w:right w:val="single" w:color="auto" w:sz="6" w:space="0"/>
                  </w:tcBorders>
                  <w:vAlign w:val="center"/>
                </w:tcPr>
                <w:p w14:paraId="2980AE33">
                  <w:pPr>
                    <w:pStyle w:val="29"/>
                    <w:rPr>
                      <w:b/>
                      <w:bCs/>
                      <w:sz w:val="21"/>
                      <w:szCs w:val="21"/>
                    </w:rPr>
                  </w:pPr>
                  <w:r>
                    <w:rPr>
                      <w:b/>
                      <w:bCs/>
                      <w:sz w:val="21"/>
                      <w:szCs w:val="21"/>
                    </w:rPr>
                    <w:t>包装方式</w:t>
                  </w:r>
                </w:p>
              </w:tc>
              <w:tc>
                <w:tcPr>
                  <w:tcW w:w="494" w:type="pct"/>
                  <w:tcBorders>
                    <w:top w:val="single" w:color="auto" w:sz="6" w:space="0"/>
                    <w:left w:val="single" w:color="auto" w:sz="6" w:space="0"/>
                    <w:bottom w:val="single" w:color="auto" w:sz="6" w:space="0"/>
                    <w:right w:val="single" w:color="auto" w:sz="6" w:space="0"/>
                  </w:tcBorders>
                  <w:vAlign w:val="center"/>
                </w:tcPr>
                <w:p w14:paraId="48A7AAB3">
                  <w:pPr>
                    <w:pStyle w:val="29"/>
                    <w:rPr>
                      <w:b/>
                      <w:bCs/>
                      <w:sz w:val="21"/>
                      <w:szCs w:val="21"/>
                    </w:rPr>
                  </w:pPr>
                  <w:r>
                    <w:rPr>
                      <w:b/>
                      <w:bCs/>
                      <w:sz w:val="21"/>
                      <w:szCs w:val="21"/>
                    </w:rPr>
                    <w:t>形状</w:t>
                  </w:r>
                </w:p>
              </w:tc>
              <w:tc>
                <w:tcPr>
                  <w:tcW w:w="845" w:type="pct"/>
                  <w:tcBorders>
                    <w:top w:val="single" w:color="auto" w:sz="6" w:space="0"/>
                    <w:left w:val="single" w:color="auto" w:sz="6" w:space="0"/>
                    <w:bottom w:val="single" w:color="auto" w:sz="6" w:space="0"/>
                    <w:right w:val="single" w:color="auto" w:sz="6" w:space="0"/>
                  </w:tcBorders>
                  <w:vAlign w:val="center"/>
                </w:tcPr>
                <w:p w14:paraId="634C7C80">
                  <w:pPr>
                    <w:pStyle w:val="29"/>
                    <w:rPr>
                      <w:b/>
                      <w:bCs/>
                      <w:sz w:val="21"/>
                      <w:szCs w:val="21"/>
                    </w:rPr>
                  </w:pPr>
                  <w:r>
                    <w:rPr>
                      <w:b/>
                      <w:bCs/>
                      <w:sz w:val="21"/>
                      <w:szCs w:val="21"/>
                    </w:rPr>
                    <w:t>规格</w:t>
                  </w:r>
                </w:p>
              </w:tc>
              <w:tc>
                <w:tcPr>
                  <w:tcW w:w="571" w:type="pct"/>
                  <w:tcBorders>
                    <w:top w:val="single" w:color="auto" w:sz="6" w:space="0"/>
                    <w:left w:val="single" w:color="auto" w:sz="6" w:space="0"/>
                    <w:bottom w:val="single" w:color="auto" w:sz="4" w:space="0"/>
                    <w:right w:val="single" w:color="auto" w:sz="6" w:space="0"/>
                  </w:tcBorders>
                  <w:vAlign w:val="center"/>
                </w:tcPr>
                <w:p w14:paraId="085134C9">
                  <w:pPr>
                    <w:pStyle w:val="29"/>
                    <w:rPr>
                      <w:b/>
                      <w:bCs/>
                      <w:sz w:val="21"/>
                      <w:szCs w:val="21"/>
                    </w:rPr>
                  </w:pPr>
                  <w:r>
                    <w:rPr>
                      <w:b/>
                      <w:bCs/>
                      <w:sz w:val="21"/>
                      <w:szCs w:val="21"/>
                    </w:rPr>
                    <w:t>最大贮存量（t）</w:t>
                  </w:r>
                </w:p>
              </w:tc>
              <w:tc>
                <w:tcPr>
                  <w:tcW w:w="483" w:type="pct"/>
                  <w:tcBorders>
                    <w:top w:val="single" w:color="auto" w:sz="6" w:space="0"/>
                    <w:left w:val="single" w:color="auto" w:sz="6" w:space="0"/>
                    <w:bottom w:val="single" w:color="auto" w:sz="4" w:space="0"/>
                    <w:right w:val="single" w:color="auto" w:sz="6" w:space="0"/>
                  </w:tcBorders>
                  <w:vAlign w:val="center"/>
                </w:tcPr>
                <w:p w14:paraId="2E62C748">
                  <w:pPr>
                    <w:pStyle w:val="29"/>
                    <w:rPr>
                      <w:b/>
                      <w:bCs/>
                      <w:sz w:val="21"/>
                      <w:szCs w:val="21"/>
                    </w:rPr>
                  </w:pPr>
                  <w:r>
                    <w:rPr>
                      <w:b/>
                      <w:bCs/>
                      <w:sz w:val="21"/>
                      <w:szCs w:val="21"/>
                    </w:rPr>
                    <w:t>其他信息</w:t>
                  </w:r>
                </w:p>
              </w:tc>
            </w:tr>
            <w:tr w14:paraId="337D34F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436F4119">
                  <w:pPr>
                    <w:pStyle w:val="29"/>
                    <w:rPr>
                      <w:sz w:val="21"/>
                      <w:szCs w:val="21"/>
                    </w:rPr>
                  </w:pPr>
                  <w:r>
                    <w:rPr>
                      <w:sz w:val="21"/>
                      <w:szCs w:val="21"/>
                    </w:rPr>
                    <w:t>1</w:t>
                  </w:r>
                </w:p>
              </w:tc>
              <w:tc>
                <w:tcPr>
                  <w:tcW w:w="449" w:type="pct"/>
                  <w:tcBorders>
                    <w:top w:val="single" w:color="auto" w:sz="6" w:space="0"/>
                    <w:left w:val="single" w:color="auto" w:sz="6" w:space="0"/>
                    <w:bottom w:val="single" w:color="auto" w:sz="6" w:space="0"/>
                    <w:right w:val="single" w:color="auto" w:sz="6" w:space="0"/>
                  </w:tcBorders>
                  <w:vAlign w:val="center"/>
                </w:tcPr>
                <w:p w14:paraId="1E213181">
                  <w:pPr>
                    <w:pStyle w:val="29"/>
                    <w:rPr>
                      <w:sz w:val="21"/>
                      <w:szCs w:val="21"/>
                    </w:rPr>
                  </w:pPr>
                  <w:r>
                    <w:rPr>
                      <w:sz w:val="21"/>
                      <w:szCs w:val="21"/>
                    </w:rPr>
                    <w:t>原料</w:t>
                  </w:r>
                </w:p>
              </w:tc>
              <w:tc>
                <w:tcPr>
                  <w:tcW w:w="597" w:type="pct"/>
                  <w:tcBorders>
                    <w:top w:val="single" w:color="auto" w:sz="6" w:space="0"/>
                    <w:left w:val="single" w:color="auto" w:sz="6" w:space="0"/>
                    <w:bottom w:val="single" w:color="auto" w:sz="6" w:space="0"/>
                    <w:right w:val="single" w:color="auto" w:sz="6" w:space="0"/>
                  </w:tcBorders>
                  <w:vAlign w:val="center"/>
                </w:tcPr>
                <w:p w14:paraId="7A74D808">
                  <w:pPr>
                    <w:pStyle w:val="29"/>
                    <w:rPr>
                      <w:sz w:val="21"/>
                      <w:szCs w:val="21"/>
                    </w:rPr>
                  </w:pPr>
                  <w:r>
                    <w:rPr>
                      <w:sz w:val="21"/>
                      <w:szCs w:val="21"/>
                    </w:rPr>
                    <w:t>瓦楞芯纸</w:t>
                  </w:r>
                </w:p>
              </w:tc>
              <w:tc>
                <w:tcPr>
                  <w:tcW w:w="786" w:type="pct"/>
                  <w:tcBorders>
                    <w:top w:val="single" w:color="auto" w:sz="6" w:space="0"/>
                    <w:left w:val="single" w:color="auto" w:sz="6" w:space="0"/>
                    <w:bottom w:val="single" w:color="auto" w:sz="6" w:space="0"/>
                    <w:right w:val="single" w:color="auto" w:sz="6" w:space="0"/>
                  </w:tcBorders>
                  <w:vAlign w:val="center"/>
                </w:tcPr>
                <w:p w14:paraId="6F90B79E">
                  <w:pPr>
                    <w:pStyle w:val="29"/>
                    <w:rPr>
                      <w:sz w:val="21"/>
                      <w:szCs w:val="21"/>
                    </w:rPr>
                  </w:pPr>
                  <w:r>
                    <w:rPr>
                      <w:sz w:val="21"/>
                      <w:szCs w:val="21"/>
                    </w:rPr>
                    <w:t>12000</w:t>
                  </w:r>
                </w:p>
              </w:tc>
              <w:tc>
                <w:tcPr>
                  <w:tcW w:w="452" w:type="pct"/>
                  <w:tcBorders>
                    <w:top w:val="single" w:color="auto" w:sz="6" w:space="0"/>
                    <w:left w:val="single" w:color="auto" w:sz="6" w:space="0"/>
                    <w:bottom w:val="single" w:color="auto" w:sz="6" w:space="0"/>
                    <w:right w:val="single" w:color="auto" w:sz="6" w:space="0"/>
                  </w:tcBorders>
                  <w:vAlign w:val="center"/>
                </w:tcPr>
                <w:p w14:paraId="1DE12D66">
                  <w:pPr>
                    <w:pStyle w:val="29"/>
                    <w:rPr>
                      <w:sz w:val="21"/>
                      <w:szCs w:val="21"/>
                    </w:rPr>
                  </w:pPr>
                  <w:r>
                    <w:rPr>
                      <w:sz w:val="21"/>
                      <w:szCs w:val="21"/>
                    </w:rPr>
                    <w:t>纸卷</w:t>
                  </w:r>
                </w:p>
              </w:tc>
              <w:tc>
                <w:tcPr>
                  <w:tcW w:w="494" w:type="pct"/>
                  <w:tcBorders>
                    <w:top w:val="single" w:color="auto" w:sz="6" w:space="0"/>
                    <w:left w:val="single" w:color="auto" w:sz="6" w:space="0"/>
                    <w:bottom w:val="single" w:color="auto" w:sz="6" w:space="0"/>
                    <w:right w:val="single" w:color="auto" w:sz="6" w:space="0"/>
                  </w:tcBorders>
                  <w:vAlign w:val="center"/>
                </w:tcPr>
                <w:p w14:paraId="6297656A">
                  <w:pPr>
                    <w:pStyle w:val="29"/>
                    <w:rPr>
                      <w:sz w:val="21"/>
                      <w:szCs w:val="21"/>
                    </w:rPr>
                  </w:pPr>
                  <w:r>
                    <w:rPr>
                      <w:sz w:val="21"/>
                      <w:szCs w:val="21"/>
                    </w:rPr>
                    <w:t>固态</w:t>
                  </w:r>
                </w:p>
              </w:tc>
              <w:tc>
                <w:tcPr>
                  <w:tcW w:w="845" w:type="pct"/>
                  <w:tcBorders>
                    <w:top w:val="single" w:color="auto" w:sz="6" w:space="0"/>
                    <w:left w:val="single" w:color="auto" w:sz="6" w:space="0"/>
                    <w:bottom w:val="single" w:color="auto" w:sz="6" w:space="0"/>
                    <w:right w:val="single" w:color="auto" w:sz="4" w:space="0"/>
                  </w:tcBorders>
                  <w:vAlign w:val="center"/>
                </w:tcPr>
                <w:p w14:paraId="651A78A9">
                  <w:pPr>
                    <w:pStyle w:val="29"/>
                    <w:rPr>
                      <w:sz w:val="21"/>
                      <w:szCs w:val="21"/>
                    </w:rPr>
                  </w:pPr>
                  <w:r>
                    <w:rPr>
                      <w:sz w:val="21"/>
                      <w:szCs w:val="21"/>
                    </w:rPr>
                    <w:t>幅宽2150mm</w:t>
                  </w:r>
                </w:p>
              </w:tc>
              <w:tc>
                <w:tcPr>
                  <w:tcW w:w="571" w:type="pct"/>
                  <w:tcBorders>
                    <w:top w:val="single" w:color="auto" w:sz="4" w:space="0"/>
                    <w:left w:val="single" w:color="auto" w:sz="4" w:space="0"/>
                    <w:bottom w:val="single" w:color="auto" w:sz="4" w:space="0"/>
                    <w:right w:val="single" w:color="auto" w:sz="4" w:space="0"/>
                  </w:tcBorders>
                  <w:vAlign w:val="center"/>
                </w:tcPr>
                <w:p w14:paraId="4393CD7A">
                  <w:pPr>
                    <w:pStyle w:val="29"/>
                    <w:rPr>
                      <w:sz w:val="21"/>
                      <w:szCs w:val="21"/>
                    </w:rPr>
                  </w:pPr>
                  <w:r>
                    <w:rPr>
                      <w:sz w:val="21"/>
                      <w:szCs w:val="21"/>
                    </w:rPr>
                    <w:t>300</w:t>
                  </w:r>
                </w:p>
              </w:tc>
              <w:tc>
                <w:tcPr>
                  <w:tcW w:w="483" w:type="pct"/>
                  <w:vMerge w:val="restart"/>
                  <w:tcBorders>
                    <w:top w:val="single" w:color="auto" w:sz="4" w:space="0"/>
                    <w:left w:val="single" w:color="auto" w:sz="4" w:space="0"/>
                    <w:bottom w:val="single" w:color="auto" w:sz="4" w:space="0"/>
                    <w:right w:val="single" w:color="auto" w:sz="4" w:space="0"/>
                  </w:tcBorders>
                  <w:vAlign w:val="center"/>
                </w:tcPr>
                <w:p w14:paraId="183E923F">
                  <w:pPr>
                    <w:pStyle w:val="29"/>
                    <w:rPr>
                      <w:sz w:val="21"/>
                      <w:szCs w:val="21"/>
                    </w:rPr>
                  </w:pPr>
                  <w:r>
                    <w:rPr>
                      <w:sz w:val="21"/>
                      <w:szCs w:val="21"/>
                    </w:rPr>
                    <w:t>汽车运输</w:t>
                  </w:r>
                </w:p>
              </w:tc>
            </w:tr>
            <w:tr w14:paraId="4910BDF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20" w:type="pct"/>
                  <w:tcBorders>
                    <w:top w:val="single" w:color="auto" w:sz="6" w:space="0"/>
                    <w:left w:val="single" w:color="auto" w:sz="4" w:space="0"/>
                    <w:bottom w:val="single" w:color="auto" w:sz="6" w:space="0"/>
                    <w:right w:val="single" w:color="auto" w:sz="6" w:space="0"/>
                  </w:tcBorders>
                  <w:vAlign w:val="center"/>
                </w:tcPr>
                <w:p w14:paraId="65656C13">
                  <w:pPr>
                    <w:pStyle w:val="29"/>
                    <w:rPr>
                      <w:sz w:val="21"/>
                      <w:szCs w:val="21"/>
                    </w:rPr>
                  </w:pPr>
                  <w:r>
                    <w:rPr>
                      <w:sz w:val="21"/>
                      <w:szCs w:val="21"/>
                    </w:rPr>
                    <w:t>2</w:t>
                  </w:r>
                </w:p>
              </w:tc>
              <w:tc>
                <w:tcPr>
                  <w:tcW w:w="449" w:type="pct"/>
                  <w:tcBorders>
                    <w:top w:val="single" w:color="auto" w:sz="6" w:space="0"/>
                    <w:left w:val="single" w:color="auto" w:sz="6" w:space="0"/>
                    <w:bottom w:val="single" w:color="auto" w:sz="6" w:space="0"/>
                    <w:right w:val="single" w:color="auto" w:sz="6" w:space="0"/>
                  </w:tcBorders>
                  <w:vAlign w:val="center"/>
                </w:tcPr>
                <w:p w14:paraId="7EF00345">
                  <w:pPr>
                    <w:pStyle w:val="29"/>
                    <w:rPr>
                      <w:sz w:val="21"/>
                      <w:szCs w:val="21"/>
                    </w:rPr>
                  </w:pPr>
                  <w:r>
                    <w:rPr>
                      <w:sz w:val="21"/>
                      <w:szCs w:val="21"/>
                    </w:rPr>
                    <w:t>原料</w:t>
                  </w:r>
                </w:p>
              </w:tc>
              <w:tc>
                <w:tcPr>
                  <w:tcW w:w="597" w:type="pct"/>
                  <w:tcBorders>
                    <w:top w:val="single" w:color="auto" w:sz="6" w:space="0"/>
                    <w:left w:val="single" w:color="auto" w:sz="6" w:space="0"/>
                    <w:bottom w:val="single" w:color="auto" w:sz="6" w:space="0"/>
                    <w:right w:val="single" w:color="auto" w:sz="6" w:space="0"/>
                  </w:tcBorders>
                  <w:vAlign w:val="center"/>
                </w:tcPr>
                <w:p w14:paraId="58BA5D42">
                  <w:pPr>
                    <w:pStyle w:val="29"/>
                    <w:rPr>
                      <w:sz w:val="21"/>
                      <w:szCs w:val="21"/>
                    </w:rPr>
                  </w:pPr>
                  <w:r>
                    <w:rPr>
                      <w:sz w:val="21"/>
                      <w:szCs w:val="21"/>
                    </w:rPr>
                    <w:t>牛皮箱板纸</w:t>
                  </w:r>
                </w:p>
              </w:tc>
              <w:tc>
                <w:tcPr>
                  <w:tcW w:w="786" w:type="pct"/>
                  <w:tcBorders>
                    <w:top w:val="single" w:color="auto" w:sz="6" w:space="0"/>
                    <w:left w:val="single" w:color="auto" w:sz="6" w:space="0"/>
                    <w:bottom w:val="single" w:color="auto" w:sz="6" w:space="0"/>
                    <w:right w:val="single" w:color="auto" w:sz="6" w:space="0"/>
                  </w:tcBorders>
                  <w:vAlign w:val="center"/>
                </w:tcPr>
                <w:p w14:paraId="00989C19">
                  <w:pPr>
                    <w:pStyle w:val="29"/>
                    <w:rPr>
                      <w:sz w:val="21"/>
                      <w:szCs w:val="21"/>
                    </w:rPr>
                  </w:pPr>
                  <w:r>
                    <w:rPr>
                      <w:sz w:val="21"/>
                      <w:szCs w:val="21"/>
                    </w:rPr>
                    <w:t>8000</w:t>
                  </w:r>
                </w:p>
              </w:tc>
              <w:tc>
                <w:tcPr>
                  <w:tcW w:w="452" w:type="pct"/>
                  <w:tcBorders>
                    <w:top w:val="single" w:color="auto" w:sz="6" w:space="0"/>
                    <w:left w:val="single" w:color="auto" w:sz="6" w:space="0"/>
                    <w:bottom w:val="single" w:color="auto" w:sz="6" w:space="0"/>
                    <w:right w:val="single" w:color="auto" w:sz="6" w:space="0"/>
                  </w:tcBorders>
                  <w:vAlign w:val="center"/>
                </w:tcPr>
                <w:p w14:paraId="79A92CDE">
                  <w:pPr>
                    <w:pStyle w:val="29"/>
                    <w:rPr>
                      <w:sz w:val="21"/>
                      <w:szCs w:val="21"/>
                    </w:rPr>
                  </w:pPr>
                  <w:r>
                    <w:rPr>
                      <w:sz w:val="21"/>
                      <w:szCs w:val="21"/>
                    </w:rPr>
                    <w:t>纸卷</w:t>
                  </w:r>
                </w:p>
              </w:tc>
              <w:tc>
                <w:tcPr>
                  <w:tcW w:w="494" w:type="pct"/>
                  <w:tcBorders>
                    <w:top w:val="single" w:color="auto" w:sz="6" w:space="0"/>
                    <w:left w:val="single" w:color="auto" w:sz="6" w:space="0"/>
                    <w:bottom w:val="single" w:color="auto" w:sz="6" w:space="0"/>
                    <w:right w:val="single" w:color="auto" w:sz="6" w:space="0"/>
                  </w:tcBorders>
                  <w:vAlign w:val="center"/>
                </w:tcPr>
                <w:p w14:paraId="6A2B2CEB">
                  <w:pPr>
                    <w:pStyle w:val="29"/>
                    <w:rPr>
                      <w:sz w:val="21"/>
                      <w:szCs w:val="21"/>
                    </w:rPr>
                  </w:pPr>
                  <w:r>
                    <w:rPr>
                      <w:sz w:val="21"/>
                      <w:szCs w:val="21"/>
                    </w:rPr>
                    <w:t>固态</w:t>
                  </w:r>
                </w:p>
              </w:tc>
              <w:tc>
                <w:tcPr>
                  <w:tcW w:w="845" w:type="pct"/>
                  <w:tcBorders>
                    <w:top w:val="single" w:color="auto" w:sz="6" w:space="0"/>
                    <w:left w:val="single" w:color="auto" w:sz="6" w:space="0"/>
                    <w:bottom w:val="single" w:color="auto" w:sz="6" w:space="0"/>
                    <w:right w:val="single" w:color="auto" w:sz="4" w:space="0"/>
                  </w:tcBorders>
                  <w:vAlign w:val="center"/>
                </w:tcPr>
                <w:p w14:paraId="15672AE2">
                  <w:pPr>
                    <w:pStyle w:val="29"/>
                    <w:rPr>
                      <w:sz w:val="21"/>
                      <w:szCs w:val="21"/>
                    </w:rPr>
                  </w:pPr>
                  <w:r>
                    <w:rPr>
                      <w:sz w:val="21"/>
                      <w:szCs w:val="21"/>
                    </w:rPr>
                    <w:t>宽幅1850mm</w:t>
                  </w:r>
                </w:p>
              </w:tc>
              <w:tc>
                <w:tcPr>
                  <w:tcW w:w="571" w:type="pct"/>
                  <w:tcBorders>
                    <w:top w:val="single" w:color="auto" w:sz="4" w:space="0"/>
                    <w:left w:val="single" w:color="auto" w:sz="4" w:space="0"/>
                    <w:bottom w:val="single" w:color="auto" w:sz="4" w:space="0"/>
                    <w:right w:val="single" w:color="auto" w:sz="4" w:space="0"/>
                  </w:tcBorders>
                  <w:vAlign w:val="center"/>
                </w:tcPr>
                <w:p w14:paraId="31E4EF14">
                  <w:pPr>
                    <w:pStyle w:val="29"/>
                    <w:rPr>
                      <w:sz w:val="21"/>
                      <w:szCs w:val="21"/>
                    </w:rPr>
                  </w:pPr>
                  <w:r>
                    <w:rPr>
                      <w:sz w:val="21"/>
                      <w:szCs w:val="21"/>
                    </w:rPr>
                    <w:t>200</w:t>
                  </w:r>
                </w:p>
              </w:tc>
              <w:tc>
                <w:tcPr>
                  <w:tcW w:w="483" w:type="pct"/>
                  <w:vMerge w:val="continue"/>
                  <w:tcBorders>
                    <w:top w:val="single" w:color="auto" w:sz="4" w:space="0"/>
                    <w:left w:val="single" w:color="auto" w:sz="4" w:space="0"/>
                    <w:bottom w:val="single" w:color="auto" w:sz="4" w:space="0"/>
                    <w:right w:val="single" w:color="auto" w:sz="4" w:space="0"/>
                  </w:tcBorders>
                  <w:vAlign w:val="center"/>
                </w:tcPr>
                <w:p w14:paraId="36B496FA">
                  <w:pPr>
                    <w:pStyle w:val="29"/>
                    <w:rPr>
                      <w:sz w:val="21"/>
                      <w:szCs w:val="21"/>
                    </w:rPr>
                  </w:pPr>
                </w:p>
              </w:tc>
            </w:tr>
            <w:tr w14:paraId="264FF0C9">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320" w:type="pct"/>
                  <w:tcBorders>
                    <w:top w:val="single" w:color="auto" w:sz="6" w:space="0"/>
                    <w:left w:val="single" w:color="auto" w:sz="4" w:space="0"/>
                    <w:bottom w:val="single" w:color="auto" w:sz="6" w:space="0"/>
                    <w:right w:val="single" w:color="auto" w:sz="6" w:space="0"/>
                  </w:tcBorders>
                  <w:vAlign w:val="center"/>
                </w:tcPr>
                <w:p w14:paraId="2253F7E8">
                  <w:pPr>
                    <w:pStyle w:val="29"/>
                    <w:rPr>
                      <w:sz w:val="21"/>
                      <w:szCs w:val="21"/>
                    </w:rPr>
                  </w:pPr>
                  <w:r>
                    <w:rPr>
                      <w:sz w:val="21"/>
                      <w:szCs w:val="21"/>
                    </w:rPr>
                    <w:t>3</w:t>
                  </w:r>
                </w:p>
              </w:tc>
              <w:tc>
                <w:tcPr>
                  <w:tcW w:w="449" w:type="pct"/>
                  <w:tcBorders>
                    <w:top w:val="single" w:color="auto" w:sz="6" w:space="0"/>
                    <w:left w:val="single" w:color="auto" w:sz="6" w:space="0"/>
                    <w:bottom w:val="single" w:color="auto" w:sz="6" w:space="0"/>
                    <w:right w:val="single" w:color="auto" w:sz="6" w:space="0"/>
                  </w:tcBorders>
                  <w:vAlign w:val="center"/>
                </w:tcPr>
                <w:p w14:paraId="0A5A56F3">
                  <w:pPr>
                    <w:pStyle w:val="29"/>
                    <w:rPr>
                      <w:sz w:val="21"/>
                      <w:szCs w:val="21"/>
                    </w:rPr>
                  </w:pPr>
                  <w:r>
                    <w:rPr>
                      <w:sz w:val="21"/>
                      <w:szCs w:val="21"/>
                    </w:rPr>
                    <w:t>原料</w:t>
                  </w:r>
                </w:p>
              </w:tc>
              <w:tc>
                <w:tcPr>
                  <w:tcW w:w="597" w:type="pct"/>
                  <w:tcBorders>
                    <w:top w:val="single" w:color="auto" w:sz="6" w:space="0"/>
                    <w:left w:val="single" w:color="auto" w:sz="6" w:space="0"/>
                    <w:bottom w:val="single" w:color="auto" w:sz="6" w:space="0"/>
                    <w:right w:val="single" w:color="auto" w:sz="6" w:space="0"/>
                  </w:tcBorders>
                  <w:vAlign w:val="center"/>
                </w:tcPr>
                <w:p w14:paraId="46C66FAF">
                  <w:pPr>
                    <w:pStyle w:val="29"/>
                    <w:rPr>
                      <w:sz w:val="21"/>
                      <w:szCs w:val="21"/>
                    </w:rPr>
                  </w:pPr>
                  <w:r>
                    <w:rPr>
                      <w:sz w:val="21"/>
                      <w:szCs w:val="21"/>
                    </w:rPr>
                    <w:t>玉米淀粉</w:t>
                  </w:r>
                </w:p>
              </w:tc>
              <w:tc>
                <w:tcPr>
                  <w:tcW w:w="786" w:type="pct"/>
                  <w:tcBorders>
                    <w:top w:val="single" w:color="auto" w:sz="6" w:space="0"/>
                    <w:left w:val="single" w:color="auto" w:sz="6" w:space="0"/>
                    <w:bottom w:val="single" w:color="auto" w:sz="6" w:space="0"/>
                    <w:right w:val="single" w:color="auto" w:sz="6" w:space="0"/>
                  </w:tcBorders>
                  <w:vAlign w:val="center"/>
                </w:tcPr>
                <w:p w14:paraId="45B76A62">
                  <w:pPr>
                    <w:pStyle w:val="29"/>
                    <w:rPr>
                      <w:sz w:val="21"/>
                      <w:szCs w:val="21"/>
                    </w:rPr>
                  </w:pPr>
                  <w:r>
                    <w:rPr>
                      <w:sz w:val="21"/>
                      <w:szCs w:val="21"/>
                    </w:rPr>
                    <w:t>240</w:t>
                  </w:r>
                </w:p>
              </w:tc>
              <w:tc>
                <w:tcPr>
                  <w:tcW w:w="452" w:type="pct"/>
                  <w:tcBorders>
                    <w:top w:val="single" w:color="auto" w:sz="6" w:space="0"/>
                    <w:left w:val="single" w:color="auto" w:sz="6" w:space="0"/>
                    <w:bottom w:val="single" w:color="auto" w:sz="6" w:space="0"/>
                    <w:right w:val="single" w:color="auto" w:sz="6" w:space="0"/>
                  </w:tcBorders>
                  <w:vAlign w:val="center"/>
                </w:tcPr>
                <w:p w14:paraId="28791B54">
                  <w:pPr>
                    <w:pStyle w:val="29"/>
                    <w:rPr>
                      <w:sz w:val="21"/>
                      <w:szCs w:val="21"/>
                    </w:rPr>
                  </w:pPr>
                  <w:r>
                    <w:rPr>
                      <w:sz w:val="21"/>
                      <w:szCs w:val="21"/>
                    </w:rPr>
                    <w:t>袋装</w:t>
                  </w:r>
                </w:p>
              </w:tc>
              <w:tc>
                <w:tcPr>
                  <w:tcW w:w="494" w:type="pct"/>
                  <w:tcBorders>
                    <w:top w:val="single" w:color="auto" w:sz="6" w:space="0"/>
                    <w:left w:val="single" w:color="auto" w:sz="6" w:space="0"/>
                    <w:bottom w:val="single" w:color="auto" w:sz="6" w:space="0"/>
                    <w:right w:val="single" w:color="auto" w:sz="6" w:space="0"/>
                  </w:tcBorders>
                  <w:vAlign w:val="center"/>
                </w:tcPr>
                <w:p w14:paraId="491A244E">
                  <w:pPr>
                    <w:pStyle w:val="29"/>
                    <w:rPr>
                      <w:sz w:val="21"/>
                      <w:szCs w:val="21"/>
                    </w:rPr>
                  </w:pPr>
                  <w:r>
                    <w:rPr>
                      <w:sz w:val="21"/>
                      <w:szCs w:val="21"/>
                    </w:rPr>
                    <w:t>粉状</w:t>
                  </w:r>
                </w:p>
              </w:tc>
              <w:tc>
                <w:tcPr>
                  <w:tcW w:w="845" w:type="pct"/>
                  <w:tcBorders>
                    <w:top w:val="single" w:color="auto" w:sz="6" w:space="0"/>
                    <w:left w:val="single" w:color="auto" w:sz="6" w:space="0"/>
                    <w:bottom w:val="single" w:color="auto" w:sz="6" w:space="0"/>
                    <w:right w:val="single" w:color="auto" w:sz="4" w:space="0"/>
                  </w:tcBorders>
                  <w:vAlign w:val="center"/>
                </w:tcPr>
                <w:p w14:paraId="0AEFA66C">
                  <w:pPr>
                    <w:pStyle w:val="29"/>
                    <w:rPr>
                      <w:sz w:val="21"/>
                      <w:szCs w:val="21"/>
                    </w:rPr>
                  </w:pPr>
                  <w:r>
                    <w:rPr>
                      <w:sz w:val="21"/>
                      <w:szCs w:val="21"/>
                    </w:rPr>
                    <w:t>/</w:t>
                  </w:r>
                </w:p>
              </w:tc>
              <w:tc>
                <w:tcPr>
                  <w:tcW w:w="571" w:type="pct"/>
                  <w:tcBorders>
                    <w:top w:val="single" w:color="auto" w:sz="4" w:space="0"/>
                    <w:left w:val="single" w:color="auto" w:sz="4" w:space="0"/>
                    <w:bottom w:val="single" w:color="auto" w:sz="4" w:space="0"/>
                    <w:right w:val="single" w:color="auto" w:sz="4" w:space="0"/>
                  </w:tcBorders>
                  <w:vAlign w:val="center"/>
                </w:tcPr>
                <w:p w14:paraId="26D027CC">
                  <w:pPr>
                    <w:pStyle w:val="29"/>
                    <w:rPr>
                      <w:sz w:val="21"/>
                      <w:szCs w:val="21"/>
                    </w:rPr>
                  </w:pPr>
                  <w:r>
                    <w:rPr>
                      <w:sz w:val="21"/>
                      <w:szCs w:val="21"/>
                    </w:rPr>
                    <w:t>20</w:t>
                  </w:r>
                </w:p>
              </w:tc>
              <w:tc>
                <w:tcPr>
                  <w:tcW w:w="483" w:type="pct"/>
                  <w:vMerge w:val="continue"/>
                  <w:tcBorders>
                    <w:top w:val="single" w:color="auto" w:sz="4" w:space="0"/>
                    <w:left w:val="single" w:color="auto" w:sz="4" w:space="0"/>
                    <w:bottom w:val="single" w:color="auto" w:sz="4" w:space="0"/>
                    <w:right w:val="single" w:color="auto" w:sz="4" w:space="0"/>
                  </w:tcBorders>
                  <w:vAlign w:val="center"/>
                </w:tcPr>
                <w:p w14:paraId="1A93772E">
                  <w:pPr>
                    <w:pStyle w:val="29"/>
                    <w:rPr>
                      <w:sz w:val="21"/>
                      <w:szCs w:val="21"/>
                    </w:rPr>
                  </w:pPr>
                </w:p>
              </w:tc>
            </w:tr>
            <w:tr w14:paraId="4EAFCBA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63D51706">
                  <w:pPr>
                    <w:pStyle w:val="29"/>
                    <w:rPr>
                      <w:sz w:val="21"/>
                      <w:szCs w:val="21"/>
                    </w:rPr>
                  </w:pPr>
                  <w:r>
                    <w:rPr>
                      <w:sz w:val="21"/>
                      <w:szCs w:val="21"/>
                    </w:rPr>
                    <w:t>4</w:t>
                  </w:r>
                </w:p>
              </w:tc>
              <w:tc>
                <w:tcPr>
                  <w:tcW w:w="449" w:type="pct"/>
                  <w:tcBorders>
                    <w:top w:val="single" w:color="auto" w:sz="6" w:space="0"/>
                    <w:left w:val="single" w:color="auto" w:sz="6" w:space="0"/>
                    <w:bottom w:val="single" w:color="auto" w:sz="6" w:space="0"/>
                    <w:right w:val="single" w:color="auto" w:sz="6" w:space="0"/>
                  </w:tcBorders>
                  <w:vAlign w:val="center"/>
                </w:tcPr>
                <w:p w14:paraId="00E13061">
                  <w:pPr>
                    <w:pStyle w:val="29"/>
                    <w:rPr>
                      <w:sz w:val="21"/>
                      <w:szCs w:val="21"/>
                    </w:rPr>
                  </w:pPr>
                  <w:r>
                    <w:rPr>
                      <w:sz w:val="21"/>
                      <w:szCs w:val="21"/>
                    </w:rPr>
                    <w:t>辅料</w:t>
                  </w:r>
                </w:p>
              </w:tc>
              <w:tc>
                <w:tcPr>
                  <w:tcW w:w="597" w:type="pct"/>
                  <w:tcBorders>
                    <w:top w:val="single" w:color="auto" w:sz="6" w:space="0"/>
                    <w:left w:val="single" w:color="auto" w:sz="6" w:space="0"/>
                    <w:bottom w:val="single" w:color="auto" w:sz="6" w:space="0"/>
                    <w:right w:val="single" w:color="auto" w:sz="6" w:space="0"/>
                  </w:tcBorders>
                  <w:vAlign w:val="center"/>
                </w:tcPr>
                <w:p w14:paraId="5A099BA1">
                  <w:pPr>
                    <w:pStyle w:val="29"/>
                    <w:rPr>
                      <w:sz w:val="21"/>
                      <w:szCs w:val="21"/>
                    </w:rPr>
                  </w:pPr>
                  <w:r>
                    <w:rPr>
                      <w:sz w:val="21"/>
                      <w:szCs w:val="21"/>
                    </w:rPr>
                    <w:t>硼砂</w:t>
                  </w:r>
                </w:p>
              </w:tc>
              <w:tc>
                <w:tcPr>
                  <w:tcW w:w="786" w:type="pct"/>
                  <w:tcBorders>
                    <w:top w:val="single" w:color="auto" w:sz="6" w:space="0"/>
                    <w:left w:val="single" w:color="auto" w:sz="6" w:space="0"/>
                    <w:bottom w:val="single" w:color="auto" w:sz="6" w:space="0"/>
                    <w:right w:val="single" w:color="auto" w:sz="6" w:space="0"/>
                  </w:tcBorders>
                  <w:vAlign w:val="center"/>
                </w:tcPr>
                <w:p w14:paraId="3DA457A4">
                  <w:pPr>
                    <w:pStyle w:val="29"/>
                    <w:rPr>
                      <w:sz w:val="21"/>
                      <w:szCs w:val="21"/>
                    </w:rPr>
                  </w:pPr>
                  <w:r>
                    <w:rPr>
                      <w:sz w:val="21"/>
                      <w:szCs w:val="21"/>
                    </w:rPr>
                    <w:t>6.2</w:t>
                  </w:r>
                </w:p>
              </w:tc>
              <w:tc>
                <w:tcPr>
                  <w:tcW w:w="452" w:type="pct"/>
                  <w:tcBorders>
                    <w:top w:val="single" w:color="auto" w:sz="6" w:space="0"/>
                    <w:left w:val="single" w:color="auto" w:sz="6" w:space="0"/>
                    <w:bottom w:val="single" w:color="auto" w:sz="6" w:space="0"/>
                    <w:right w:val="single" w:color="auto" w:sz="6" w:space="0"/>
                  </w:tcBorders>
                  <w:vAlign w:val="center"/>
                </w:tcPr>
                <w:p w14:paraId="64C2FFF3">
                  <w:pPr>
                    <w:pStyle w:val="29"/>
                    <w:rPr>
                      <w:sz w:val="21"/>
                      <w:szCs w:val="21"/>
                    </w:rPr>
                  </w:pPr>
                  <w:r>
                    <w:rPr>
                      <w:sz w:val="21"/>
                      <w:szCs w:val="21"/>
                    </w:rPr>
                    <w:t>袋装</w:t>
                  </w:r>
                </w:p>
              </w:tc>
              <w:tc>
                <w:tcPr>
                  <w:tcW w:w="494" w:type="pct"/>
                  <w:tcBorders>
                    <w:top w:val="single" w:color="auto" w:sz="6" w:space="0"/>
                    <w:left w:val="single" w:color="auto" w:sz="6" w:space="0"/>
                    <w:bottom w:val="single" w:color="auto" w:sz="6" w:space="0"/>
                    <w:right w:val="single" w:color="auto" w:sz="6" w:space="0"/>
                  </w:tcBorders>
                  <w:vAlign w:val="center"/>
                </w:tcPr>
                <w:p w14:paraId="27E1F129">
                  <w:pPr>
                    <w:pStyle w:val="29"/>
                    <w:rPr>
                      <w:sz w:val="21"/>
                      <w:szCs w:val="21"/>
                    </w:rPr>
                  </w:pPr>
                  <w:r>
                    <w:rPr>
                      <w:sz w:val="21"/>
                      <w:szCs w:val="21"/>
                    </w:rPr>
                    <w:t>粉状</w:t>
                  </w:r>
                </w:p>
              </w:tc>
              <w:tc>
                <w:tcPr>
                  <w:tcW w:w="845" w:type="pct"/>
                  <w:tcBorders>
                    <w:top w:val="single" w:color="auto" w:sz="6" w:space="0"/>
                    <w:left w:val="single" w:color="auto" w:sz="6" w:space="0"/>
                    <w:bottom w:val="single" w:color="auto" w:sz="6" w:space="0"/>
                    <w:right w:val="single" w:color="auto" w:sz="4" w:space="0"/>
                  </w:tcBorders>
                  <w:vAlign w:val="center"/>
                </w:tcPr>
                <w:p w14:paraId="21ED6A3E">
                  <w:pPr>
                    <w:pStyle w:val="29"/>
                    <w:rPr>
                      <w:sz w:val="21"/>
                      <w:szCs w:val="21"/>
                    </w:rPr>
                  </w:pPr>
                  <w:r>
                    <w:rPr>
                      <w:sz w:val="21"/>
                      <w:szCs w:val="21"/>
                    </w:rPr>
                    <w:t>50kg包装袋</w:t>
                  </w:r>
                </w:p>
              </w:tc>
              <w:tc>
                <w:tcPr>
                  <w:tcW w:w="571" w:type="pct"/>
                  <w:tcBorders>
                    <w:top w:val="single" w:color="auto" w:sz="4" w:space="0"/>
                    <w:left w:val="single" w:color="auto" w:sz="4" w:space="0"/>
                    <w:bottom w:val="single" w:color="auto" w:sz="4" w:space="0"/>
                    <w:right w:val="single" w:color="auto" w:sz="4" w:space="0"/>
                  </w:tcBorders>
                  <w:vAlign w:val="center"/>
                </w:tcPr>
                <w:p w14:paraId="2C1196C7">
                  <w:pPr>
                    <w:pStyle w:val="29"/>
                    <w:rPr>
                      <w:sz w:val="21"/>
                      <w:szCs w:val="21"/>
                    </w:rPr>
                  </w:pPr>
                  <w:r>
                    <w:rPr>
                      <w:sz w:val="21"/>
                      <w:szCs w:val="21"/>
                    </w:rPr>
                    <w:t>0.5</w:t>
                  </w:r>
                </w:p>
              </w:tc>
              <w:tc>
                <w:tcPr>
                  <w:tcW w:w="483" w:type="pct"/>
                  <w:vMerge w:val="continue"/>
                  <w:tcBorders>
                    <w:top w:val="single" w:color="auto" w:sz="4" w:space="0"/>
                    <w:left w:val="single" w:color="auto" w:sz="4" w:space="0"/>
                    <w:bottom w:val="single" w:color="auto" w:sz="4" w:space="0"/>
                    <w:right w:val="single" w:color="auto" w:sz="4" w:space="0"/>
                  </w:tcBorders>
                  <w:vAlign w:val="center"/>
                </w:tcPr>
                <w:p w14:paraId="39D22A5C">
                  <w:pPr>
                    <w:pStyle w:val="29"/>
                    <w:rPr>
                      <w:sz w:val="21"/>
                      <w:szCs w:val="21"/>
                    </w:rPr>
                  </w:pPr>
                </w:p>
              </w:tc>
            </w:tr>
            <w:tr w14:paraId="70119064">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4923F93E">
                  <w:pPr>
                    <w:pStyle w:val="29"/>
                    <w:rPr>
                      <w:sz w:val="21"/>
                      <w:szCs w:val="21"/>
                    </w:rPr>
                  </w:pPr>
                  <w:r>
                    <w:rPr>
                      <w:sz w:val="21"/>
                      <w:szCs w:val="21"/>
                    </w:rPr>
                    <w:t>5</w:t>
                  </w:r>
                </w:p>
              </w:tc>
              <w:tc>
                <w:tcPr>
                  <w:tcW w:w="449" w:type="pct"/>
                  <w:tcBorders>
                    <w:top w:val="single" w:color="auto" w:sz="6" w:space="0"/>
                    <w:left w:val="single" w:color="auto" w:sz="6" w:space="0"/>
                    <w:bottom w:val="single" w:color="auto" w:sz="6" w:space="0"/>
                    <w:right w:val="single" w:color="auto" w:sz="6" w:space="0"/>
                  </w:tcBorders>
                  <w:vAlign w:val="center"/>
                </w:tcPr>
                <w:p w14:paraId="041D8EE0">
                  <w:pPr>
                    <w:pStyle w:val="29"/>
                    <w:rPr>
                      <w:sz w:val="21"/>
                      <w:szCs w:val="21"/>
                    </w:rPr>
                  </w:pPr>
                  <w:r>
                    <w:rPr>
                      <w:sz w:val="21"/>
                      <w:szCs w:val="21"/>
                    </w:rPr>
                    <w:t>辅料</w:t>
                  </w:r>
                </w:p>
              </w:tc>
              <w:tc>
                <w:tcPr>
                  <w:tcW w:w="597" w:type="pct"/>
                  <w:tcBorders>
                    <w:top w:val="single" w:color="auto" w:sz="6" w:space="0"/>
                    <w:left w:val="single" w:color="auto" w:sz="6" w:space="0"/>
                    <w:bottom w:val="single" w:color="auto" w:sz="6" w:space="0"/>
                    <w:right w:val="single" w:color="auto" w:sz="6" w:space="0"/>
                  </w:tcBorders>
                  <w:vAlign w:val="center"/>
                </w:tcPr>
                <w:p w14:paraId="7CFEE88F">
                  <w:pPr>
                    <w:pStyle w:val="29"/>
                    <w:rPr>
                      <w:sz w:val="21"/>
                      <w:szCs w:val="21"/>
                    </w:rPr>
                  </w:pPr>
                  <w:r>
                    <w:rPr>
                      <w:sz w:val="21"/>
                      <w:szCs w:val="21"/>
                    </w:rPr>
                    <w:t>氢氧化钠</w:t>
                  </w:r>
                </w:p>
              </w:tc>
              <w:tc>
                <w:tcPr>
                  <w:tcW w:w="786" w:type="pct"/>
                  <w:tcBorders>
                    <w:top w:val="single" w:color="auto" w:sz="6" w:space="0"/>
                    <w:left w:val="single" w:color="auto" w:sz="6" w:space="0"/>
                    <w:bottom w:val="single" w:color="auto" w:sz="6" w:space="0"/>
                    <w:right w:val="single" w:color="auto" w:sz="6" w:space="0"/>
                  </w:tcBorders>
                  <w:vAlign w:val="center"/>
                </w:tcPr>
                <w:p w14:paraId="5A2CB733">
                  <w:pPr>
                    <w:pStyle w:val="29"/>
                    <w:rPr>
                      <w:sz w:val="21"/>
                      <w:szCs w:val="21"/>
                    </w:rPr>
                  </w:pPr>
                  <w:r>
                    <w:rPr>
                      <w:sz w:val="21"/>
                      <w:szCs w:val="21"/>
                    </w:rPr>
                    <w:t>3.7</w:t>
                  </w:r>
                </w:p>
              </w:tc>
              <w:tc>
                <w:tcPr>
                  <w:tcW w:w="452" w:type="pct"/>
                  <w:tcBorders>
                    <w:top w:val="single" w:color="auto" w:sz="6" w:space="0"/>
                    <w:left w:val="single" w:color="auto" w:sz="6" w:space="0"/>
                    <w:bottom w:val="single" w:color="auto" w:sz="6" w:space="0"/>
                    <w:right w:val="single" w:color="auto" w:sz="6" w:space="0"/>
                  </w:tcBorders>
                  <w:vAlign w:val="center"/>
                </w:tcPr>
                <w:p w14:paraId="007D061C">
                  <w:pPr>
                    <w:pStyle w:val="29"/>
                    <w:rPr>
                      <w:sz w:val="21"/>
                      <w:szCs w:val="21"/>
                    </w:rPr>
                  </w:pPr>
                  <w:r>
                    <w:rPr>
                      <w:sz w:val="21"/>
                      <w:szCs w:val="21"/>
                    </w:rPr>
                    <w:t>袋装</w:t>
                  </w:r>
                </w:p>
              </w:tc>
              <w:tc>
                <w:tcPr>
                  <w:tcW w:w="494" w:type="pct"/>
                  <w:tcBorders>
                    <w:top w:val="single" w:color="auto" w:sz="6" w:space="0"/>
                    <w:left w:val="single" w:color="auto" w:sz="6" w:space="0"/>
                    <w:bottom w:val="single" w:color="auto" w:sz="6" w:space="0"/>
                    <w:right w:val="single" w:color="auto" w:sz="6" w:space="0"/>
                  </w:tcBorders>
                  <w:vAlign w:val="center"/>
                </w:tcPr>
                <w:p w14:paraId="576006D5">
                  <w:pPr>
                    <w:pStyle w:val="29"/>
                    <w:rPr>
                      <w:sz w:val="21"/>
                      <w:szCs w:val="21"/>
                    </w:rPr>
                  </w:pPr>
                  <w:r>
                    <w:rPr>
                      <w:sz w:val="21"/>
                      <w:szCs w:val="21"/>
                    </w:rPr>
                    <w:t>片状</w:t>
                  </w:r>
                </w:p>
              </w:tc>
              <w:tc>
                <w:tcPr>
                  <w:tcW w:w="845" w:type="pct"/>
                  <w:tcBorders>
                    <w:top w:val="single" w:color="auto" w:sz="6" w:space="0"/>
                    <w:left w:val="single" w:color="auto" w:sz="6" w:space="0"/>
                    <w:bottom w:val="single" w:color="auto" w:sz="6" w:space="0"/>
                    <w:right w:val="single" w:color="auto" w:sz="4" w:space="0"/>
                  </w:tcBorders>
                  <w:vAlign w:val="center"/>
                </w:tcPr>
                <w:p w14:paraId="19F30F18">
                  <w:pPr>
                    <w:pStyle w:val="29"/>
                    <w:rPr>
                      <w:sz w:val="21"/>
                      <w:szCs w:val="21"/>
                    </w:rPr>
                  </w:pPr>
                  <w:r>
                    <w:rPr>
                      <w:sz w:val="21"/>
                      <w:szCs w:val="21"/>
                    </w:rPr>
                    <w:t>20kg包装袋</w:t>
                  </w:r>
                </w:p>
              </w:tc>
              <w:tc>
                <w:tcPr>
                  <w:tcW w:w="571" w:type="pct"/>
                  <w:tcBorders>
                    <w:top w:val="single" w:color="auto" w:sz="4" w:space="0"/>
                    <w:left w:val="single" w:color="auto" w:sz="4" w:space="0"/>
                    <w:bottom w:val="single" w:color="auto" w:sz="4" w:space="0"/>
                    <w:right w:val="single" w:color="auto" w:sz="4" w:space="0"/>
                  </w:tcBorders>
                  <w:vAlign w:val="center"/>
                </w:tcPr>
                <w:p w14:paraId="1C96D85F">
                  <w:pPr>
                    <w:pStyle w:val="29"/>
                    <w:rPr>
                      <w:sz w:val="21"/>
                      <w:szCs w:val="21"/>
                    </w:rPr>
                  </w:pPr>
                  <w:r>
                    <w:rPr>
                      <w:sz w:val="21"/>
                      <w:szCs w:val="21"/>
                    </w:rPr>
                    <w:t>0.3</w:t>
                  </w:r>
                </w:p>
              </w:tc>
              <w:tc>
                <w:tcPr>
                  <w:tcW w:w="483" w:type="pct"/>
                  <w:vMerge w:val="continue"/>
                  <w:tcBorders>
                    <w:top w:val="single" w:color="auto" w:sz="4" w:space="0"/>
                    <w:left w:val="single" w:color="auto" w:sz="4" w:space="0"/>
                    <w:bottom w:val="single" w:color="auto" w:sz="4" w:space="0"/>
                    <w:right w:val="single" w:color="auto" w:sz="4" w:space="0"/>
                  </w:tcBorders>
                  <w:vAlign w:val="center"/>
                </w:tcPr>
                <w:p w14:paraId="61F78761">
                  <w:pPr>
                    <w:pStyle w:val="29"/>
                    <w:rPr>
                      <w:sz w:val="21"/>
                      <w:szCs w:val="21"/>
                    </w:rPr>
                  </w:pPr>
                </w:p>
              </w:tc>
            </w:tr>
            <w:tr w14:paraId="39315376">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6CDD4BB4">
                  <w:pPr>
                    <w:pStyle w:val="29"/>
                    <w:rPr>
                      <w:sz w:val="21"/>
                      <w:szCs w:val="21"/>
                      <w:highlight w:val="none"/>
                    </w:rPr>
                  </w:pPr>
                  <w:r>
                    <w:rPr>
                      <w:sz w:val="21"/>
                      <w:szCs w:val="21"/>
                      <w:highlight w:val="none"/>
                    </w:rPr>
                    <w:t>6</w:t>
                  </w:r>
                </w:p>
              </w:tc>
              <w:tc>
                <w:tcPr>
                  <w:tcW w:w="449" w:type="pct"/>
                  <w:tcBorders>
                    <w:top w:val="single" w:color="auto" w:sz="6" w:space="0"/>
                    <w:left w:val="single" w:color="auto" w:sz="6" w:space="0"/>
                    <w:bottom w:val="single" w:color="auto" w:sz="6" w:space="0"/>
                    <w:right w:val="single" w:color="auto" w:sz="6" w:space="0"/>
                  </w:tcBorders>
                  <w:vAlign w:val="center"/>
                </w:tcPr>
                <w:p w14:paraId="00AE3081">
                  <w:pPr>
                    <w:pStyle w:val="29"/>
                    <w:rPr>
                      <w:sz w:val="21"/>
                      <w:szCs w:val="21"/>
                      <w:highlight w:val="none"/>
                    </w:rPr>
                  </w:pPr>
                  <w:r>
                    <w:rPr>
                      <w:sz w:val="21"/>
                      <w:szCs w:val="21"/>
                      <w:highlight w:val="none"/>
                    </w:rPr>
                    <w:t>辅料</w:t>
                  </w:r>
                </w:p>
              </w:tc>
              <w:tc>
                <w:tcPr>
                  <w:tcW w:w="597" w:type="pct"/>
                  <w:tcBorders>
                    <w:top w:val="single" w:color="auto" w:sz="6" w:space="0"/>
                    <w:left w:val="single" w:color="auto" w:sz="6" w:space="0"/>
                    <w:bottom w:val="single" w:color="auto" w:sz="6" w:space="0"/>
                    <w:right w:val="single" w:color="auto" w:sz="6" w:space="0"/>
                  </w:tcBorders>
                  <w:vAlign w:val="center"/>
                </w:tcPr>
                <w:p w14:paraId="35877EEF">
                  <w:pPr>
                    <w:pStyle w:val="29"/>
                    <w:rPr>
                      <w:sz w:val="21"/>
                      <w:szCs w:val="21"/>
                      <w:highlight w:val="none"/>
                    </w:rPr>
                  </w:pPr>
                  <w:r>
                    <w:rPr>
                      <w:sz w:val="21"/>
                      <w:szCs w:val="21"/>
                      <w:highlight w:val="none"/>
                    </w:rPr>
                    <w:t>水性油墨</w:t>
                  </w:r>
                </w:p>
              </w:tc>
              <w:tc>
                <w:tcPr>
                  <w:tcW w:w="786" w:type="pct"/>
                  <w:tcBorders>
                    <w:top w:val="single" w:color="auto" w:sz="6" w:space="0"/>
                    <w:left w:val="single" w:color="auto" w:sz="6" w:space="0"/>
                    <w:bottom w:val="single" w:color="auto" w:sz="6" w:space="0"/>
                    <w:right w:val="single" w:color="auto" w:sz="6" w:space="0"/>
                  </w:tcBorders>
                  <w:vAlign w:val="center"/>
                </w:tcPr>
                <w:p w14:paraId="2A1D67E6">
                  <w:pPr>
                    <w:pStyle w:val="29"/>
                    <w:rPr>
                      <w:sz w:val="21"/>
                      <w:szCs w:val="21"/>
                      <w:highlight w:val="none"/>
                    </w:rPr>
                  </w:pPr>
                  <w:r>
                    <w:rPr>
                      <w:sz w:val="21"/>
                      <w:szCs w:val="21"/>
                      <w:highlight w:val="none"/>
                    </w:rPr>
                    <w:t>0.5</w:t>
                  </w:r>
                </w:p>
              </w:tc>
              <w:tc>
                <w:tcPr>
                  <w:tcW w:w="452" w:type="pct"/>
                  <w:tcBorders>
                    <w:top w:val="single" w:color="auto" w:sz="6" w:space="0"/>
                    <w:left w:val="single" w:color="auto" w:sz="6" w:space="0"/>
                    <w:bottom w:val="single" w:color="auto" w:sz="6" w:space="0"/>
                    <w:right w:val="single" w:color="auto" w:sz="6" w:space="0"/>
                  </w:tcBorders>
                  <w:vAlign w:val="center"/>
                </w:tcPr>
                <w:p w14:paraId="4527B606">
                  <w:pPr>
                    <w:pStyle w:val="29"/>
                    <w:rPr>
                      <w:sz w:val="21"/>
                      <w:szCs w:val="21"/>
                      <w:highlight w:val="none"/>
                    </w:rPr>
                  </w:pPr>
                  <w:r>
                    <w:rPr>
                      <w:sz w:val="21"/>
                      <w:szCs w:val="21"/>
                      <w:highlight w:val="none"/>
                    </w:rPr>
                    <w:t>桶装</w:t>
                  </w:r>
                </w:p>
              </w:tc>
              <w:tc>
                <w:tcPr>
                  <w:tcW w:w="494" w:type="pct"/>
                  <w:tcBorders>
                    <w:top w:val="single" w:color="auto" w:sz="6" w:space="0"/>
                    <w:left w:val="single" w:color="auto" w:sz="6" w:space="0"/>
                    <w:bottom w:val="single" w:color="auto" w:sz="6" w:space="0"/>
                    <w:right w:val="single" w:color="auto" w:sz="6" w:space="0"/>
                  </w:tcBorders>
                  <w:vAlign w:val="center"/>
                </w:tcPr>
                <w:p w14:paraId="1F7EEB5C">
                  <w:pPr>
                    <w:pStyle w:val="29"/>
                    <w:rPr>
                      <w:sz w:val="21"/>
                      <w:szCs w:val="21"/>
                      <w:highlight w:val="none"/>
                    </w:rPr>
                  </w:pPr>
                  <w:r>
                    <w:rPr>
                      <w:sz w:val="21"/>
                      <w:szCs w:val="21"/>
                      <w:highlight w:val="none"/>
                    </w:rPr>
                    <w:t>液态</w:t>
                  </w:r>
                </w:p>
              </w:tc>
              <w:tc>
                <w:tcPr>
                  <w:tcW w:w="845" w:type="pct"/>
                  <w:tcBorders>
                    <w:top w:val="single" w:color="auto" w:sz="6" w:space="0"/>
                    <w:left w:val="single" w:color="auto" w:sz="6" w:space="0"/>
                    <w:bottom w:val="single" w:color="auto" w:sz="6" w:space="0"/>
                    <w:right w:val="single" w:color="auto" w:sz="6" w:space="0"/>
                  </w:tcBorders>
                  <w:vAlign w:val="center"/>
                </w:tcPr>
                <w:p w14:paraId="6317E077">
                  <w:pPr>
                    <w:pStyle w:val="29"/>
                    <w:rPr>
                      <w:sz w:val="21"/>
                      <w:szCs w:val="21"/>
                      <w:highlight w:val="none"/>
                    </w:rPr>
                  </w:pPr>
                  <w:r>
                    <w:rPr>
                      <w:sz w:val="21"/>
                      <w:szCs w:val="21"/>
                      <w:highlight w:val="none"/>
                    </w:rPr>
                    <w:t>10kg包装桶</w:t>
                  </w:r>
                </w:p>
              </w:tc>
              <w:tc>
                <w:tcPr>
                  <w:tcW w:w="571" w:type="pct"/>
                  <w:tcBorders>
                    <w:top w:val="single" w:color="auto" w:sz="4" w:space="0"/>
                    <w:left w:val="single" w:color="auto" w:sz="6" w:space="0"/>
                    <w:bottom w:val="single" w:color="auto" w:sz="6" w:space="0"/>
                    <w:right w:val="single" w:color="auto" w:sz="6" w:space="0"/>
                  </w:tcBorders>
                  <w:vAlign w:val="center"/>
                </w:tcPr>
                <w:p w14:paraId="260B3057">
                  <w:pPr>
                    <w:pStyle w:val="29"/>
                    <w:rPr>
                      <w:sz w:val="21"/>
                      <w:szCs w:val="21"/>
                    </w:rPr>
                  </w:pPr>
                  <w:r>
                    <w:rPr>
                      <w:sz w:val="21"/>
                      <w:szCs w:val="21"/>
                    </w:rPr>
                    <w:t>0.08</w:t>
                  </w:r>
                </w:p>
              </w:tc>
              <w:tc>
                <w:tcPr>
                  <w:tcW w:w="483" w:type="pct"/>
                  <w:vMerge w:val="continue"/>
                  <w:tcBorders>
                    <w:top w:val="single" w:color="auto" w:sz="4" w:space="0"/>
                    <w:left w:val="single" w:color="auto" w:sz="6" w:space="0"/>
                    <w:right w:val="single" w:color="auto" w:sz="4" w:space="0"/>
                  </w:tcBorders>
                  <w:vAlign w:val="center"/>
                </w:tcPr>
                <w:p w14:paraId="164A3DCB">
                  <w:pPr>
                    <w:pStyle w:val="29"/>
                    <w:rPr>
                      <w:sz w:val="21"/>
                      <w:szCs w:val="21"/>
                    </w:rPr>
                  </w:pPr>
                </w:p>
              </w:tc>
            </w:tr>
            <w:tr w14:paraId="35A83C1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320" w:type="pct"/>
                  <w:tcBorders>
                    <w:top w:val="single" w:color="auto" w:sz="6" w:space="0"/>
                    <w:left w:val="single" w:color="auto" w:sz="4" w:space="0"/>
                    <w:bottom w:val="single" w:color="auto" w:sz="6" w:space="0"/>
                    <w:right w:val="single" w:color="auto" w:sz="6" w:space="0"/>
                  </w:tcBorders>
                  <w:vAlign w:val="center"/>
                </w:tcPr>
                <w:p w14:paraId="345BB0FB">
                  <w:pPr>
                    <w:pStyle w:val="29"/>
                    <w:rPr>
                      <w:rFonts w:hint="default"/>
                      <w:sz w:val="21"/>
                      <w:szCs w:val="21"/>
                      <w:highlight w:val="none"/>
                    </w:rPr>
                  </w:pPr>
                  <w:r>
                    <w:rPr>
                      <w:rFonts w:hint="default"/>
                      <w:sz w:val="21"/>
                      <w:szCs w:val="21"/>
                      <w:highlight w:val="none"/>
                      <w:lang w:eastAsia="zh-CN"/>
                    </w:rPr>
                    <w:t>7</w:t>
                  </w:r>
                </w:p>
              </w:tc>
              <w:tc>
                <w:tcPr>
                  <w:tcW w:w="449" w:type="pct"/>
                  <w:tcBorders>
                    <w:top w:val="single" w:color="auto" w:sz="6" w:space="0"/>
                    <w:left w:val="single" w:color="auto" w:sz="6" w:space="0"/>
                    <w:bottom w:val="single" w:color="auto" w:sz="6" w:space="0"/>
                    <w:right w:val="single" w:color="auto" w:sz="6" w:space="0"/>
                  </w:tcBorders>
                  <w:vAlign w:val="center"/>
                </w:tcPr>
                <w:p w14:paraId="3CA1623A">
                  <w:pPr>
                    <w:pStyle w:val="29"/>
                    <w:rPr>
                      <w:sz w:val="21"/>
                      <w:szCs w:val="21"/>
                      <w:highlight w:val="none"/>
                    </w:rPr>
                  </w:pPr>
                  <w:r>
                    <w:rPr>
                      <w:sz w:val="21"/>
                      <w:szCs w:val="21"/>
                      <w:highlight w:val="none"/>
                    </w:rPr>
                    <w:t>辅料</w:t>
                  </w:r>
                </w:p>
              </w:tc>
              <w:tc>
                <w:tcPr>
                  <w:tcW w:w="597" w:type="pct"/>
                  <w:tcBorders>
                    <w:top w:val="single" w:color="auto" w:sz="6" w:space="0"/>
                    <w:left w:val="single" w:color="auto" w:sz="6" w:space="0"/>
                    <w:bottom w:val="single" w:color="auto" w:sz="6" w:space="0"/>
                    <w:right w:val="single" w:color="auto" w:sz="6" w:space="0"/>
                  </w:tcBorders>
                  <w:vAlign w:val="center"/>
                </w:tcPr>
                <w:p w14:paraId="16422B22">
                  <w:pPr>
                    <w:pStyle w:val="29"/>
                    <w:rPr>
                      <w:sz w:val="21"/>
                      <w:szCs w:val="21"/>
                      <w:highlight w:val="none"/>
                    </w:rPr>
                  </w:pPr>
                  <w:r>
                    <w:rPr>
                      <w:sz w:val="21"/>
                      <w:szCs w:val="21"/>
                      <w:highlight w:val="none"/>
                    </w:rPr>
                    <w:t>机油</w:t>
                  </w:r>
                </w:p>
              </w:tc>
              <w:tc>
                <w:tcPr>
                  <w:tcW w:w="786" w:type="pct"/>
                  <w:tcBorders>
                    <w:top w:val="single" w:color="auto" w:sz="6" w:space="0"/>
                    <w:left w:val="single" w:color="auto" w:sz="6" w:space="0"/>
                    <w:bottom w:val="single" w:color="auto" w:sz="6" w:space="0"/>
                    <w:right w:val="single" w:color="auto" w:sz="6" w:space="0"/>
                  </w:tcBorders>
                  <w:vAlign w:val="center"/>
                </w:tcPr>
                <w:p w14:paraId="037D6596">
                  <w:pPr>
                    <w:pStyle w:val="29"/>
                    <w:rPr>
                      <w:sz w:val="21"/>
                      <w:szCs w:val="21"/>
                      <w:highlight w:val="none"/>
                    </w:rPr>
                  </w:pPr>
                  <w:r>
                    <w:rPr>
                      <w:sz w:val="21"/>
                      <w:szCs w:val="21"/>
                      <w:highlight w:val="none"/>
                    </w:rPr>
                    <w:t>0.3</w:t>
                  </w:r>
                </w:p>
              </w:tc>
              <w:tc>
                <w:tcPr>
                  <w:tcW w:w="452" w:type="pct"/>
                  <w:tcBorders>
                    <w:top w:val="single" w:color="auto" w:sz="6" w:space="0"/>
                    <w:left w:val="single" w:color="auto" w:sz="6" w:space="0"/>
                    <w:bottom w:val="single" w:color="auto" w:sz="6" w:space="0"/>
                    <w:right w:val="single" w:color="auto" w:sz="6" w:space="0"/>
                  </w:tcBorders>
                  <w:vAlign w:val="center"/>
                </w:tcPr>
                <w:p w14:paraId="7CAEE1BD">
                  <w:pPr>
                    <w:pStyle w:val="29"/>
                    <w:rPr>
                      <w:sz w:val="21"/>
                      <w:szCs w:val="21"/>
                      <w:highlight w:val="none"/>
                    </w:rPr>
                  </w:pPr>
                  <w:r>
                    <w:rPr>
                      <w:sz w:val="21"/>
                      <w:szCs w:val="21"/>
                      <w:highlight w:val="none"/>
                    </w:rPr>
                    <w:t>桶装</w:t>
                  </w:r>
                </w:p>
              </w:tc>
              <w:tc>
                <w:tcPr>
                  <w:tcW w:w="494" w:type="pct"/>
                  <w:tcBorders>
                    <w:top w:val="single" w:color="auto" w:sz="6" w:space="0"/>
                    <w:left w:val="single" w:color="auto" w:sz="6" w:space="0"/>
                    <w:bottom w:val="single" w:color="auto" w:sz="6" w:space="0"/>
                    <w:right w:val="single" w:color="auto" w:sz="6" w:space="0"/>
                  </w:tcBorders>
                  <w:vAlign w:val="center"/>
                </w:tcPr>
                <w:p w14:paraId="5C16FCFB">
                  <w:pPr>
                    <w:pStyle w:val="29"/>
                    <w:rPr>
                      <w:sz w:val="21"/>
                      <w:szCs w:val="21"/>
                      <w:highlight w:val="none"/>
                    </w:rPr>
                  </w:pPr>
                  <w:r>
                    <w:rPr>
                      <w:sz w:val="21"/>
                      <w:szCs w:val="21"/>
                      <w:highlight w:val="none"/>
                    </w:rPr>
                    <w:t>液态</w:t>
                  </w:r>
                </w:p>
              </w:tc>
              <w:tc>
                <w:tcPr>
                  <w:tcW w:w="845" w:type="pct"/>
                  <w:tcBorders>
                    <w:top w:val="single" w:color="auto" w:sz="6" w:space="0"/>
                    <w:left w:val="single" w:color="auto" w:sz="6" w:space="0"/>
                    <w:bottom w:val="single" w:color="auto" w:sz="6" w:space="0"/>
                    <w:right w:val="single" w:color="auto" w:sz="6" w:space="0"/>
                  </w:tcBorders>
                  <w:vAlign w:val="center"/>
                </w:tcPr>
                <w:p w14:paraId="78F4039E">
                  <w:pPr>
                    <w:pStyle w:val="29"/>
                    <w:rPr>
                      <w:sz w:val="21"/>
                      <w:szCs w:val="21"/>
                      <w:highlight w:val="none"/>
                    </w:rPr>
                  </w:pPr>
                  <w:r>
                    <w:rPr>
                      <w:sz w:val="21"/>
                      <w:szCs w:val="21"/>
                      <w:highlight w:val="none"/>
                    </w:rPr>
                    <w:t>/</w:t>
                  </w:r>
                </w:p>
              </w:tc>
              <w:tc>
                <w:tcPr>
                  <w:tcW w:w="571" w:type="pct"/>
                  <w:tcBorders>
                    <w:top w:val="single" w:color="auto" w:sz="6" w:space="0"/>
                    <w:left w:val="single" w:color="auto" w:sz="6" w:space="0"/>
                    <w:bottom w:val="single" w:color="auto" w:sz="6" w:space="0"/>
                    <w:right w:val="single" w:color="auto" w:sz="6" w:space="0"/>
                  </w:tcBorders>
                  <w:vAlign w:val="center"/>
                </w:tcPr>
                <w:p w14:paraId="443BCDD1">
                  <w:pPr>
                    <w:pStyle w:val="29"/>
                    <w:rPr>
                      <w:sz w:val="21"/>
                      <w:szCs w:val="21"/>
                    </w:rPr>
                  </w:pPr>
                  <w:r>
                    <w:rPr>
                      <w:sz w:val="21"/>
                      <w:szCs w:val="21"/>
                    </w:rPr>
                    <w:t>0.1</w:t>
                  </w:r>
                </w:p>
              </w:tc>
              <w:tc>
                <w:tcPr>
                  <w:tcW w:w="483" w:type="pct"/>
                  <w:vMerge w:val="continue"/>
                  <w:tcBorders>
                    <w:left w:val="single" w:color="auto" w:sz="6" w:space="0"/>
                    <w:right w:val="single" w:color="auto" w:sz="4" w:space="0"/>
                  </w:tcBorders>
                  <w:vAlign w:val="center"/>
                </w:tcPr>
                <w:p w14:paraId="4553A9DC">
                  <w:pPr>
                    <w:pStyle w:val="29"/>
                    <w:rPr>
                      <w:sz w:val="21"/>
                      <w:szCs w:val="21"/>
                    </w:rPr>
                  </w:pPr>
                </w:p>
              </w:tc>
            </w:tr>
            <w:tr w14:paraId="6A12C661">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320" w:type="pct"/>
                  <w:tcBorders>
                    <w:top w:val="single" w:color="auto" w:sz="6" w:space="0"/>
                    <w:left w:val="single" w:color="auto" w:sz="4" w:space="0"/>
                    <w:bottom w:val="single" w:color="auto" w:sz="6" w:space="0"/>
                    <w:right w:val="single" w:color="auto" w:sz="6" w:space="0"/>
                  </w:tcBorders>
                  <w:vAlign w:val="center"/>
                </w:tcPr>
                <w:p w14:paraId="1215BF55">
                  <w:pPr>
                    <w:pStyle w:val="29"/>
                    <w:rPr>
                      <w:rFonts w:hint="default"/>
                      <w:sz w:val="21"/>
                      <w:szCs w:val="21"/>
                      <w:highlight w:val="none"/>
                    </w:rPr>
                  </w:pPr>
                  <w:r>
                    <w:rPr>
                      <w:rFonts w:hint="default"/>
                      <w:sz w:val="21"/>
                      <w:szCs w:val="21"/>
                      <w:highlight w:val="none"/>
                      <w:lang w:eastAsia="zh-CN"/>
                    </w:rPr>
                    <w:t>8</w:t>
                  </w:r>
                </w:p>
              </w:tc>
              <w:tc>
                <w:tcPr>
                  <w:tcW w:w="449" w:type="pct"/>
                  <w:tcBorders>
                    <w:top w:val="single" w:color="auto" w:sz="6" w:space="0"/>
                    <w:left w:val="single" w:color="auto" w:sz="6" w:space="0"/>
                    <w:bottom w:val="single" w:color="auto" w:sz="6" w:space="0"/>
                    <w:right w:val="single" w:color="auto" w:sz="6" w:space="0"/>
                  </w:tcBorders>
                  <w:vAlign w:val="center"/>
                </w:tcPr>
                <w:p w14:paraId="6759E137">
                  <w:pPr>
                    <w:pStyle w:val="29"/>
                    <w:rPr>
                      <w:sz w:val="21"/>
                      <w:szCs w:val="21"/>
                      <w:highlight w:val="none"/>
                    </w:rPr>
                  </w:pPr>
                  <w:r>
                    <w:rPr>
                      <w:sz w:val="21"/>
                      <w:szCs w:val="21"/>
                      <w:highlight w:val="none"/>
                    </w:rPr>
                    <w:t>辅料</w:t>
                  </w:r>
                </w:p>
              </w:tc>
              <w:tc>
                <w:tcPr>
                  <w:tcW w:w="597" w:type="pct"/>
                  <w:tcBorders>
                    <w:top w:val="single" w:color="auto" w:sz="6" w:space="0"/>
                    <w:left w:val="single" w:color="auto" w:sz="6" w:space="0"/>
                    <w:bottom w:val="single" w:color="auto" w:sz="6" w:space="0"/>
                    <w:right w:val="single" w:color="auto" w:sz="6" w:space="0"/>
                  </w:tcBorders>
                  <w:vAlign w:val="center"/>
                </w:tcPr>
                <w:p w14:paraId="7E21E3CD">
                  <w:pPr>
                    <w:pStyle w:val="29"/>
                    <w:rPr>
                      <w:sz w:val="21"/>
                      <w:szCs w:val="21"/>
                      <w:highlight w:val="none"/>
                    </w:rPr>
                  </w:pPr>
                  <w:r>
                    <w:rPr>
                      <w:sz w:val="21"/>
                      <w:szCs w:val="21"/>
                      <w:highlight w:val="none"/>
                    </w:rPr>
                    <w:t>扁丝</w:t>
                  </w:r>
                </w:p>
              </w:tc>
              <w:tc>
                <w:tcPr>
                  <w:tcW w:w="786" w:type="pct"/>
                  <w:tcBorders>
                    <w:top w:val="single" w:color="auto" w:sz="6" w:space="0"/>
                    <w:left w:val="single" w:color="auto" w:sz="6" w:space="0"/>
                    <w:bottom w:val="single" w:color="auto" w:sz="6" w:space="0"/>
                    <w:right w:val="single" w:color="auto" w:sz="6" w:space="0"/>
                  </w:tcBorders>
                  <w:vAlign w:val="center"/>
                </w:tcPr>
                <w:p w14:paraId="752D3418">
                  <w:pPr>
                    <w:pStyle w:val="29"/>
                    <w:rPr>
                      <w:sz w:val="21"/>
                      <w:szCs w:val="21"/>
                      <w:highlight w:val="none"/>
                    </w:rPr>
                  </w:pPr>
                  <w:r>
                    <w:rPr>
                      <w:sz w:val="21"/>
                      <w:szCs w:val="21"/>
                      <w:highlight w:val="none"/>
                    </w:rPr>
                    <w:t>2</w:t>
                  </w:r>
                </w:p>
              </w:tc>
              <w:tc>
                <w:tcPr>
                  <w:tcW w:w="452" w:type="pct"/>
                  <w:tcBorders>
                    <w:top w:val="single" w:color="auto" w:sz="6" w:space="0"/>
                    <w:left w:val="single" w:color="auto" w:sz="6" w:space="0"/>
                    <w:bottom w:val="single" w:color="auto" w:sz="6" w:space="0"/>
                    <w:right w:val="single" w:color="auto" w:sz="6" w:space="0"/>
                  </w:tcBorders>
                  <w:vAlign w:val="center"/>
                </w:tcPr>
                <w:p w14:paraId="62346A0A">
                  <w:pPr>
                    <w:pStyle w:val="29"/>
                    <w:rPr>
                      <w:sz w:val="21"/>
                      <w:szCs w:val="21"/>
                      <w:highlight w:val="none"/>
                    </w:rPr>
                  </w:pPr>
                  <w:r>
                    <w:rPr>
                      <w:sz w:val="21"/>
                      <w:szCs w:val="21"/>
                      <w:highlight w:val="none"/>
                    </w:rPr>
                    <w:t>袋装</w:t>
                  </w:r>
                </w:p>
              </w:tc>
              <w:tc>
                <w:tcPr>
                  <w:tcW w:w="494" w:type="pct"/>
                  <w:tcBorders>
                    <w:top w:val="single" w:color="auto" w:sz="6" w:space="0"/>
                    <w:left w:val="single" w:color="auto" w:sz="6" w:space="0"/>
                    <w:bottom w:val="single" w:color="auto" w:sz="6" w:space="0"/>
                    <w:right w:val="single" w:color="auto" w:sz="6" w:space="0"/>
                  </w:tcBorders>
                  <w:vAlign w:val="center"/>
                </w:tcPr>
                <w:p w14:paraId="0FD4DC13">
                  <w:pPr>
                    <w:pStyle w:val="29"/>
                    <w:rPr>
                      <w:sz w:val="21"/>
                      <w:szCs w:val="21"/>
                      <w:highlight w:val="none"/>
                    </w:rPr>
                  </w:pPr>
                  <w:r>
                    <w:rPr>
                      <w:sz w:val="21"/>
                      <w:szCs w:val="21"/>
                      <w:highlight w:val="none"/>
                    </w:rPr>
                    <w:t>固态</w:t>
                  </w:r>
                </w:p>
              </w:tc>
              <w:tc>
                <w:tcPr>
                  <w:tcW w:w="845" w:type="pct"/>
                  <w:tcBorders>
                    <w:top w:val="single" w:color="auto" w:sz="6" w:space="0"/>
                    <w:left w:val="single" w:color="auto" w:sz="6" w:space="0"/>
                    <w:bottom w:val="single" w:color="auto" w:sz="6" w:space="0"/>
                    <w:right w:val="single" w:color="auto" w:sz="6" w:space="0"/>
                  </w:tcBorders>
                  <w:vAlign w:val="center"/>
                </w:tcPr>
                <w:p w14:paraId="740B8197">
                  <w:pPr>
                    <w:pStyle w:val="29"/>
                    <w:rPr>
                      <w:sz w:val="21"/>
                      <w:szCs w:val="21"/>
                      <w:highlight w:val="none"/>
                    </w:rPr>
                  </w:pPr>
                  <w:r>
                    <w:rPr>
                      <w:sz w:val="21"/>
                      <w:szCs w:val="21"/>
                      <w:highlight w:val="none"/>
                    </w:rPr>
                    <w:t>/</w:t>
                  </w:r>
                </w:p>
              </w:tc>
              <w:tc>
                <w:tcPr>
                  <w:tcW w:w="571" w:type="pct"/>
                  <w:tcBorders>
                    <w:top w:val="single" w:color="auto" w:sz="6" w:space="0"/>
                    <w:left w:val="single" w:color="auto" w:sz="6" w:space="0"/>
                    <w:bottom w:val="single" w:color="auto" w:sz="6" w:space="0"/>
                    <w:right w:val="single" w:color="auto" w:sz="6" w:space="0"/>
                  </w:tcBorders>
                  <w:vAlign w:val="center"/>
                </w:tcPr>
                <w:p w14:paraId="78778300">
                  <w:pPr>
                    <w:pStyle w:val="29"/>
                    <w:rPr>
                      <w:sz w:val="21"/>
                      <w:szCs w:val="21"/>
                    </w:rPr>
                  </w:pPr>
                  <w:r>
                    <w:rPr>
                      <w:sz w:val="21"/>
                      <w:szCs w:val="21"/>
                    </w:rPr>
                    <w:t>0.16</w:t>
                  </w:r>
                </w:p>
              </w:tc>
              <w:tc>
                <w:tcPr>
                  <w:tcW w:w="483" w:type="pct"/>
                  <w:vMerge w:val="continue"/>
                  <w:tcBorders>
                    <w:left w:val="single" w:color="auto" w:sz="6" w:space="0"/>
                    <w:bottom w:val="single" w:color="auto" w:sz="6" w:space="0"/>
                    <w:right w:val="single" w:color="auto" w:sz="4" w:space="0"/>
                  </w:tcBorders>
                  <w:vAlign w:val="center"/>
                </w:tcPr>
                <w:p w14:paraId="1BE98EAA">
                  <w:pPr>
                    <w:pStyle w:val="29"/>
                    <w:rPr>
                      <w:sz w:val="21"/>
                      <w:szCs w:val="21"/>
                    </w:rPr>
                  </w:pPr>
                </w:p>
              </w:tc>
            </w:tr>
            <w:tr w14:paraId="655C9187">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0" w:type="pct"/>
                  <w:tcBorders>
                    <w:top w:val="single" w:color="auto" w:sz="6" w:space="0"/>
                    <w:left w:val="single" w:color="auto" w:sz="4" w:space="0"/>
                    <w:bottom w:val="single" w:color="auto" w:sz="6" w:space="0"/>
                    <w:right w:val="single" w:color="auto" w:sz="6" w:space="0"/>
                  </w:tcBorders>
                  <w:vAlign w:val="center"/>
                </w:tcPr>
                <w:p w14:paraId="6D516109">
                  <w:pPr>
                    <w:pStyle w:val="29"/>
                    <w:rPr>
                      <w:rFonts w:hint="default" w:eastAsia="宋体"/>
                      <w:sz w:val="21"/>
                      <w:szCs w:val="21"/>
                      <w:lang w:eastAsia="zh-CN"/>
                    </w:rPr>
                  </w:pPr>
                  <w:r>
                    <w:rPr>
                      <w:rFonts w:hint="default"/>
                      <w:sz w:val="21"/>
                      <w:szCs w:val="21"/>
                      <w:lang w:val="en-US" w:eastAsia="zh-CN"/>
                    </w:rPr>
                    <w:t>9</w:t>
                  </w:r>
                </w:p>
              </w:tc>
              <w:tc>
                <w:tcPr>
                  <w:tcW w:w="1046" w:type="pct"/>
                  <w:gridSpan w:val="2"/>
                  <w:tcBorders>
                    <w:top w:val="single" w:color="auto" w:sz="6" w:space="0"/>
                    <w:left w:val="single" w:color="auto" w:sz="6" w:space="0"/>
                    <w:bottom w:val="single" w:color="auto" w:sz="6" w:space="0"/>
                    <w:right w:val="single" w:color="auto" w:sz="6" w:space="0"/>
                  </w:tcBorders>
                  <w:vAlign w:val="center"/>
                </w:tcPr>
                <w:p w14:paraId="66048264">
                  <w:pPr>
                    <w:pStyle w:val="29"/>
                    <w:rPr>
                      <w:sz w:val="21"/>
                      <w:szCs w:val="21"/>
                    </w:rPr>
                  </w:pPr>
                  <w:r>
                    <w:rPr>
                      <w:sz w:val="21"/>
                      <w:szCs w:val="21"/>
                    </w:rPr>
                    <w:t>新鲜水</w:t>
                  </w:r>
                </w:p>
              </w:tc>
              <w:tc>
                <w:tcPr>
                  <w:tcW w:w="786" w:type="pct"/>
                  <w:tcBorders>
                    <w:top w:val="single" w:color="auto" w:sz="6" w:space="0"/>
                    <w:left w:val="single" w:color="auto" w:sz="6" w:space="0"/>
                    <w:bottom w:val="single" w:color="auto" w:sz="6" w:space="0"/>
                    <w:right w:val="single" w:color="auto" w:sz="6" w:space="0"/>
                  </w:tcBorders>
                  <w:vAlign w:val="center"/>
                </w:tcPr>
                <w:p w14:paraId="560B145D">
                  <w:pPr>
                    <w:pStyle w:val="29"/>
                    <w:rPr>
                      <w:sz w:val="21"/>
                      <w:szCs w:val="21"/>
                    </w:rPr>
                  </w:pPr>
                  <w:r>
                    <w:rPr>
                      <w:sz w:val="21"/>
                      <w:szCs w:val="21"/>
                    </w:rPr>
                    <w:t>8044m</w:t>
                  </w:r>
                  <w:r>
                    <w:rPr>
                      <w:sz w:val="21"/>
                      <w:szCs w:val="21"/>
                      <w:vertAlign w:val="superscript"/>
                    </w:rPr>
                    <w:t>3</w:t>
                  </w:r>
                  <w:r>
                    <w:rPr>
                      <w:sz w:val="21"/>
                      <w:szCs w:val="21"/>
                    </w:rPr>
                    <w:t>/a</w:t>
                  </w:r>
                </w:p>
              </w:tc>
              <w:tc>
                <w:tcPr>
                  <w:tcW w:w="452" w:type="pct"/>
                  <w:tcBorders>
                    <w:top w:val="single" w:color="auto" w:sz="6" w:space="0"/>
                    <w:left w:val="single" w:color="auto" w:sz="6" w:space="0"/>
                    <w:bottom w:val="single" w:color="auto" w:sz="6" w:space="0"/>
                    <w:right w:val="single" w:color="auto" w:sz="6" w:space="0"/>
                  </w:tcBorders>
                  <w:vAlign w:val="center"/>
                </w:tcPr>
                <w:p w14:paraId="02190C0E">
                  <w:pPr>
                    <w:pStyle w:val="29"/>
                    <w:rPr>
                      <w:sz w:val="21"/>
                      <w:szCs w:val="21"/>
                    </w:rPr>
                  </w:pPr>
                  <w:r>
                    <w:rPr>
                      <w:sz w:val="21"/>
                      <w:szCs w:val="21"/>
                    </w:rPr>
                    <w:t>/</w:t>
                  </w:r>
                </w:p>
              </w:tc>
              <w:tc>
                <w:tcPr>
                  <w:tcW w:w="494" w:type="pct"/>
                  <w:tcBorders>
                    <w:top w:val="single" w:color="auto" w:sz="6" w:space="0"/>
                    <w:left w:val="single" w:color="auto" w:sz="6" w:space="0"/>
                    <w:bottom w:val="single" w:color="auto" w:sz="6" w:space="0"/>
                    <w:right w:val="single" w:color="auto" w:sz="6" w:space="0"/>
                  </w:tcBorders>
                  <w:vAlign w:val="center"/>
                </w:tcPr>
                <w:p w14:paraId="15F02784">
                  <w:pPr>
                    <w:pStyle w:val="29"/>
                    <w:rPr>
                      <w:sz w:val="21"/>
                      <w:szCs w:val="21"/>
                    </w:rPr>
                  </w:pPr>
                </w:p>
              </w:tc>
              <w:tc>
                <w:tcPr>
                  <w:tcW w:w="845" w:type="pct"/>
                  <w:tcBorders>
                    <w:top w:val="single" w:color="auto" w:sz="6" w:space="0"/>
                    <w:left w:val="single" w:color="auto" w:sz="6" w:space="0"/>
                    <w:bottom w:val="single" w:color="auto" w:sz="6" w:space="0"/>
                    <w:right w:val="single" w:color="auto" w:sz="6" w:space="0"/>
                  </w:tcBorders>
                  <w:vAlign w:val="center"/>
                </w:tcPr>
                <w:p w14:paraId="3928AFCC">
                  <w:pPr>
                    <w:pStyle w:val="29"/>
                    <w:rPr>
                      <w:sz w:val="21"/>
                      <w:szCs w:val="21"/>
                    </w:rPr>
                  </w:pPr>
                  <w:r>
                    <w:rPr>
                      <w:sz w:val="21"/>
                      <w:szCs w:val="21"/>
                    </w:rPr>
                    <w:t>/</w:t>
                  </w:r>
                </w:p>
              </w:tc>
              <w:tc>
                <w:tcPr>
                  <w:tcW w:w="571" w:type="pct"/>
                  <w:tcBorders>
                    <w:top w:val="single" w:color="auto" w:sz="6" w:space="0"/>
                    <w:left w:val="single" w:color="auto" w:sz="6" w:space="0"/>
                    <w:bottom w:val="single" w:color="auto" w:sz="6" w:space="0"/>
                    <w:right w:val="single" w:color="auto" w:sz="6" w:space="0"/>
                  </w:tcBorders>
                  <w:vAlign w:val="center"/>
                </w:tcPr>
                <w:p w14:paraId="68ED0278">
                  <w:pPr>
                    <w:pStyle w:val="29"/>
                    <w:rPr>
                      <w:sz w:val="21"/>
                      <w:szCs w:val="21"/>
                    </w:rPr>
                  </w:pPr>
                  <w:r>
                    <w:rPr>
                      <w:sz w:val="21"/>
                      <w:szCs w:val="21"/>
                    </w:rPr>
                    <w:t>/</w:t>
                  </w:r>
                </w:p>
              </w:tc>
              <w:tc>
                <w:tcPr>
                  <w:tcW w:w="483" w:type="pct"/>
                  <w:tcBorders>
                    <w:top w:val="single" w:color="auto" w:sz="6" w:space="0"/>
                    <w:left w:val="single" w:color="auto" w:sz="6" w:space="0"/>
                    <w:bottom w:val="single" w:color="auto" w:sz="6" w:space="0"/>
                    <w:right w:val="single" w:color="auto" w:sz="6" w:space="0"/>
                  </w:tcBorders>
                  <w:vAlign w:val="center"/>
                </w:tcPr>
                <w:p w14:paraId="67849BDE">
                  <w:pPr>
                    <w:pStyle w:val="29"/>
                    <w:rPr>
                      <w:sz w:val="21"/>
                      <w:szCs w:val="21"/>
                    </w:rPr>
                  </w:pPr>
                  <w:r>
                    <w:rPr>
                      <w:sz w:val="21"/>
                      <w:szCs w:val="21"/>
                    </w:rPr>
                    <w:t>市政供水</w:t>
                  </w:r>
                </w:p>
              </w:tc>
            </w:tr>
            <w:tr w14:paraId="5CC2765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2B47C7E1">
                  <w:pPr>
                    <w:pStyle w:val="29"/>
                    <w:rPr>
                      <w:rFonts w:hint="default" w:eastAsia="宋体"/>
                      <w:sz w:val="21"/>
                      <w:szCs w:val="21"/>
                      <w:lang w:val="en-US" w:eastAsia="zh-CN"/>
                    </w:rPr>
                  </w:pPr>
                  <w:r>
                    <w:rPr>
                      <w:rFonts w:hint="default"/>
                      <w:sz w:val="21"/>
                      <w:szCs w:val="21"/>
                      <w:lang w:val="en-US" w:eastAsia="zh-CN"/>
                    </w:rPr>
                    <w:t>10</w:t>
                  </w:r>
                </w:p>
              </w:tc>
              <w:tc>
                <w:tcPr>
                  <w:tcW w:w="1046" w:type="pct"/>
                  <w:gridSpan w:val="2"/>
                  <w:tcBorders>
                    <w:top w:val="single" w:color="auto" w:sz="6" w:space="0"/>
                    <w:left w:val="single" w:color="auto" w:sz="6" w:space="0"/>
                    <w:bottom w:val="single" w:color="auto" w:sz="6" w:space="0"/>
                    <w:right w:val="single" w:color="auto" w:sz="6" w:space="0"/>
                  </w:tcBorders>
                  <w:vAlign w:val="center"/>
                </w:tcPr>
                <w:p w14:paraId="7BCBC26D">
                  <w:pPr>
                    <w:pStyle w:val="29"/>
                    <w:rPr>
                      <w:sz w:val="21"/>
                      <w:szCs w:val="21"/>
                    </w:rPr>
                  </w:pPr>
                  <w:r>
                    <w:rPr>
                      <w:sz w:val="21"/>
                      <w:szCs w:val="21"/>
                    </w:rPr>
                    <w:t>电</w:t>
                  </w:r>
                </w:p>
              </w:tc>
              <w:tc>
                <w:tcPr>
                  <w:tcW w:w="786" w:type="pct"/>
                  <w:tcBorders>
                    <w:top w:val="single" w:color="auto" w:sz="6" w:space="0"/>
                    <w:left w:val="single" w:color="auto" w:sz="6" w:space="0"/>
                    <w:bottom w:val="single" w:color="auto" w:sz="6" w:space="0"/>
                    <w:right w:val="single" w:color="auto" w:sz="6" w:space="0"/>
                  </w:tcBorders>
                  <w:vAlign w:val="center"/>
                </w:tcPr>
                <w:p w14:paraId="52EEB892">
                  <w:pPr>
                    <w:pStyle w:val="29"/>
                    <w:rPr>
                      <w:sz w:val="21"/>
                      <w:szCs w:val="21"/>
                    </w:rPr>
                  </w:pPr>
                  <w:r>
                    <w:rPr>
                      <w:sz w:val="21"/>
                      <w:szCs w:val="21"/>
                    </w:rPr>
                    <w:t>18万kwh/a</w:t>
                  </w:r>
                </w:p>
              </w:tc>
              <w:tc>
                <w:tcPr>
                  <w:tcW w:w="452" w:type="pct"/>
                  <w:tcBorders>
                    <w:top w:val="single" w:color="auto" w:sz="6" w:space="0"/>
                    <w:left w:val="single" w:color="auto" w:sz="6" w:space="0"/>
                    <w:bottom w:val="single" w:color="auto" w:sz="6" w:space="0"/>
                    <w:right w:val="single" w:color="auto" w:sz="6" w:space="0"/>
                  </w:tcBorders>
                  <w:vAlign w:val="center"/>
                </w:tcPr>
                <w:p w14:paraId="2B2BA550">
                  <w:pPr>
                    <w:pStyle w:val="29"/>
                    <w:rPr>
                      <w:sz w:val="21"/>
                      <w:szCs w:val="21"/>
                    </w:rPr>
                  </w:pPr>
                  <w:r>
                    <w:rPr>
                      <w:sz w:val="21"/>
                      <w:szCs w:val="21"/>
                    </w:rPr>
                    <w:t>/</w:t>
                  </w:r>
                </w:p>
              </w:tc>
              <w:tc>
                <w:tcPr>
                  <w:tcW w:w="494" w:type="pct"/>
                  <w:tcBorders>
                    <w:top w:val="single" w:color="auto" w:sz="6" w:space="0"/>
                    <w:left w:val="single" w:color="auto" w:sz="6" w:space="0"/>
                    <w:bottom w:val="single" w:color="auto" w:sz="6" w:space="0"/>
                    <w:right w:val="single" w:color="auto" w:sz="6" w:space="0"/>
                  </w:tcBorders>
                  <w:vAlign w:val="center"/>
                </w:tcPr>
                <w:p w14:paraId="4471B399">
                  <w:pPr>
                    <w:pStyle w:val="29"/>
                    <w:rPr>
                      <w:sz w:val="21"/>
                      <w:szCs w:val="21"/>
                    </w:rPr>
                  </w:pPr>
                </w:p>
              </w:tc>
              <w:tc>
                <w:tcPr>
                  <w:tcW w:w="845" w:type="pct"/>
                  <w:tcBorders>
                    <w:top w:val="single" w:color="auto" w:sz="6" w:space="0"/>
                    <w:left w:val="single" w:color="auto" w:sz="6" w:space="0"/>
                    <w:bottom w:val="single" w:color="auto" w:sz="6" w:space="0"/>
                    <w:right w:val="single" w:color="auto" w:sz="6" w:space="0"/>
                  </w:tcBorders>
                  <w:vAlign w:val="center"/>
                </w:tcPr>
                <w:p w14:paraId="5903BDA3">
                  <w:pPr>
                    <w:pStyle w:val="29"/>
                    <w:rPr>
                      <w:sz w:val="21"/>
                      <w:szCs w:val="21"/>
                    </w:rPr>
                  </w:pPr>
                  <w:r>
                    <w:rPr>
                      <w:sz w:val="21"/>
                      <w:szCs w:val="21"/>
                    </w:rPr>
                    <w:t>/</w:t>
                  </w:r>
                </w:p>
              </w:tc>
              <w:tc>
                <w:tcPr>
                  <w:tcW w:w="571" w:type="pct"/>
                  <w:tcBorders>
                    <w:top w:val="single" w:color="auto" w:sz="6" w:space="0"/>
                    <w:left w:val="single" w:color="auto" w:sz="6" w:space="0"/>
                    <w:bottom w:val="single" w:color="auto" w:sz="6" w:space="0"/>
                    <w:right w:val="single" w:color="auto" w:sz="6" w:space="0"/>
                  </w:tcBorders>
                  <w:vAlign w:val="center"/>
                </w:tcPr>
                <w:p w14:paraId="7F8EF3DF">
                  <w:pPr>
                    <w:pStyle w:val="29"/>
                    <w:rPr>
                      <w:sz w:val="21"/>
                      <w:szCs w:val="21"/>
                    </w:rPr>
                  </w:pPr>
                  <w:r>
                    <w:rPr>
                      <w:sz w:val="21"/>
                      <w:szCs w:val="21"/>
                    </w:rPr>
                    <w:t>/</w:t>
                  </w:r>
                </w:p>
              </w:tc>
              <w:tc>
                <w:tcPr>
                  <w:tcW w:w="483" w:type="pct"/>
                  <w:tcBorders>
                    <w:top w:val="single" w:color="auto" w:sz="6" w:space="0"/>
                    <w:left w:val="single" w:color="auto" w:sz="6" w:space="0"/>
                    <w:bottom w:val="single" w:color="auto" w:sz="6" w:space="0"/>
                    <w:right w:val="single" w:color="auto" w:sz="6" w:space="0"/>
                  </w:tcBorders>
                  <w:vAlign w:val="center"/>
                </w:tcPr>
                <w:p w14:paraId="2A2EB42A">
                  <w:pPr>
                    <w:pStyle w:val="29"/>
                    <w:rPr>
                      <w:sz w:val="21"/>
                      <w:szCs w:val="21"/>
                    </w:rPr>
                  </w:pPr>
                  <w:r>
                    <w:rPr>
                      <w:sz w:val="21"/>
                      <w:szCs w:val="21"/>
                    </w:rPr>
                    <w:t>/</w:t>
                  </w:r>
                </w:p>
              </w:tc>
            </w:tr>
            <w:tr w14:paraId="2BF5D8EC">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20" w:type="pct"/>
                  <w:tcBorders>
                    <w:top w:val="single" w:color="auto" w:sz="6" w:space="0"/>
                    <w:left w:val="single" w:color="auto" w:sz="4" w:space="0"/>
                    <w:bottom w:val="single" w:color="auto" w:sz="6" w:space="0"/>
                    <w:right w:val="single" w:color="auto" w:sz="6" w:space="0"/>
                  </w:tcBorders>
                  <w:vAlign w:val="center"/>
                </w:tcPr>
                <w:p w14:paraId="2B43B616">
                  <w:pPr>
                    <w:pStyle w:val="29"/>
                    <w:rPr>
                      <w:rFonts w:hint="default" w:eastAsia="宋体"/>
                      <w:sz w:val="21"/>
                      <w:szCs w:val="21"/>
                      <w:lang w:eastAsia="zh-CN"/>
                    </w:rPr>
                  </w:pPr>
                  <w:r>
                    <w:rPr>
                      <w:sz w:val="21"/>
                      <w:szCs w:val="21"/>
                    </w:rPr>
                    <w:t>1</w:t>
                  </w:r>
                  <w:r>
                    <w:rPr>
                      <w:rFonts w:hint="default"/>
                      <w:sz w:val="21"/>
                      <w:szCs w:val="21"/>
                      <w:lang w:val="en-US" w:eastAsia="zh-CN"/>
                    </w:rPr>
                    <w:t>1</w:t>
                  </w:r>
                </w:p>
              </w:tc>
              <w:tc>
                <w:tcPr>
                  <w:tcW w:w="1046" w:type="pct"/>
                  <w:gridSpan w:val="2"/>
                  <w:tcBorders>
                    <w:top w:val="single" w:color="auto" w:sz="6" w:space="0"/>
                    <w:left w:val="single" w:color="auto" w:sz="6" w:space="0"/>
                    <w:bottom w:val="single" w:color="auto" w:sz="6" w:space="0"/>
                    <w:right w:val="single" w:color="auto" w:sz="6" w:space="0"/>
                  </w:tcBorders>
                  <w:vAlign w:val="center"/>
                </w:tcPr>
                <w:p w14:paraId="5FAD3DD6">
                  <w:pPr>
                    <w:pStyle w:val="29"/>
                    <w:rPr>
                      <w:sz w:val="21"/>
                      <w:szCs w:val="21"/>
                    </w:rPr>
                  </w:pPr>
                  <w:r>
                    <w:rPr>
                      <w:sz w:val="21"/>
                      <w:szCs w:val="21"/>
                    </w:rPr>
                    <w:t>天然气</w:t>
                  </w:r>
                </w:p>
              </w:tc>
              <w:tc>
                <w:tcPr>
                  <w:tcW w:w="786" w:type="pct"/>
                  <w:tcBorders>
                    <w:top w:val="single" w:color="auto" w:sz="6" w:space="0"/>
                    <w:left w:val="single" w:color="auto" w:sz="6" w:space="0"/>
                    <w:bottom w:val="single" w:color="auto" w:sz="6" w:space="0"/>
                    <w:right w:val="single" w:color="auto" w:sz="6" w:space="0"/>
                  </w:tcBorders>
                  <w:vAlign w:val="center"/>
                </w:tcPr>
                <w:p w14:paraId="142A1E66">
                  <w:pPr>
                    <w:pStyle w:val="29"/>
                    <w:rPr>
                      <w:sz w:val="21"/>
                      <w:szCs w:val="21"/>
                    </w:rPr>
                  </w:pPr>
                  <w:r>
                    <w:rPr>
                      <w:sz w:val="21"/>
                      <w:szCs w:val="21"/>
                    </w:rPr>
                    <w:t>45万m</w:t>
                  </w:r>
                  <w:r>
                    <w:rPr>
                      <w:sz w:val="21"/>
                      <w:szCs w:val="21"/>
                      <w:vertAlign w:val="superscript"/>
                    </w:rPr>
                    <w:t>3</w:t>
                  </w:r>
                  <w:r>
                    <w:rPr>
                      <w:sz w:val="21"/>
                      <w:szCs w:val="21"/>
                    </w:rPr>
                    <w:t>/a</w:t>
                  </w:r>
                </w:p>
              </w:tc>
              <w:tc>
                <w:tcPr>
                  <w:tcW w:w="452" w:type="pct"/>
                  <w:tcBorders>
                    <w:top w:val="single" w:color="auto" w:sz="6" w:space="0"/>
                    <w:left w:val="single" w:color="auto" w:sz="6" w:space="0"/>
                    <w:bottom w:val="single" w:color="auto" w:sz="6" w:space="0"/>
                    <w:right w:val="single" w:color="auto" w:sz="6" w:space="0"/>
                  </w:tcBorders>
                  <w:shd w:val="clear" w:color="auto" w:fill="auto"/>
                  <w:vAlign w:val="center"/>
                </w:tcPr>
                <w:p w14:paraId="2EDCF8DC">
                  <w:pPr>
                    <w:pStyle w:val="29"/>
                    <w:rPr>
                      <w:sz w:val="21"/>
                      <w:szCs w:val="21"/>
                    </w:rPr>
                  </w:pPr>
                  <w:r>
                    <w:rPr>
                      <w:sz w:val="21"/>
                      <w:szCs w:val="21"/>
                    </w:rPr>
                    <w:t>/</w:t>
                  </w:r>
                </w:p>
              </w:tc>
              <w:tc>
                <w:tcPr>
                  <w:tcW w:w="494" w:type="pct"/>
                  <w:tcBorders>
                    <w:top w:val="single" w:color="auto" w:sz="6" w:space="0"/>
                    <w:left w:val="single" w:color="auto" w:sz="6" w:space="0"/>
                    <w:bottom w:val="single" w:color="auto" w:sz="6" w:space="0"/>
                    <w:right w:val="single" w:color="auto" w:sz="6" w:space="0"/>
                  </w:tcBorders>
                  <w:vAlign w:val="center"/>
                </w:tcPr>
                <w:p w14:paraId="6E43E689">
                  <w:pPr>
                    <w:pStyle w:val="29"/>
                    <w:rPr>
                      <w:sz w:val="21"/>
                      <w:szCs w:val="21"/>
                    </w:rPr>
                  </w:pPr>
                </w:p>
              </w:tc>
              <w:tc>
                <w:tcPr>
                  <w:tcW w:w="845" w:type="pct"/>
                  <w:tcBorders>
                    <w:top w:val="single" w:color="auto" w:sz="6" w:space="0"/>
                    <w:left w:val="single" w:color="auto" w:sz="6" w:space="0"/>
                    <w:bottom w:val="single" w:color="auto" w:sz="6" w:space="0"/>
                    <w:right w:val="single" w:color="auto" w:sz="6" w:space="0"/>
                  </w:tcBorders>
                  <w:vAlign w:val="center"/>
                </w:tcPr>
                <w:p w14:paraId="3DF01513">
                  <w:pPr>
                    <w:pStyle w:val="29"/>
                    <w:rPr>
                      <w:sz w:val="21"/>
                      <w:szCs w:val="21"/>
                    </w:rPr>
                  </w:pPr>
                  <w:r>
                    <w:rPr>
                      <w:sz w:val="21"/>
                      <w:szCs w:val="21"/>
                    </w:rPr>
                    <w:t>/</w:t>
                  </w:r>
                </w:p>
              </w:tc>
              <w:tc>
                <w:tcPr>
                  <w:tcW w:w="571" w:type="pct"/>
                  <w:tcBorders>
                    <w:top w:val="single" w:color="auto" w:sz="6" w:space="0"/>
                    <w:left w:val="single" w:color="auto" w:sz="6" w:space="0"/>
                    <w:bottom w:val="single" w:color="auto" w:sz="6" w:space="0"/>
                    <w:right w:val="single" w:color="auto" w:sz="6" w:space="0"/>
                  </w:tcBorders>
                  <w:vAlign w:val="center"/>
                </w:tcPr>
                <w:p w14:paraId="3E6544C2">
                  <w:pPr>
                    <w:pStyle w:val="29"/>
                    <w:rPr>
                      <w:color w:val="FF0000"/>
                      <w:sz w:val="21"/>
                      <w:szCs w:val="21"/>
                    </w:rPr>
                  </w:pPr>
                  <w:r>
                    <w:rPr>
                      <w:color w:val="FF0000"/>
                      <w:sz w:val="21"/>
                      <w:szCs w:val="21"/>
                    </w:rPr>
                    <w:t>/</w:t>
                  </w:r>
                </w:p>
              </w:tc>
              <w:tc>
                <w:tcPr>
                  <w:tcW w:w="483" w:type="pct"/>
                  <w:tcBorders>
                    <w:top w:val="single" w:color="auto" w:sz="6" w:space="0"/>
                    <w:left w:val="single" w:color="auto" w:sz="6" w:space="0"/>
                    <w:bottom w:val="single" w:color="auto" w:sz="6" w:space="0"/>
                    <w:right w:val="single" w:color="auto" w:sz="6" w:space="0"/>
                  </w:tcBorders>
                  <w:vAlign w:val="center"/>
                </w:tcPr>
                <w:p w14:paraId="4E0B8B8F">
                  <w:pPr>
                    <w:pStyle w:val="29"/>
                    <w:rPr>
                      <w:color w:val="FF0000"/>
                      <w:sz w:val="21"/>
                      <w:szCs w:val="21"/>
                    </w:rPr>
                  </w:pPr>
                </w:p>
              </w:tc>
            </w:tr>
          </w:tbl>
          <w:p w14:paraId="118FA5C3">
            <w:pPr>
              <w:widowControl/>
              <w:ind w:firstLine="480" w:firstLineChars="200"/>
              <w:jc w:val="left"/>
              <w:rPr>
                <w:rFonts w:hint="default" w:ascii="Times New Roman" w:hAnsi="Times New Roman" w:cs="Times New Roman"/>
              </w:rPr>
            </w:pPr>
            <w:r>
              <w:rPr>
                <w:rFonts w:hint="default" w:ascii="Times New Roman" w:hAnsi="Times New Roman" w:cs="Times New Roman"/>
                <w:kern w:val="0"/>
                <w:lang w:bidi="ar"/>
              </w:rPr>
              <w:t>玉米淀粉胶配比见下表</w:t>
            </w:r>
          </w:p>
          <w:p w14:paraId="4ED6DD04">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2-7 产品玉米淀粉胶配比表</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6"/>
              <w:gridCol w:w="3951"/>
              <w:gridCol w:w="2415"/>
            </w:tblGrid>
            <w:tr w14:paraId="40E73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tcBorders>
                    <w:tl2br w:val="nil"/>
                    <w:tr2bl w:val="nil"/>
                  </w:tcBorders>
                  <w:vAlign w:val="center"/>
                </w:tcPr>
                <w:p w14:paraId="23E9BE9E">
                  <w:pPr>
                    <w:pStyle w:val="29"/>
                    <w:overflowPunct w:val="0"/>
                    <w:autoSpaceDE w:val="0"/>
                    <w:autoSpaceDN w:val="0"/>
                    <w:rPr>
                      <w:b/>
                      <w:bCs/>
                      <w:sz w:val="21"/>
                      <w:szCs w:val="21"/>
                    </w:rPr>
                  </w:pPr>
                  <w:r>
                    <w:rPr>
                      <w:b/>
                      <w:bCs/>
                      <w:sz w:val="21"/>
                      <w:szCs w:val="21"/>
                    </w:rPr>
                    <w:t>序号</w:t>
                  </w:r>
                </w:p>
              </w:tc>
              <w:tc>
                <w:tcPr>
                  <w:tcW w:w="2515" w:type="pct"/>
                  <w:tcBorders>
                    <w:tl2br w:val="nil"/>
                    <w:tr2bl w:val="nil"/>
                  </w:tcBorders>
                  <w:vAlign w:val="center"/>
                </w:tcPr>
                <w:p w14:paraId="594276E8">
                  <w:pPr>
                    <w:pStyle w:val="29"/>
                    <w:overflowPunct w:val="0"/>
                    <w:autoSpaceDE w:val="0"/>
                    <w:autoSpaceDN w:val="0"/>
                    <w:rPr>
                      <w:b/>
                      <w:bCs/>
                      <w:sz w:val="21"/>
                      <w:szCs w:val="21"/>
                    </w:rPr>
                  </w:pPr>
                  <w:r>
                    <w:rPr>
                      <w:b/>
                      <w:bCs/>
                      <w:sz w:val="21"/>
                      <w:szCs w:val="21"/>
                    </w:rPr>
                    <w:t>原料名称/产品规格</w:t>
                  </w:r>
                </w:p>
              </w:tc>
              <w:tc>
                <w:tcPr>
                  <w:tcW w:w="1537" w:type="pct"/>
                  <w:tcBorders>
                    <w:tl2br w:val="nil"/>
                    <w:tr2bl w:val="nil"/>
                  </w:tcBorders>
                  <w:vAlign w:val="center"/>
                </w:tcPr>
                <w:p w14:paraId="65D8955E">
                  <w:pPr>
                    <w:pStyle w:val="29"/>
                    <w:overflowPunct w:val="0"/>
                    <w:autoSpaceDE w:val="0"/>
                    <w:autoSpaceDN w:val="0"/>
                    <w:rPr>
                      <w:b/>
                      <w:bCs/>
                      <w:sz w:val="21"/>
                      <w:szCs w:val="21"/>
                    </w:rPr>
                  </w:pPr>
                  <w:r>
                    <w:rPr>
                      <w:b/>
                      <w:bCs/>
                      <w:sz w:val="21"/>
                      <w:szCs w:val="21"/>
                    </w:rPr>
                    <w:t>配料比（%）</w:t>
                  </w:r>
                </w:p>
              </w:tc>
            </w:tr>
            <w:tr w14:paraId="2C9DC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tcBorders>
                    <w:tl2br w:val="nil"/>
                    <w:tr2bl w:val="nil"/>
                  </w:tcBorders>
                  <w:vAlign w:val="center"/>
                </w:tcPr>
                <w:p w14:paraId="0143495F">
                  <w:pPr>
                    <w:pStyle w:val="29"/>
                    <w:overflowPunct w:val="0"/>
                    <w:autoSpaceDE w:val="0"/>
                    <w:autoSpaceDN w:val="0"/>
                    <w:rPr>
                      <w:sz w:val="21"/>
                      <w:szCs w:val="21"/>
                    </w:rPr>
                  </w:pPr>
                  <w:r>
                    <w:rPr>
                      <w:sz w:val="21"/>
                      <w:szCs w:val="21"/>
                    </w:rPr>
                    <w:t>1</w:t>
                  </w:r>
                </w:p>
              </w:tc>
              <w:tc>
                <w:tcPr>
                  <w:tcW w:w="2515" w:type="pct"/>
                  <w:tcBorders>
                    <w:tl2br w:val="nil"/>
                    <w:tr2bl w:val="nil"/>
                  </w:tcBorders>
                  <w:vAlign w:val="center"/>
                </w:tcPr>
                <w:p w14:paraId="0D62748B">
                  <w:pPr>
                    <w:pStyle w:val="29"/>
                    <w:overflowPunct w:val="0"/>
                    <w:autoSpaceDE w:val="0"/>
                    <w:autoSpaceDN w:val="0"/>
                    <w:rPr>
                      <w:sz w:val="21"/>
                      <w:szCs w:val="21"/>
                    </w:rPr>
                  </w:pPr>
                  <w:r>
                    <w:rPr>
                      <w:sz w:val="21"/>
                      <w:szCs w:val="21"/>
                    </w:rPr>
                    <w:t>水</w:t>
                  </w:r>
                </w:p>
              </w:tc>
              <w:tc>
                <w:tcPr>
                  <w:tcW w:w="1537" w:type="pct"/>
                  <w:tcBorders>
                    <w:tl2br w:val="nil"/>
                    <w:tr2bl w:val="nil"/>
                  </w:tcBorders>
                  <w:vAlign w:val="center"/>
                </w:tcPr>
                <w:p w14:paraId="151DA05D">
                  <w:pPr>
                    <w:pStyle w:val="29"/>
                    <w:overflowPunct w:val="0"/>
                    <w:autoSpaceDE w:val="0"/>
                    <w:autoSpaceDN w:val="0"/>
                    <w:rPr>
                      <w:sz w:val="21"/>
                      <w:szCs w:val="21"/>
                    </w:rPr>
                  </w:pPr>
                  <w:r>
                    <w:rPr>
                      <w:sz w:val="21"/>
                      <w:szCs w:val="21"/>
                    </w:rPr>
                    <w:t>80</w:t>
                  </w:r>
                </w:p>
              </w:tc>
            </w:tr>
            <w:tr w14:paraId="73E51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tcBorders>
                    <w:tl2br w:val="nil"/>
                    <w:tr2bl w:val="nil"/>
                  </w:tcBorders>
                  <w:vAlign w:val="center"/>
                </w:tcPr>
                <w:p w14:paraId="3AF58779">
                  <w:pPr>
                    <w:pStyle w:val="29"/>
                    <w:overflowPunct w:val="0"/>
                    <w:autoSpaceDE w:val="0"/>
                    <w:autoSpaceDN w:val="0"/>
                    <w:rPr>
                      <w:sz w:val="21"/>
                      <w:szCs w:val="21"/>
                    </w:rPr>
                  </w:pPr>
                  <w:r>
                    <w:rPr>
                      <w:sz w:val="21"/>
                      <w:szCs w:val="21"/>
                    </w:rPr>
                    <w:t>2</w:t>
                  </w:r>
                </w:p>
              </w:tc>
              <w:tc>
                <w:tcPr>
                  <w:tcW w:w="4329" w:type="dxa"/>
                  <w:tcBorders>
                    <w:tl2br w:val="nil"/>
                    <w:tr2bl w:val="nil"/>
                  </w:tcBorders>
                  <w:vAlign w:val="center"/>
                </w:tcPr>
                <w:p w14:paraId="785B0E40">
                  <w:pPr>
                    <w:pStyle w:val="29"/>
                    <w:overflowPunct w:val="0"/>
                    <w:autoSpaceDE w:val="0"/>
                    <w:autoSpaceDN w:val="0"/>
                    <w:rPr>
                      <w:sz w:val="21"/>
                      <w:szCs w:val="21"/>
                    </w:rPr>
                  </w:pPr>
                  <w:r>
                    <w:rPr>
                      <w:sz w:val="21"/>
                      <w:szCs w:val="21"/>
                    </w:rPr>
                    <w:t>玉米淀粉</w:t>
                  </w:r>
                </w:p>
              </w:tc>
              <w:tc>
                <w:tcPr>
                  <w:tcW w:w="1537" w:type="pct"/>
                  <w:tcBorders>
                    <w:tl2br w:val="nil"/>
                    <w:tr2bl w:val="nil"/>
                  </w:tcBorders>
                  <w:vAlign w:val="center"/>
                </w:tcPr>
                <w:p w14:paraId="583E94F3">
                  <w:pPr>
                    <w:pStyle w:val="29"/>
                    <w:overflowPunct w:val="0"/>
                    <w:autoSpaceDE w:val="0"/>
                    <w:autoSpaceDN w:val="0"/>
                    <w:rPr>
                      <w:sz w:val="21"/>
                      <w:szCs w:val="21"/>
                    </w:rPr>
                  </w:pPr>
                  <w:r>
                    <w:rPr>
                      <w:sz w:val="21"/>
                      <w:szCs w:val="21"/>
                    </w:rPr>
                    <w:t>19.5</w:t>
                  </w:r>
                </w:p>
              </w:tc>
            </w:tr>
            <w:tr w14:paraId="51891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tcBorders>
                    <w:tl2br w:val="nil"/>
                    <w:tr2bl w:val="nil"/>
                  </w:tcBorders>
                  <w:vAlign w:val="center"/>
                </w:tcPr>
                <w:p w14:paraId="36B41EB5">
                  <w:pPr>
                    <w:pStyle w:val="50"/>
                    <w:rPr>
                      <w:sz w:val="21"/>
                      <w:szCs w:val="21"/>
                    </w:rPr>
                  </w:pPr>
                  <w:r>
                    <w:rPr>
                      <w:sz w:val="21"/>
                      <w:szCs w:val="21"/>
                    </w:rPr>
                    <w:t>3</w:t>
                  </w:r>
                </w:p>
              </w:tc>
              <w:tc>
                <w:tcPr>
                  <w:tcW w:w="4329" w:type="dxa"/>
                  <w:tcBorders>
                    <w:tl2br w:val="nil"/>
                    <w:tr2bl w:val="nil"/>
                  </w:tcBorders>
                  <w:vAlign w:val="center"/>
                </w:tcPr>
                <w:p w14:paraId="370ACCB6">
                  <w:pPr>
                    <w:pStyle w:val="29"/>
                    <w:overflowPunct w:val="0"/>
                    <w:autoSpaceDE w:val="0"/>
                    <w:autoSpaceDN w:val="0"/>
                    <w:rPr>
                      <w:sz w:val="21"/>
                      <w:szCs w:val="21"/>
                    </w:rPr>
                  </w:pPr>
                  <w:r>
                    <w:rPr>
                      <w:sz w:val="21"/>
                      <w:szCs w:val="21"/>
                    </w:rPr>
                    <w:t>硼砂</w:t>
                  </w:r>
                </w:p>
              </w:tc>
              <w:tc>
                <w:tcPr>
                  <w:tcW w:w="1537" w:type="pct"/>
                  <w:tcBorders>
                    <w:tl2br w:val="nil"/>
                    <w:tr2bl w:val="nil"/>
                  </w:tcBorders>
                  <w:vAlign w:val="center"/>
                </w:tcPr>
                <w:p w14:paraId="345C3C7B">
                  <w:pPr>
                    <w:pStyle w:val="29"/>
                    <w:rPr>
                      <w:sz w:val="21"/>
                      <w:szCs w:val="21"/>
                    </w:rPr>
                  </w:pPr>
                  <w:r>
                    <w:rPr>
                      <w:sz w:val="21"/>
                      <w:szCs w:val="21"/>
                    </w:rPr>
                    <w:t>0.2</w:t>
                  </w:r>
                </w:p>
              </w:tc>
            </w:tr>
            <w:tr w14:paraId="03193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pct"/>
                  <w:tcBorders>
                    <w:tl2br w:val="nil"/>
                    <w:tr2bl w:val="nil"/>
                  </w:tcBorders>
                  <w:vAlign w:val="center"/>
                </w:tcPr>
                <w:p w14:paraId="133B667A">
                  <w:pPr>
                    <w:pStyle w:val="50"/>
                    <w:rPr>
                      <w:sz w:val="21"/>
                      <w:szCs w:val="21"/>
                    </w:rPr>
                  </w:pPr>
                  <w:r>
                    <w:rPr>
                      <w:sz w:val="21"/>
                      <w:szCs w:val="21"/>
                    </w:rPr>
                    <w:t>4</w:t>
                  </w:r>
                </w:p>
              </w:tc>
              <w:tc>
                <w:tcPr>
                  <w:tcW w:w="4329" w:type="dxa"/>
                  <w:tcBorders>
                    <w:tl2br w:val="nil"/>
                    <w:tr2bl w:val="nil"/>
                  </w:tcBorders>
                  <w:vAlign w:val="center"/>
                </w:tcPr>
                <w:p w14:paraId="68D700CD">
                  <w:pPr>
                    <w:pStyle w:val="29"/>
                    <w:overflowPunct w:val="0"/>
                    <w:autoSpaceDE w:val="0"/>
                    <w:autoSpaceDN w:val="0"/>
                    <w:rPr>
                      <w:sz w:val="21"/>
                      <w:szCs w:val="21"/>
                    </w:rPr>
                  </w:pPr>
                  <w:r>
                    <w:rPr>
                      <w:sz w:val="21"/>
                      <w:szCs w:val="21"/>
                    </w:rPr>
                    <w:t>氢氧化钠</w:t>
                  </w:r>
                </w:p>
              </w:tc>
              <w:tc>
                <w:tcPr>
                  <w:tcW w:w="1537" w:type="pct"/>
                  <w:tcBorders>
                    <w:tl2br w:val="nil"/>
                    <w:tr2bl w:val="nil"/>
                  </w:tcBorders>
                  <w:vAlign w:val="center"/>
                </w:tcPr>
                <w:p w14:paraId="1B46B84E">
                  <w:pPr>
                    <w:pStyle w:val="29"/>
                    <w:rPr>
                      <w:sz w:val="21"/>
                      <w:szCs w:val="21"/>
                    </w:rPr>
                  </w:pPr>
                  <w:r>
                    <w:rPr>
                      <w:sz w:val="21"/>
                      <w:szCs w:val="21"/>
                    </w:rPr>
                    <w:t>0.3</w:t>
                  </w:r>
                </w:p>
              </w:tc>
            </w:tr>
          </w:tbl>
          <w:p w14:paraId="79663440">
            <w:pPr>
              <w:widowControl/>
              <w:ind w:firstLine="480" w:firstLineChars="200"/>
              <w:jc w:val="left"/>
              <w:rPr>
                <w:rFonts w:hint="default" w:ascii="Times New Roman" w:hAnsi="Times New Roman" w:cs="Times New Roman"/>
              </w:rPr>
            </w:pPr>
            <w:r>
              <w:rPr>
                <w:rFonts w:hint="default" w:ascii="Times New Roman" w:hAnsi="Times New Roman" w:cs="Times New Roman"/>
                <w:kern w:val="0"/>
                <w:lang w:bidi="ar"/>
              </w:rPr>
              <w:t>项目主要原辅料理化性质如下表所示。</w:t>
            </w:r>
          </w:p>
          <w:p w14:paraId="60EF6DF7">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2-8 主要原辅材料主要成分一览表</w:t>
            </w: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3"/>
              <w:gridCol w:w="1921"/>
              <w:gridCol w:w="5140"/>
            </w:tblGrid>
            <w:tr w14:paraId="72708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trPr>
              <w:tc>
                <w:tcPr>
                  <w:tcW w:w="505" w:type="pct"/>
                  <w:noWrap/>
                  <w:vAlign w:val="center"/>
                </w:tcPr>
                <w:p w14:paraId="5C5A9118">
                  <w:pPr>
                    <w:pStyle w:val="29"/>
                    <w:rPr>
                      <w:b/>
                      <w:bCs/>
                      <w:sz w:val="21"/>
                      <w:szCs w:val="21"/>
                    </w:rPr>
                  </w:pPr>
                  <w:r>
                    <w:rPr>
                      <w:b/>
                      <w:bCs/>
                      <w:sz w:val="21"/>
                      <w:szCs w:val="21"/>
                    </w:rPr>
                    <w:t>序号</w:t>
                  </w:r>
                </w:p>
              </w:tc>
              <w:tc>
                <w:tcPr>
                  <w:tcW w:w="1223" w:type="pct"/>
                  <w:noWrap/>
                  <w:vAlign w:val="center"/>
                </w:tcPr>
                <w:p w14:paraId="197D22EF">
                  <w:pPr>
                    <w:pStyle w:val="29"/>
                    <w:rPr>
                      <w:b/>
                      <w:bCs/>
                      <w:sz w:val="21"/>
                      <w:szCs w:val="21"/>
                    </w:rPr>
                  </w:pPr>
                  <w:r>
                    <w:rPr>
                      <w:b/>
                      <w:bCs/>
                      <w:sz w:val="21"/>
                      <w:szCs w:val="21"/>
                    </w:rPr>
                    <w:t>名称</w:t>
                  </w:r>
                </w:p>
              </w:tc>
              <w:tc>
                <w:tcPr>
                  <w:tcW w:w="3270" w:type="pct"/>
                  <w:noWrap/>
                  <w:vAlign w:val="center"/>
                </w:tcPr>
                <w:p w14:paraId="70B1DCCC">
                  <w:pPr>
                    <w:pStyle w:val="29"/>
                    <w:rPr>
                      <w:b/>
                      <w:bCs/>
                      <w:sz w:val="21"/>
                      <w:szCs w:val="21"/>
                    </w:rPr>
                  </w:pPr>
                  <w:r>
                    <w:rPr>
                      <w:b/>
                      <w:bCs/>
                      <w:sz w:val="21"/>
                      <w:szCs w:val="21"/>
                    </w:rPr>
                    <w:t>主要成分及含量</w:t>
                  </w:r>
                </w:p>
              </w:tc>
            </w:tr>
            <w:tr w14:paraId="437F1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505" w:type="pct"/>
                  <w:noWrap/>
                  <w:vAlign w:val="center"/>
                </w:tcPr>
                <w:p w14:paraId="618DAAAA">
                  <w:pPr>
                    <w:pStyle w:val="29"/>
                    <w:rPr>
                      <w:sz w:val="21"/>
                      <w:szCs w:val="21"/>
                    </w:rPr>
                  </w:pPr>
                  <w:r>
                    <w:rPr>
                      <w:sz w:val="21"/>
                      <w:szCs w:val="21"/>
                    </w:rPr>
                    <w:t>1</w:t>
                  </w:r>
                </w:p>
              </w:tc>
              <w:tc>
                <w:tcPr>
                  <w:tcW w:w="1223" w:type="pct"/>
                  <w:noWrap/>
                  <w:vAlign w:val="center"/>
                </w:tcPr>
                <w:p w14:paraId="12D936DE">
                  <w:pPr>
                    <w:pStyle w:val="29"/>
                    <w:rPr>
                      <w:sz w:val="21"/>
                      <w:szCs w:val="21"/>
                    </w:rPr>
                  </w:pPr>
                  <w:r>
                    <w:rPr>
                      <w:sz w:val="21"/>
                      <w:szCs w:val="21"/>
                    </w:rPr>
                    <w:t>水性油墨</w:t>
                  </w:r>
                </w:p>
              </w:tc>
              <w:tc>
                <w:tcPr>
                  <w:tcW w:w="3270" w:type="pct"/>
                  <w:noWrap/>
                  <w:vAlign w:val="center"/>
                </w:tcPr>
                <w:p w14:paraId="321AA6D6">
                  <w:pPr>
                    <w:pStyle w:val="29"/>
                    <w:rPr>
                      <w:sz w:val="21"/>
                      <w:szCs w:val="21"/>
                    </w:rPr>
                  </w:pPr>
                  <w:r>
                    <w:rPr>
                      <w:sz w:val="21"/>
                      <w:szCs w:val="21"/>
                    </w:rPr>
                    <w:t>颜料15-30%，水性丙烯酸树脂30-50%，水21-42%。</w:t>
                  </w:r>
                </w:p>
              </w:tc>
            </w:tr>
            <w:tr w14:paraId="301B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5000" w:type="pct"/>
                  <w:gridSpan w:val="3"/>
                  <w:noWrap/>
                  <w:vAlign w:val="center"/>
                </w:tcPr>
                <w:p w14:paraId="40665016">
                  <w:pPr>
                    <w:pStyle w:val="29"/>
                    <w:jc w:val="both"/>
                    <w:rPr>
                      <w:sz w:val="21"/>
                      <w:szCs w:val="21"/>
                    </w:rPr>
                  </w:pPr>
                  <w:r>
                    <w:rPr>
                      <w:sz w:val="21"/>
                      <w:szCs w:val="21"/>
                    </w:rPr>
                    <w:t>注：①根据水性油墨SGS检测报告，挥发性有机物含量占比0.5%，满足《油墨中可挥发性有机化合物（VOCs）的含量限值》（GB38507-2020）中VOC最低值（柔性油墨-吸收性承印物）5%含量限值。</w:t>
                  </w:r>
                </w:p>
              </w:tc>
            </w:tr>
          </w:tbl>
          <w:p w14:paraId="2031CF70">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2-9 原辅料理化性质一览表</w:t>
            </w:r>
          </w:p>
          <w:tbl>
            <w:tblPr>
              <w:tblStyle w:val="2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7118"/>
            </w:tblGrid>
            <w:tr w14:paraId="63530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467" w:type="pct"/>
                  <w:vAlign w:val="center"/>
                </w:tcPr>
                <w:p w14:paraId="31EFCFC2">
                  <w:pPr>
                    <w:pStyle w:val="29"/>
                    <w:rPr>
                      <w:b/>
                      <w:bCs/>
                      <w:sz w:val="21"/>
                      <w:szCs w:val="21"/>
                    </w:rPr>
                  </w:pPr>
                  <w:r>
                    <w:rPr>
                      <w:b/>
                      <w:bCs/>
                      <w:sz w:val="21"/>
                      <w:szCs w:val="21"/>
                    </w:rPr>
                    <w:t>名称</w:t>
                  </w:r>
                </w:p>
              </w:tc>
              <w:tc>
                <w:tcPr>
                  <w:tcW w:w="4532" w:type="pct"/>
                  <w:vAlign w:val="center"/>
                </w:tcPr>
                <w:p w14:paraId="580217AC">
                  <w:pPr>
                    <w:pStyle w:val="29"/>
                    <w:rPr>
                      <w:b/>
                      <w:bCs/>
                      <w:sz w:val="21"/>
                      <w:szCs w:val="21"/>
                    </w:rPr>
                  </w:pPr>
                  <w:r>
                    <w:rPr>
                      <w:b/>
                      <w:bCs/>
                      <w:sz w:val="21"/>
                      <w:szCs w:val="21"/>
                    </w:rPr>
                    <w:t>理化特性</w:t>
                  </w:r>
                </w:p>
              </w:tc>
            </w:tr>
            <w:tr w14:paraId="5B33A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trPr>
              <w:tc>
                <w:tcPr>
                  <w:tcW w:w="467" w:type="pct"/>
                  <w:vAlign w:val="center"/>
                </w:tcPr>
                <w:p w14:paraId="02FEBFA1">
                  <w:pPr>
                    <w:pStyle w:val="29"/>
                    <w:rPr>
                      <w:sz w:val="21"/>
                      <w:szCs w:val="21"/>
                    </w:rPr>
                  </w:pPr>
                  <w:r>
                    <w:rPr>
                      <w:sz w:val="21"/>
                      <w:szCs w:val="21"/>
                    </w:rPr>
                    <w:t>水性油墨</w:t>
                  </w:r>
                </w:p>
              </w:tc>
              <w:tc>
                <w:tcPr>
                  <w:tcW w:w="4532" w:type="pct"/>
                  <w:vAlign w:val="center"/>
                </w:tcPr>
                <w:p w14:paraId="020A2B81">
                  <w:pPr>
                    <w:pStyle w:val="29"/>
                    <w:jc w:val="left"/>
                    <w:rPr>
                      <w:sz w:val="21"/>
                      <w:szCs w:val="21"/>
                    </w:rPr>
                  </w:pPr>
                  <w:r>
                    <w:rPr>
                      <w:sz w:val="21"/>
                      <w:szCs w:val="21"/>
                    </w:rPr>
                    <w:t>物质状态：液体；气味：微香；PH值：8.0~9.5；自燃温度：不自燃；密度：1.0~1.1（水=1）；溶解度：可溶。安定性：安定。特殊状况下可能之危害反应：无。应避免之状况：存储温度为60℃，不可低于5℃。应避免之物质：油及强酸。急性毒性：无。局部效应：无。致敏感性：无。慢毒性和长期毒性：无。特殊效应：无。</w:t>
                  </w:r>
                </w:p>
              </w:tc>
            </w:tr>
            <w:tr w14:paraId="2A93E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trPr>
              <w:tc>
                <w:tcPr>
                  <w:tcW w:w="467" w:type="pct"/>
                  <w:vAlign w:val="center"/>
                </w:tcPr>
                <w:p w14:paraId="67A1DD88">
                  <w:pPr>
                    <w:pStyle w:val="29"/>
                    <w:rPr>
                      <w:sz w:val="21"/>
                      <w:szCs w:val="21"/>
                    </w:rPr>
                  </w:pPr>
                  <w:r>
                    <w:rPr>
                      <w:sz w:val="21"/>
                      <w:szCs w:val="21"/>
                    </w:rPr>
                    <w:t>玉米淀粉</w:t>
                  </w:r>
                </w:p>
              </w:tc>
              <w:tc>
                <w:tcPr>
                  <w:tcW w:w="4532" w:type="pct"/>
                  <w:vAlign w:val="center"/>
                </w:tcPr>
                <w:p w14:paraId="47BCA1B1">
                  <w:pPr>
                    <w:pStyle w:val="29"/>
                    <w:jc w:val="left"/>
                    <w:rPr>
                      <w:sz w:val="21"/>
                      <w:szCs w:val="21"/>
                    </w:rPr>
                  </w:pPr>
                  <w:r>
                    <w:rPr>
                      <w:sz w:val="21"/>
                      <w:szCs w:val="21"/>
                    </w:rPr>
                    <w:t>又称玉蜀黍淀粉或苞米面，俗名六谷粉。白色微带淡黄色的粉末。将玉米用 0.3%亚硫酸浸渍后，通过破碎、过筛、沉淀、干燥、磨细等工序而制成。普通产品中含有少量脂肪和蛋白质等。吸湿性强，最高能达30%以上。</w:t>
                  </w:r>
                </w:p>
              </w:tc>
            </w:tr>
            <w:tr w14:paraId="46BC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7" w:type="pct"/>
                  <w:vAlign w:val="center"/>
                </w:tcPr>
                <w:p w14:paraId="06947460">
                  <w:pPr>
                    <w:pStyle w:val="29"/>
                    <w:rPr>
                      <w:sz w:val="21"/>
                      <w:szCs w:val="21"/>
                    </w:rPr>
                  </w:pPr>
                  <w:r>
                    <w:rPr>
                      <w:sz w:val="21"/>
                      <w:szCs w:val="21"/>
                    </w:rPr>
                    <w:t>硼砂</w:t>
                  </w:r>
                </w:p>
              </w:tc>
              <w:tc>
                <w:tcPr>
                  <w:tcW w:w="4532" w:type="pct"/>
                  <w:vAlign w:val="center"/>
                </w:tcPr>
                <w:p w14:paraId="08412886">
                  <w:pPr>
                    <w:pStyle w:val="29"/>
                    <w:jc w:val="left"/>
                    <w:rPr>
                      <w:sz w:val="21"/>
                      <w:szCs w:val="21"/>
                    </w:rPr>
                  </w:pPr>
                  <w:r>
                    <w:rPr>
                      <w:sz w:val="21"/>
                      <w:szCs w:val="21"/>
                    </w:rPr>
                    <w:t>一般写作Na</w:t>
                  </w:r>
                  <w:r>
                    <w:rPr>
                      <w:sz w:val="21"/>
                      <w:szCs w:val="21"/>
                      <w:vertAlign w:val="subscript"/>
                    </w:rPr>
                    <w:t>2</w:t>
                  </w:r>
                  <w:r>
                    <w:rPr>
                      <w:sz w:val="21"/>
                      <w:szCs w:val="21"/>
                    </w:rPr>
                    <w:t>B</w:t>
                  </w:r>
                  <w:r>
                    <w:rPr>
                      <w:sz w:val="21"/>
                      <w:szCs w:val="21"/>
                      <w:vertAlign w:val="subscript"/>
                    </w:rPr>
                    <w:t>4</w:t>
                  </w:r>
                  <w:r>
                    <w:rPr>
                      <w:sz w:val="21"/>
                      <w:szCs w:val="21"/>
                    </w:rPr>
                    <w:t>O</w:t>
                  </w:r>
                  <w:r>
                    <w:rPr>
                      <w:sz w:val="21"/>
                      <w:szCs w:val="21"/>
                      <w:vertAlign w:val="subscript"/>
                    </w:rPr>
                    <w:t>7</w:t>
                  </w:r>
                  <w:r>
                    <w:rPr>
                      <w:sz w:val="21"/>
                      <w:szCs w:val="21"/>
                    </w:rPr>
                    <w:t>，10H</w:t>
                  </w:r>
                  <w:r>
                    <w:rPr>
                      <w:sz w:val="21"/>
                      <w:szCs w:val="21"/>
                      <w:vertAlign w:val="subscript"/>
                    </w:rPr>
                    <w:t>2</w:t>
                  </w:r>
                  <w:r>
                    <w:rPr>
                      <w:sz w:val="21"/>
                      <w:szCs w:val="21"/>
                    </w:rPr>
                    <w:t>O，无色半透明的结晶或白色结晶性粉末；无臭；有风化性；水溶液显碱性反应。在沸水或甘油中易溶，在水中溶解，在乙醇中不溶。硬度 2~2.5。在空气中易失去结晶水而成为白色粉末。灼烧则膨胀，随后即熔成透明玻璃状小球。硼砂有广泛的用途，是提取硼和硼化合物的主要矿物原料，可用作清洁剂、化妆品、杀虫剂，也可用于配置缓冲溶液和制取其他硼化合物等。市售硼砂往往已经部分风化。硼砂毒性较高，世界各国多禁用为食品添加物。人体若摄入过多的硼，会引发多脏器的蓄积性中毒。</w:t>
                  </w:r>
                </w:p>
              </w:tc>
            </w:tr>
            <w:tr w14:paraId="5AC6E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trPr>
              <w:tc>
                <w:tcPr>
                  <w:tcW w:w="467" w:type="pct"/>
                  <w:vAlign w:val="center"/>
                </w:tcPr>
                <w:p w14:paraId="3ECF5D8F">
                  <w:pPr>
                    <w:pStyle w:val="29"/>
                    <w:rPr>
                      <w:sz w:val="21"/>
                      <w:szCs w:val="21"/>
                    </w:rPr>
                  </w:pPr>
                  <w:r>
                    <w:rPr>
                      <w:sz w:val="21"/>
                      <w:szCs w:val="21"/>
                    </w:rPr>
                    <w:t>氢氧化钠</w:t>
                  </w:r>
                </w:p>
              </w:tc>
              <w:tc>
                <w:tcPr>
                  <w:tcW w:w="4532" w:type="pct"/>
                  <w:vAlign w:val="center"/>
                </w:tcPr>
                <w:p w14:paraId="34451F1A">
                  <w:pPr>
                    <w:pStyle w:val="29"/>
                    <w:jc w:val="left"/>
                    <w:rPr>
                      <w:sz w:val="21"/>
                      <w:szCs w:val="21"/>
                    </w:rPr>
                  </w:pPr>
                  <w:r>
                    <w:rPr>
                      <w:sz w:val="21"/>
                      <w:szCs w:val="21"/>
                    </w:rPr>
                    <w:t>化学式为 NaOH，俗称烧碱、火碱、苛性钠，为一种具有强腐蚀性的强碱，一般为片状或颗粒形态，易溶于水（溶于水时放热）并形成碱性溶液，另有潮解性，易吸取空气中的水蒸气（潮解）和二氧化碳（变质）。溶于乙醇和甘油，不溶于丙醇、乙醚。纯品是无色透明的晶体，密度 2.130g/cm</w:t>
                  </w:r>
                  <w:r>
                    <w:rPr>
                      <w:sz w:val="21"/>
                      <w:szCs w:val="21"/>
                      <w:vertAlign w:val="superscript"/>
                    </w:rPr>
                    <w:t>3</w:t>
                  </w:r>
                  <w:r>
                    <w:rPr>
                      <w:sz w:val="21"/>
                      <w:szCs w:val="21"/>
                    </w:rPr>
                    <w:t>。熔点 318.4℃。沸点 1390℃。</w:t>
                  </w:r>
                </w:p>
              </w:tc>
            </w:tr>
          </w:tbl>
          <w:p w14:paraId="1CB2DE98">
            <w:pPr>
              <w:pStyle w:val="45"/>
              <w:ind w:firstLine="480"/>
              <w:rPr>
                <w:rFonts w:hint="default" w:ascii="Times New Roman" w:hAnsi="Times New Roman" w:cs="Times New Roman"/>
              </w:rPr>
            </w:pPr>
            <w:r>
              <w:rPr>
                <w:rFonts w:hint="default" w:ascii="Times New Roman" w:hAnsi="Times New Roman" w:cs="Times New Roman"/>
              </w:rPr>
              <w:t>根据建设单位提供的水性油</w:t>
            </w:r>
            <w:r>
              <w:rPr>
                <w:rFonts w:hint="default" w:ascii="Times New Roman" w:hAnsi="Times New Roman" w:cs="Times New Roman"/>
                <w:lang w:eastAsia="zh-CN"/>
              </w:rPr>
              <w:t>墨</w:t>
            </w:r>
            <w:r>
              <w:rPr>
                <w:rFonts w:hint="default" w:ascii="Times New Roman" w:hAnsi="Times New Roman" w:cs="Times New Roman"/>
              </w:rPr>
              <w:t>MSDS资料（详见附件11），水性油漆主要成分一览表如下表所示：</w:t>
            </w:r>
          </w:p>
          <w:p w14:paraId="15123647">
            <w:pPr>
              <w:spacing w:line="460" w:lineRule="exact"/>
              <w:jc w:val="center"/>
              <w:rPr>
                <w:rFonts w:hint="default" w:ascii="Times New Roman" w:hAnsi="Times New Roman" w:cs="Times New Roman"/>
              </w:rPr>
            </w:pPr>
            <w:r>
              <w:rPr>
                <w:rFonts w:hint="default" w:ascii="Times New Roman" w:hAnsi="Times New Roman" w:cs="Times New Roman"/>
                <w:b/>
                <w:kern w:val="0"/>
                <w:sz w:val="21"/>
                <w:szCs w:val="22"/>
              </w:rPr>
              <w:t>表2-10 水性油漆主要成分一览表</w:t>
            </w:r>
          </w:p>
          <w:tbl>
            <w:tblPr>
              <w:tblStyle w:val="3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2"/>
              <w:gridCol w:w="1560"/>
              <w:gridCol w:w="1920"/>
              <w:gridCol w:w="1361"/>
              <w:gridCol w:w="1083"/>
              <w:gridCol w:w="1465"/>
            </w:tblGrid>
            <w:tr w14:paraId="7FC72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4" w:hRule="atLeast"/>
                <w:jc w:val="center"/>
              </w:trPr>
              <w:tc>
                <w:tcPr>
                  <w:tcW w:w="294" w:type="pct"/>
                  <w:vAlign w:val="center"/>
                </w:tcPr>
                <w:p w14:paraId="76B8F916">
                  <w:pPr>
                    <w:pStyle w:val="29"/>
                    <w:rPr>
                      <w:b/>
                      <w:bCs/>
                      <w:sz w:val="21"/>
                      <w:szCs w:val="21"/>
                    </w:rPr>
                  </w:pPr>
                  <w:r>
                    <w:rPr>
                      <w:b/>
                      <w:bCs/>
                      <w:sz w:val="21"/>
                      <w:szCs w:val="21"/>
                    </w:rPr>
                    <w:t>序号</w:t>
                  </w:r>
                </w:p>
              </w:tc>
              <w:tc>
                <w:tcPr>
                  <w:tcW w:w="993" w:type="pct"/>
                  <w:vAlign w:val="center"/>
                </w:tcPr>
                <w:p w14:paraId="3138C325">
                  <w:pPr>
                    <w:pStyle w:val="29"/>
                    <w:rPr>
                      <w:b/>
                      <w:bCs/>
                      <w:sz w:val="21"/>
                      <w:szCs w:val="21"/>
                    </w:rPr>
                  </w:pPr>
                  <w:r>
                    <w:rPr>
                      <w:b/>
                      <w:bCs/>
                      <w:sz w:val="21"/>
                      <w:szCs w:val="21"/>
                    </w:rPr>
                    <w:t>原料</w:t>
                  </w:r>
                </w:p>
              </w:tc>
              <w:tc>
                <w:tcPr>
                  <w:tcW w:w="1222" w:type="pct"/>
                  <w:vAlign w:val="center"/>
                </w:tcPr>
                <w:p w14:paraId="69A3298C">
                  <w:pPr>
                    <w:pStyle w:val="29"/>
                    <w:rPr>
                      <w:b/>
                      <w:bCs/>
                      <w:sz w:val="21"/>
                      <w:szCs w:val="21"/>
                    </w:rPr>
                  </w:pPr>
                  <w:r>
                    <w:rPr>
                      <w:b/>
                      <w:bCs/>
                      <w:sz w:val="21"/>
                      <w:szCs w:val="21"/>
                    </w:rPr>
                    <w:t>组分</w:t>
                  </w:r>
                </w:p>
              </w:tc>
              <w:tc>
                <w:tcPr>
                  <w:tcW w:w="866" w:type="pct"/>
                  <w:vAlign w:val="center"/>
                </w:tcPr>
                <w:p w14:paraId="337DC829">
                  <w:pPr>
                    <w:pStyle w:val="29"/>
                    <w:rPr>
                      <w:b/>
                      <w:bCs/>
                      <w:sz w:val="21"/>
                      <w:szCs w:val="21"/>
                    </w:rPr>
                  </w:pPr>
                  <w:r>
                    <w:rPr>
                      <w:b/>
                      <w:bCs/>
                      <w:sz w:val="21"/>
                      <w:szCs w:val="21"/>
                    </w:rPr>
                    <w:t>质量百分比（%）</w:t>
                  </w:r>
                </w:p>
              </w:tc>
              <w:tc>
                <w:tcPr>
                  <w:tcW w:w="689" w:type="pct"/>
                  <w:vAlign w:val="center"/>
                </w:tcPr>
                <w:p w14:paraId="7B74A0BC">
                  <w:pPr>
                    <w:pStyle w:val="29"/>
                    <w:rPr>
                      <w:b/>
                      <w:bCs/>
                      <w:sz w:val="21"/>
                      <w:szCs w:val="21"/>
                    </w:rPr>
                  </w:pPr>
                  <w:r>
                    <w:rPr>
                      <w:b/>
                      <w:bCs/>
                      <w:sz w:val="21"/>
                      <w:szCs w:val="21"/>
                    </w:rPr>
                    <w:t>本环评取值（%）</w:t>
                  </w:r>
                </w:p>
              </w:tc>
              <w:tc>
                <w:tcPr>
                  <w:tcW w:w="932" w:type="pct"/>
                  <w:vAlign w:val="center"/>
                </w:tcPr>
                <w:p w14:paraId="44475651">
                  <w:pPr>
                    <w:pStyle w:val="29"/>
                    <w:rPr>
                      <w:b/>
                      <w:bCs/>
                      <w:sz w:val="21"/>
                      <w:szCs w:val="21"/>
                    </w:rPr>
                  </w:pPr>
                  <w:r>
                    <w:rPr>
                      <w:b/>
                      <w:bCs/>
                      <w:sz w:val="21"/>
                      <w:szCs w:val="21"/>
                    </w:rPr>
                    <w:t>挥发性</w:t>
                  </w:r>
                </w:p>
              </w:tc>
            </w:tr>
            <w:tr w14:paraId="44FBF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4" w:hRule="atLeast"/>
                <w:jc w:val="center"/>
              </w:trPr>
              <w:tc>
                <w:tcPr>
                  <w:tcW w:w="294" w:type="pct"/>
                  <w:vMerge w:val="restart"/>
                  <w:vAlign w:val="center"/>
                </w:tcPr>
                <w:p w14:paraId="16D80CCB">
                  <w:pPr>
                    <w:pStyle w:val="29"/>
                    <w:rPr>
                      <w:sz w:val="21"/>
                      <w:szCs w:val="21"/>
                    </w:rPr>
                  </w:pPr>
                  <w:r>
                    <w:rPr>
                      <w:sz w:val="21"/>
                      <w:szCs w:val="21"/>
                    </w:rPr>
                    <w:t>1</w:t>
                  </w:r>
                </w:p>
              </w:tc>
              <w:tc>
                <w:tcPr>
                  <w:tcW w:w="993" w:type="pct"/>
                  <w:vMerge w:val="restart"/>
                  <w:vAlign w:val="center"/>
                </w:tcPr>
                <w:p w14:paraId="796F9897">
                  <w:pPr>
                    <w:pStyle w:val="29"/>
                    <w:rPr>
                      <w:sz w:val="21"/>
                      <w:szCs w:val="21"/>
                    </w:rPr>
                  </w:pPr>
                  <w:r>
                    <w:rPr>
                      <w:sz w:val="21"/>
                      <w:szCs w:val="21"/>
                    </w:rPr>
                    <w:t>水性丙烯酸聚氨酯面漆</w:t>
                  </w:r>
                </w:p>
              </w:tc>
              <w:tc>
                <w:tcPr>
                  <w:tcW w:w="1222" w:type="pct"/>
                  <w:vAlign w:val="center"/>
                </w:tcPr>
                <w:p w14:paraId="493DD8AF">
                  <w:pPr>
                    <w:pStyle w:val="29"/>
                    <w:rPr>
                      <w:sz w:val="21"/>
                      <w:szCs w:val="21"/>
                    </w:rPr>
                  </w:pPr>
                  <w:r>
                    <w:rPr>
                      <w:sz w:val="21"/>
                      <w:szCs w:val="21"/>
                    </w:rPr>
                    <w:t>水性丙烯酸树脂</w:t>
                  </w:r>
                </w:p>
              </w:tc>
              <w:tc>
                <w:tcPr>
                  <w:tcW w:w="866" w:type="pct"/>
                  <w:vAlign w:val="center"/>
                </w:tcPr>
                <w:p w14:paraId="64AE86EA">
                  <w:pPr>
                    <w:pStyle w:val="29"/>
                    <w:rPr>
                      <w:sz w:val="21"/>
                      <w:szCs w:val="21"/>
                    </w:rPr>
                  </w:pPr>
                  <w:r>
                    <w:rPr>
                      <w:sz w:val="21"/>
                      <w:szCs w:val="21"/>
                    </w:rPr>
                    <w:t>30-50</w:t>
                  </w:r>
                </w:p>
              </w:tc>
              <w:tc>
                <w:tcPr>
                  <w:tcW w:w="689" w:type="pct"/>
                  <w:vAlign w:val="center"/>
                </w:tcPr>
                <w:p w14:paraId="167ABAF1">
                  <w:pPr>
                    <w:pStyle w:val="29"/>
                    <w:rPr>
                      <w:sz w:val="21"/>
                      <w:szCs w:val="21"/>
                    </w:rPr>
                  </w:pPr>
                  <w:r>
                    <w:rPr>
                      <w:sz w:val="21"/>
                      <w:szCs w:val="21"/>
                    </w:rPr>
                    <w:t>40</w:t>
                  </w:r>
                </w:p>
              </w:tc>
              <w:tc>
                <w:tcPr>
                  <w:tcW w:w="932" w:type="pct"/>
                  <w:vAlign w:val="center"/>
                </w:tcPr>
                <w:p w14:paraId="7D6273A8">
                  <w:pPr>
                    <w:pStyle w:val="29"/>
                    <w:rPr>
                      <w:sz w:val="21"/>
                      <w:szCs w:val="21"/>
                    </w:rPr>
                  </w:pPr>
                  <w:r>
                    <w:rPr>
                      <w:sz w:val="21"/>
                      <w:szCs w:val="21"/>
                    </w:rPr>
                    <w:t>不挥发</w:t>
                  </w:r>
                </w:p>
              </w:tc>
            </w:tr>
            <w:tr w14:paraId="36C38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4" w:hRule="atLeast"/>
                <w:jc w:val="center"/>
              </w:trPr>
              <w:tc>
                <w:tcPr>
                  <w:tcW w:w="294" w:type="pct"/>
                  <w:vMerge w:val="continue"/>
                  <w:vAlign w:val="center"/>
                </w:tcPr>
                <w:p w14:paraId="11794C1A">
                  <w:pPr>
                    <w:pStyle w:val="29"/>
                    <w:rPr>
                      <w:sz w:val="21"/>
                      <w:szCs w:val="21"/>
                    </w:rPr>
                  </w:pPr>
                </w:p>
              </w:tc>
              <w:tc>
                <w:tcPr>
                  <w:tcW w:w="993" w:type="pct"/>
                  <w:vMerge w:val="continue"/>
                  <w:vAlign w:val="center"/>
                </w:tcPr>
                <w:p w14:paraId="75692FC0">
                  <w:pPr>
                    <w:pStyle w:val="29"/>
                    <w:rPr>
                      <w:sz w:val="21"/>
                      <w:szCs w:val="21"/>
                    </w:rPr>
                  </w:pPr>
                </w:p>
              </w:tc>
              <w:tc>
                <w:tcPr>
                  <w:tcW w:w="1222" w:type="pct"/>
                  <w:vAlign w:val="center"/>
                </w:tcPr>
                <w:p w14:paraId="5F59BC54">
                  <w:pPr>
                    <w:pStyle w:val="29"/>
                    <w:rPr>
                      <w:sz w:val="21"/>
                      <w:szCs w:val="21"/>
                    </w:rPr>
                  </w:pPr>
                  <w:r>
                    <w:rPr>
                      <w:sz w:val="21"/>
                      <w:szCs w:val="21"/>
                    </w:rPr>
                    <w:t>颜料</w:t>
                  </w:r>
                </w:p>
              </w:tc>
              <w:tc>
                <w:tcPr>
                  <w:tcW w:w="866" w:type="pct"/>
                  <w:vAlign w:val="center"/>
                </w:tcPr>
                <w:p w14:paraId="109ACBCB">
                  <w:pPr>
                    <w:pStyle w:val="29"/>
                    <w:rPr>
                      <w:sz w:val="21"/>
                      <w:szCs w:val="21"/>
                    </w:rPr>
                  </w:pPr>
                  <w:r>
                    <w:rPr>
                      <w:sz w:val="21"/>
                      <w:szCs w:val="21"/>
                    </w:rPr>
                    <w:t>15-30</w:t>
                  </w:r>
                </w:p>
              </w:tc>
              <w:tc>
                <w:tcPr>
                  <w:tcW w:w="689" w:type="pct"/>
                  <w:vAlign w:val="center"/>
                </w:tcPr>
                <w:p w14:paraId="1D88E617">
                  <w:pPr>
                    <w:pStyle w:val="29"/>
                    <w:rPr>
                      <w:sz w:val="21"/>
                      <w:szCs w:val="21"/>
                    </w:rPr>
                  </w:pPr>
                  <w:r>
                    <w:rPr>
                      <w:sz w:val="21"/>
                      <w:szCs w:val="21"/>
                    </w:rPr>
                    <w:t>30</w:t>
                  </w:r>
                </w:p>
              </w:tc>
              <w:tc>
                <w:tcPr>
                  <w:tcW w:w="932" w:type="pct"/>
                  <w:vAlign w:val="center"/>
                </w:tcPr>
                <w:p w14:paraId="27EFD4CD">
                  <w:pPr>
                    <w:pStyle w:val="29"/>
                    <w:rPr>
                      <w:sz w:val="21"/>
                      <w:szCs w:val="21"/>
                    </w:rPr>
                  </w:pPr>
                  <w:r>
                    <w:rPr>
                      <w:sz w:val="21"/>
                      <w:szCs w:val="21"/>
                    </w:rPr>
                    <w:t>不挥发</w:t>
                  </w:r>
                </w:p>
              </w:tc>
            </w:tr>
            <w:tr w14:paraId="57CB6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4" w:hRule="atLeast"/>
                <w:jc w:val="center"/>
              </w:trPr>
              <w:tc>
                <w:tcPr>
                  <w:tcW w:w="294" w:type="pct"/>
                  <w:vMerge w:val="continue"/>
                  <w:vAlign w:val="center"/>
                </w:tcPr>
                <w:p w14:paraId="06BE0002">
                  <w:pPr>
                    <w:pStyle w:val="29"/>
                    <w:rPr>
                      <w:sz w:val="21"/>
                      <w:szCs w:val="21"/>
                    </w:rPr>
                  </w:pPr>
                </w:p>
              </w:tc>
              <w:tc>
                <w:tcPr>
                  <w:tcW w:w="993" w:type="pct"/>
                  <w:vMerge w:val="continue"/>
                  <w:vAlign w:val="center"/>
                </w:tcPr>
                <w:p w14:paraId="4212FFFA">
                  <w:pPr>
                    <w:pStyle w:val="29"/>
                    <w:rPr>
                      <w:sz w:val="21"/>
                      <w:szCs w:val="21"/>
                    </w:rPr>
                  </w:pPr>
                </w:p>
              </w:tc>
              <w:tc>
                <w:tcPr>
                  <w:tcW w:w="1222" w:type="pct"/>
                  <w:vAlign w:val="center"/>
                </w:tcPr>
                <w:p w14:paraId="6DF2FCF3">
                  <w:pPr>
                    <w:pStyle w:val="29"/>
                    <w:rPr>
                      <w:sz w:val="21"/>
                      <w:szCs w:val="21"/>
                    </w:rPr>
                  </w:pPr>
                  <w:r>
                    <w:rPr>
                      <w:sz w:val="21"/>
                      <w:szCs w:val="21"/>
                    </w:rPr>
                    <w:t>水</w:t>
                  </w:r>
                </w:p>
              </w:tc>
              <w:tc>
                <w:tcPr>
                  <w:tcW w:w="866" w:type="pct"/>
                  <w:vAlign w:val="center"/>
                </w:tcPr>
                <w:p w14:paraId="1DDEDC08">
                  <w:pPr>
                    <w:pStyle w:val="29"/>
                    <w:rPr>
                      <w:sz w:val="21"/>
                      <w:szCs w:val="21"/>
                    </w:rPr>
                  </w:pPr>
                  <w:r>
                    <w:rPr>
                      <w:sz w:val="21"/>
                      <w:szCs w:val="21"/>
                    </w:rPr>
                    <w:t>21-42</w:t>
                  </w:r>
                </w:p>
              </w:tc>
              <w:tc>
                <w:tcPr>
                  <w:tcW w:w="689" w:type="pct"/>
                  <w:vAlign w:val="center"/>
                </w:tcPr>
                <w:p w14:paraId="09ABEC29">
                  <w:pPr>
                    <w:pStyle w:val="29"/>
                    <w:rPr>
                      <w:sz w:val="21"/>
                      <w:szCs w:val="21"/>
                    </w:rPr>
                  </w:pPr>
                  <w:r>
                    <w:rPr>
                      <w:sz w:val="21"/>
                      <w:szCs w:val="21"/>
                    </w:rPr>
                    <w:t>30</w:t>
                  </w:r>
                </w:p>
              </w:tc>
              <w:tc>
                <w:tcPr>
                  <w:tcW w:w="932" w:type="pct"/>
                  <w:vAlign w:val="center"/>
                </w:tcPr>
                <w:p w14:paraId="238F9ECA">
                  <w:pPr>
                    <w:pStyle w:val="29"/>
                    <w:rPr>
                      <w:sz w:val="21"/>
                      <w:szCs w:val="21"/>
                    </w:rPr>
                  </w:pPr>
                  <w:r>
                    <w:rPr>
                      <w:sz w:val="21"/>
                      <w:szCs w:val="21"/>
                    </w:rPr>
                    <w:t>不挥发</w:t>
                  </w:r>
                </w:p>
              </w:tc>
            </w:tr>
          </w:tbl>
          <w:p w14:paraId="3036AD44">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2.2.6主要设备参数</w:t>
            </w:r>
          </w:p>
          <w:p w14:paraId="3CA1E5A4">
            <w:pPr>
              <w:ind w:firstLine="480" w:firstLineChars="200"/>
              <w:rPr>
                <w:rFonts w:hint="default" w:ascii="Times New Roman" w:hAnsi="Times New Roman" w:cs="Times New Roman"/>
              </w:rPr>
            </w:pPr>
            <w:r>
              <w:rPr>
                <w:rFonts w:hint="default" w:ascii="Times New Roman" w:hAnsi="Times New Roman" w:cs="Times New Roman"/>
              </w:rPr>
              <w:t>本项目主要设备见下表。</w:t>
            </w:r>
          </w:p>
          <w:p w14:paraId="29F3998C">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2-11 项目主要设备一览表</w:t>
            </w:r>
          </w:p>
          <w:tbl>
            <w:tblPr>
              <w:tblStyle w:val="21"/>
              <w:tblW w:w="48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7"/>
              <w:gridCol w:w="1109"/>
              <w:gridCol w:w="1287"/>
              <w:gridCol w:w="1709"/>
              <w:gridCol w:w="735"/>
              <w:gridCol w:w="735"/>
              <w:gridCol w:w="602"/>
              <w:gridCol w:w="951"/>
            </w:tblGrid>
            <w:tr w14:paraId="4188D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vMerge w:val="restart"/>
                  <w:tcBorders>
                    <w:tl2br w:val="nil"/>
                    <w:tr2bl w:val="nil"/>
                  </w:tcBorders>
                  <w:vAlign w:val="center"/>
                </w:tcPr>
                <w:p w14:paraId="015668F4">
                  <w:pPr>
                    <w:pStyle w:val="29"/>
                    <w:rPr>
                      <w:b/>
                      <w:bCs/>
                      <w:sz w:val="21"/>
                      <w:szCs w:val="21"/>
                    </w:rPr>
                  </w:pPr>
                  <w:r>
                    <w:rPr>
                      <w:b/>
                      <w:bCs/>
                      <w:sz w:val="21"/>
                      <w:szCs w:val="21"/>
                    </w:rPr>
                    <w:t>序号</w:t>
                  </w:r>
                </w:p>
              </w:tc>
              <w:tc>
                <w:tcPr>
                  <w:tcW w:w="724" w:type="pct"/>
                  <w:vMerge w:val="restart"/>
                  <w:tcBorders>
                    <w:tl2br w:val="nil"/>
                    <w:tr2bl w:val="nil"/>
                  </w:tcBorders>
                  <w:vAlign w:val="center"/>
                </w:tcPr>
                <w:p w14:paraId="6B050AFD">
                  <w:pPr>
                    <w:pStyle w:val="29"/>
                    <w:rPr>
                      <w:b/>
                      <w:bCs/>
                      <w:sz w:val="21"/>
                      <w:szCs w:val="21"/>
                    </w:rPr>
                  </w:pPr>
                  <w:r>
                    <w:rPr>
                      <w:b/>
                      <w:bCs/>
                      <w:sz w:val="21"/>
                      <w:szCs w:val="21"/>
                    </w:rPr>
                    <w:t>主要工艺名称</w:t>
                  </w:r>
                </w:p>
              </w:tc>
              <w:tc>
                <w:tcPr>
                  <w:tcW w:w="840" w:type="pct"/>
                  <w:vMerge w:val="restart"/>
                  <w:tcBorders>
                    <w:tl2br w:val="nil"/>
                    <w:tr2bl w:val="nil"/>
                  </w:tcBorders>
                  <w:vAlign w:val="center"/>
                </w:tcPr>
                <w:p w14:paraId="3B838E83">
                  <w:pPr>
                    <w:pStyle w:val="29"/>
                    <w:rPr>
                      <w:b/>
                      <w:bCs/>
                      <w:sz w:val="21"/>
                      <w:szCs w:val="21"/>
                    </w:rPr>
                  </w:pPr>
                  <w:r>
                    <w:rPr>
                      <w:b/>
                      <w:bCs/>
                      <w:sz w:val="21"/>
                      <w:szCs w:val="21"/>
                    </w:rPr>
                    <w:t>生产设施</w:t>
                  </w:r>
                </w:p>
                <w:p w14:paraId="40FF0DAF">
                  <w:pPr>
                    <w:pStyle w:val="29"/>
                    <w:rPr>
                      <w:b/>
                      <w:bCs/>
                      <w:sz w:val="21"/>
                      <w:szCs w:val="21"/>
                    </w:rPr>
                  </w:pPr>
                  <w:r>
                    <w:rPr>
                      <w:b/>
                      <w:bCs/>
                      <w:sz w:val="21"/>
                      <w:szCs w:val="21"/>
                    </w:rPr>
                    <w:t>名称</w:t>
                  </w:r>
                </w:p>
              </w:tc>
              <w:tc>
                <w:tcPr>
                  <w:tcW w:w="1116" w:type="pct"/>
                  <w:vMerge w:val="restart"/>
                  <w:tcBorders>
                    <w:tl2br w:val="nil"/>
                    <w:tr2bl w:val="nil"/>
                  </w:tcBorders>
                  <w:vAlign w:val="center"/>
                </w:tcPr>
                <w:p w14:paraId="13BCC11A">
                  <w:pPr>
                    <w:pStyle w:val="29"/>
                    <w:rPr>
                      <w:b/>
                      <w:bCs/>
                      <w:sz w:val="21"/>
                      <w:szCs w:val="21"/>
                    </w:rPr>
                  </w:pPr>
                  <w:r>
                    <w:rPr>
                      <w:b/>
                      <w:bCs/>
                      <w:sz w:val="21"/>
                      <w:szCs w:val="21"/>
                    </w:rPr>
                    <w:t>生产设施编号</w:t>
                  </w:r>
                </w:p>
              </w:tc>
              <w:tc>
                <w:tcPr>
                  <w:tcW w:w="1974" w:type="pct"/>
                  <w:gridSpan w:val="4"/>
                  <w:tcBorders>
                    <w:tl2br w:val="nil"/>
                    <w:tr2bl w:val="nil"/>
                  </w:tcBorders>
                  <w:vAlign w:val="center"/>
                </w:tcPr>
                <w:p w14:paraId="4B48C3B5">
                  <w:pPr>
                    <w:pStyle w:val="29"/>
                    <w:rPr>
                      <w:b/>
                      <w:bCs/>
                      <w:sz w:val="21"/>
                      <w:szCs w:val="21"/>
                    </w:rPr>
                  </w:pPr>
                  <w:r>
                    <w:rPr>
                      <w:b/>
                      <w:bCs/>
                      <w:sz w:val="21"/>
                      <w:szCs w:val="21"/>
                    </w:rPr>
                    <w:t>设施参数</w:t>
                  </w:r>
                </w:p>
              </w:tc>
            </w:tr>
            <w:tr w14:paraId="76340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vMerge w:val="continue"/>
                  <w:tcBorders>
                    <w:tl2br w:val="nil"/>
                    <w:tr2bl w:val="nil"/>
                  </w:tcBorders>
                  <w:vAlign w:val="center"/>
                </w:tcPr>
                <w:p w14:paraId="39EABB0E">
                  <w:pPr>
                    <w:pStyle w:val="29"/>
                    <w:rPr>
                      <w:b/>
                      <w:bCs/>
                      <w:sz w:val="21"/>
                      <w:szCs w:val="21"/>
                    </w:rPr>
                  </w:pPr>
                </w:p>
              </w:tc>
              <w:tc>
                <w:tcPr>
                  <w:tcW w:w="724" w:type="pct"/>
                  <w:vMerge w:val="continue"/>
                  <w:tcBorders>
                    <w:tl2br w:val="nil"/>
                    <w:tr2bl w:val="nil"/>
                  </w:tcBorders>
                  <w:vAlign w:val="center"/>
                </w:tcPr>
                <w:p w14:paraId="7D16CE84">
                  <w:pPr>
                    <w:pStyle w:val="29"/>
                    <w:rPr>
                      <w:b/>
                      <w:bCs/>
                      <w:sz w:val="21"/>
                      <w:szCs w:val="21"/>
                    </w:rPr>
                  </w:pPr>
                </w:p>
              </w:tc>
              <w:tc>
                <w:tcPr>
                  <w:tcW w:w="840" w:type="pct"/>
                  <w:vMerge w:val="continue"/>
                  <w:tcBorders>
                    <w:tl2br w:val="nil"/>
                    <w:tr2bl w:val="nil"/>
                  </w:tcBorders>
                  <w:vAlign w:val="center"/>
                </w:tcPr>
                <w:p w14:paraId="6EFD9443">
                  <w:pPr>
                    <w:pStyle w:val="29"/>
                    <w:rPr>
                      <w:b/>
                      <w:bCs/>
                      <w:sz w:val="21"/>
                      <w:szCs w:val="21"/>
                    </w:rPr>
                  </w:pPr>
                </w:p>
              </w:tc>
              <w:tc>
                <w:tcPr>
                  <w:tcW w:w="1116" w:type="pct"/>
                  <w:vMerge w:val="continue"/>
                  <w:tcBorders>
                    <w:tl2br w:val="nil"/>
                    <w:tr2bl w:val="nil"/>
                  </w:tcBorders>
                  <w:vAlign w:val="center"/>
                </w:tcPr>
                <w:p w14:paraId="112DC75A">
                  <w:pPr>
                    <w:pStyle w:val="29"/>
                    <w:rPr>
                      <w:b/>
                      <w:bCs/>
                      <w:sz w:val="21"/>
                      <w:szCs w:val="21"/>
                    </w:rPr>
                  </w:pPr>
                </w:p>
              </w:tc>
              <w:tc>
                <w:tcPr>
                  <w:tcW w:w="480" w:type="pct"/>
                  <w:tcBorders>
                    <w:tl2br w:val="nil"/>
                    <w:tr2bl w:val="nil"/>
                  </w:tcBorders>
                  <w:vAlign w:val="center"/>
                </w:tcPr>
                <w:p w14:paraId="244588A9">
                  <w:pPr>
                    <w:pStyle w:val="29"/>
                    <w:rPr>
                      <w:b/>
                      <w:bCs/>
                      <w:sz w:val="21"/>
                      <w:szCs w:val="21"/>
                    </w:rPr>
                  </w:pPr>
                  <w:r>
                    <w:rPr>
                      <w:b/>
                      <w:bCs/>
                      <w:sz w:val="21"/>
                      <w:szCs w:val="21"/>
                    </w:rPr>
                    <w:t>参数名称</w:t>
                  </w:r>
                </w:p>
              </w:tc>
              <w:tc>
                <w:tcPr>
                  <w:tcW w:w="480" w:type="pct"/>
                  <w:tcBorders>
                    <w:tl2br w:val="nil"/>
                    <w:tr2bl w:val="nil"/>
                  </w:tcBorders>
                  <w:vAlign w:val="center"/>
                </w:tcPr>
                <w:p w14:paraId="1A988161">
                  <w:pPr>
                    <w:pStyle w:val="29"/>
                    <w:rPr>
                      <w:b/>
                      <w:bCs/>
                      <w:sz w:val="21"/>
                      <w:szCs w:val="21"/>
                    </w:rPr>
                  </w:pPr>
                  <w:r>
                    <w:rPr>
                      <w:b/>
                      <w:bCs/>
                      <w:sz w:val="21"/>
                      <w:szCs w:val="21"/>
                    </w:rPr>
                    <w:t>计量单位</w:t>
                  </w:r>
                </w:p>
              </w:tc>
              <w:tc>
                <w:tcPr>
                  <w:tcW w:w="393" w:type="pct"/>
                  <w:tcBorders>
                    <w:tl2br w:val="nil"/>
                    <w:tr2bl w:val="nil"/>
                  </w:tcBorders>
                  <w:vAlign w:val="center"/>
                </w:tcPr>
                <w:p w14:paraId="67A832BD">
                  <w:pPr>
                    <w:pStyle w:val="29"/>
                    <w:rPr>
                      <w:b/>
                      <w:bCs/>
                      <w:sz w:val="21"/>
                      <w:szCs w:val="21"/>
                    </w:rPr>
                  </w:pPr>
                  <w:r>
                    <w:rPr>
                      <w:b/>
                      <w:bCs/>
                      <w:sz w:val="21"/>
                      <w:szCs w:val="21"/>
                    </w:rPr>
                    <w:t>设计值</w:t>
                  </w:r>
                </w:p>
              </w:tc>
              <w:tc>
                <w:tcPr>
                  <w:tcW w:w="621" w:type="pct"/>
                  <w:tcBorders>
                    <w:tl2br w:val="nil"/>
                    <w:tr2bl w:val="nil"/>
                  </w:tcBorders>
                  <w:vAlign w:val="center"/>
                </w:tcPr>
                <w:p w14:paraId="3AAF67F5">
                  <w:pPr>
                    <w:pStyle w:val="29"/>
                    <w:rPr>
                      <w:b/>
                      <w:bCs/>
                      <w:sz w:val="21"/>
                      <w:szCs w:val="21"/>
                    </w:rPr>
                  </w:pPr>
                  <w:r>
                    <w:rPr>
                      <w:b/>
                      <w:bCs/>
                      <w:sz w:val="21"/>
                      <w:szCs w:val="21"/>
                    </w:rPr>
                    <w:t>其他设施参数信息</w:t>
                  </w:r>
                </w:p>
              </w:tc>
            </w:tr>
            <w:tr w14:paraId="3BF59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43F257E6">
                  <w:pPr>
                    <w:pStyle w:val="29"/>
                    <w:rPr>
                      <w:sz w:val="21"/>
                      <w:szCs w:val="21"/>
                    </w:rPr>
                  </w:pPr>
                  <w:r>
                    <w:rPr>
                      <w:sz w:val="21"/>
                      <w:szCs w:val="21"/>
                    </w:rPr>
                    <w:t>1</w:t>
                  </w:r>
                </w:p>
              </w:tc>
              <w:tc>
                <w:tcPr>
                  <w:tcW w:w="724" w:type="pct"/>
                  <w:tcBorders>
                    <w:tl2br w:val="nil"/>
                    <w:tr2bl w:val="nil"/>
                  </w:tcBorders>
                  <w:vAlign w:val="center"/>
                </w:tcPr>
                <w:p w14:paraId="4322EB7F">
                  <w:pPr>
                    <w:pStyle w:val="29"/>
                    <w:rPr>
                      <w:sz w:val="21"/>
                      <w:szCs w:val="21"/>
                    </w:rPr>
                  </w:pPr>
                  <w:r>
                    <w:rPr>
                      <w:sz w:val="21"/>
                      <w:szCs w:val="21"/>
                    </w:rPr>
                    <w:t>制胶</w:t>
                  </w:r>
                </w:p>
              </w:tc>
              <w:tc>
                <w:tcPr>
                  <w:tcW w:w="840" w:type="pct"/>
                  <w:tcBorders>
                    <w:tl2br w:val="nil"/>
                    <w:tr2bl w:val="nil"/>
                  </w:tcBorders>
                  <w:vAlign w:val="center"/>
                </w:tcPr>
                <w:p w14:paraId="2DB131EB">
                  <w:pPr>
                    <w:pStyle w:val="29"/>
                    <w:rPr>
                      <w:sz w:val="21"/>
                      <w:szCs w:val="21"/>
                    </w:rPr>
                  </w:pPr>
                  <w:r>
                    <w:rPr>
                      <w:sz w:val="21"/>
                      <w:szCs w:val="21"/>
                    </w:rPr>
                    <w:t>抽粉机</w:t>
                  </w:r>
                </w:p>
              </w:tc>
              <w:tc>
                <w:tcPr>
                  <w:tcW w:w="1116" w:type="pct"/>
                  <w:tcBorders>
                    <w:tl2br w:val="nil"/>
                    <w:tr2bl w:val="nil"/>
                  </w:tcBorders>
                  <w:vAlign w:val="center"/>
                </w:tcPr>
                <w:p w14:paraId="01D4C27E">
                  <w:pPr>
                    <w:pStyle w:val="29"/>
                    <w:rPr>
                      <w:sz w:val="21"/>
                      <w:szCs w:val="21"/>
                    </w:rPr>
                  </w:pPr>
                  <w:r>
                    <w:rPr>
                      <w:sz w:val="21"/>
                      <w:szCs w:val="21"/>
                    </w:rPr>
                    <w:t>MF0001</w:t>
                  </w:r>
                </w:p>
              </w:tc>
              <w:tc>
                <w:tcPr>
                  <w:tcW w:w="480" w:type="pct"/>
                  <w:tcBorders>
                    <w:tl2br w:val="nil"/>
                    <w:tr2bl w:val="nil"/>
                  </w:tcBorders>
                  <w:vAlign w:val="center"/>
                </w:tcPr>
                <w:p w14:paraId="5A35FF23">
                  <w:pPr>
                    <w:pStyle w:val="29"/>
                    <w:rPr>
                      <w:sz w:val="21"/>
                      <w:szCs w:val="21"/>
                    </w:rPr>
                  </w:pPr>
                  <w:r>
                    <w:rPr>
                      <w:sz w:val="21"/>
                      <w:szCs w:val="21"/>
                    </w:rPr>
                    <w:t>/</w:t>
                  </w:r>
                </w:p>
              </w:tc>
              <w:tc>
                <w:tcPr>
                  <w:tcW w:w="480" w:type="pct"/>
                  <w:tcBorders>
                    <w:tl2br w:val="nil"/>
                    <w:tr2bl w:val="nil"/>
                  </w:tcBorders>
                  <w:vAlign w:val="center"/>
                </w:tcPr>
                <w:p w14:paraId="6489D7BA">
                  <w:pPr>
                    <w:pStyle w:val="29"/>
                    <w:rPr>
                      <w:sz w:val="21"/>
                      <w:szCs w:val="21"/>
                    </w:rPr>
                  </w:pPr>
                  <w:r>
                    <w:rPr>
                      <w:sz w:val="21"/>
                      <w:szCs w:val="21"/>
                    </w:rPr>
                    <w:t>/</w:t>
                  </w:r>
                </w:p>
              </w:tc>
              <w:tc>
                <w:tcPr>
                  <w:tcW w:w="393" w:type="pct"/>
                  <w:tcBorders>
                    <w:tl2br w:val="nil"/>
                    <w:tr2bl w:val="nil"/>
                  </w:tcBorders>
                  <w:vAlign w:val="center"/>
                </w:tcPr>
                <w:p w14:paraId="1725EEA3">
                  <w:pPr>
                    <w:pStyle w:val="29"/>
                    <w:rPr>
                      <w:sz w:val="21"/>
                      <w:szCs w:val="21"/>
                    </w:rPr>
                  </w:pPr>
                  <w:r>
                    <w:rPr>
                      <w:sz w:val="21"/>
                      <w:szCs w:val="21"/>
                    </w:rPr>
                    <w:t>/</w:t>
                  </w:r>
                </w:p>
              </w:tc>
              <w:tc>
                <w:tcPr>
                  <w:tcW w:w="621" w:type="pct"/>
                  <w:tcBorders>
                    <w:tl2br w:val="nil"/>
                    <w:tr2bl w:val="nil"/>
                  </w:tcBorders>
                  <w:vAlign w:val="center"/>
                </w:tcPr>
                <w:p w14:paraId="2540A48E">
                  <w:pPr>
                    <w:pStyle w:val="29"/>
                    <w:rPr>
                      <w:sz w:val="21"/>
                      <w:szCs w:val="21"/>
                    </w:rPr>
                  </w:pPr>
                  <w:r>
                    <w:rPr>
                      <w:sz w:val="21"/>
                      <w:szCs w:val="21"/>
                    </w:rPr>
                    <w:t>1台</w:t>
                  </w:r>
                </w:p>
              </w:tc>
            </w:tr>
            <w:tr w14:paraId="4DF70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344" w:type="pct"/>
                  <w:tcBorders>
                    <w:tl2br w:val="nil"/>
                    <w:tr2bl w:val="nil"/>
                  </w:tcBorders>
                  <w:vAlign w:val="center"/>
                </w:tcPr>
                <w:p w14:paraId="58BD109E">
                  <w:pPr>
                    <w:pStyle w:val="29"/>
                    <w:rPr>
                      <w:sz w:val="21"/>
                      <w:szCs w:val="21"/>
                    </w:rPr>
                  </w:pPr>
                  <w:r>
                    <w:rPr>
                      <w:sz w:val="21"/>
                      <w:szCs w:val="21"/>
                    </w:rPr>
                    <w:t>2</w:t>
                  </w:r>
                </w:p>
              </w:tc>
              <w:tc>
                <w:tcPr>
                  <w:tcW w:w="724" w:type="pct"/>
                  <w:tcBorders>
                    <w:tl2br w:val="nil"/>
                    <w:tr2bl w:val="nil"/>
                  </w:tcBorders>
                  <w:vAlign w:val="center"/>
                </w:tcPr>
                <w:p w14:paraId="68336A91">
                  <w:pPr>
                    <w:pStyle w:val="29"/>
                    <w:rPr>
                      <w:sz w:val="21"/>
                      <w:szCs w:val="21"/>
                    </w:rPr>
                  </w:pPr>
                  <w:r>
                    <w:rPr>
                      <w:sz w:val="21"/>
                      <w:szCs w:val="21"/>
                    </w:rPr>
                    <w:t>制胶</w:t>
                  </w:r>
                </w:p>
              </w:tc>
              <w:tc>
                <w:tcPr>
                  <w:tcW w:w="840" w:type="pct"/>
                  <w:tcBorders>
                    <w:tl2br w:val="nil"/>
                    <w:tr2bl w:val="nil"/>
                  </w:tcBorders>
                  <w:vAlign w:val="center"/>
                </w:tcPr>
                <w:p w14:paraId="178C2F78">
                  <w:pPr>
                    <w:pStyle w:val="29"/>
                    <w:rPr>
                      <w:sz w:val="21"/>
                      <w:szCs w:val="21"/>
                    </w:rPr>
                  </w:pPr>
                  <w:r>
                    <w:rPr>
                      <w:sz w:val="21"/>
                      <w:szCs w:val="21"/>
                    </w:rPr>
                    <w:t>搅拌机</w:t>
                  </w:r>
                </w:p>
              </w:tc>
              <w:tc>
                <w:tcPr>
                  <w:tcW w:w="1116" w:type="pct"/>
                  <w:tcBorders>
                    <w:tl2br w:val="nil"/>
                    <w:tr2bl w:val="nil"/>
                  </w:tcBorders>
                  <w:vAlign w:val="center"/>
                </w:tcPr>
                <w:p w14:paraId="7805CC8E">
                  <w:pPr>
                    <w:pStyle w:val="29"/>
                    <w:rPr>
                      <w:sz w:val="21"/>
                      <w:szCs w:val="21"/>
                    </w:rPr>
                  </w:pPr>
                  <w:r>
                    <w:rPr>
                      <w:sz w:val="21"/>
                      <w:szCs w:val="21"/>
                    </w:rPr>
                    <w:t>MF0002</w:t>
                  </w:r>
                </w:p>
              </w:tc>
              <w:tc>
                <w:tcPr>
                  <w:tcW w:w="480" w:type="pct"/>
                  <w:tcBorders>
                    <w:tl2br w:val="nil"/>
                    <w:tr2bl w:val="nil"/>
                  </w:tcBorders>
                  <w:vAlign w:val="center"/>
                </w:tcPr>
                <w:p w14:paraId="11856C1C">
                  <w:pPr>
                    <w:pStyle w:val="29"/>
                    <w:rPr>
                      <w:sz w:val="21"/>
                      <w:szCs w:val="21"/>
                    </w:rPr>
                  </w:pPr>
                  <w:r>
                    <w:rPr>
                      <w:sz w:val="21"/>
                      <w:szCs w:val="21"/>
                    </w:rPr>
                    <w:t>功率</w:t>
                  </w:r>
                </w:p>
              </w:tc>
              <w:tc>
                <w:tcPr>
                  <w:tcW w:w="480" w:type="pct"/>
                  <w:tcBorders>
                    <w:tl2br w:val="nil"/>
                    <w:tr2bl w:val="nil"/>
                  </w:tcBorders>
                  <w:vAlign w:val="center"/>
                </w:tcPr>
                <w:p w14:paraId="46911FD9">
                  <w:pPr>
                    <w:pStyle w:val="29"/>
                    <w:rPr>
                      <w:sz w:val="21"/>
                      <w:szCs w:val="21"/>
                    </w:rPr>
                  </w:pPr>
                  <w:r>
                    <w:rPr>
                      <w:sz w:val="21"/>
                      <w:szCs w:val="21"/>
                    </w:rPr>
                    <w:t>KW</w:t>
                  </w:r>
                </w:p>
              </w:tc>
              <w:tc>
                <w:tcPr>
                  <w:tcW w:w="393" w:type="pct"/>
                  <w:tcBorders>
                    <w:tl2br w:val="nil"/>
                    <w:tr2bl w:val="nil"/>
                  </w:tcBorders>
                  <w:vAlign w:val="center"/>
                </w:tcPr>
                <w:p w14:paraId="487FB215">
                  <w:pPr>
                    <w:pStyle w:val="29"/>
                    <w:rPr>
                      <w:sz w:val="21"/>
                      <w:szCs w:val="21"/>
                    </w:rPr>
                  </w:pPr>
                  <w:r>
                    <w:rPr>
                      <w:sz w:val="21"/>
                      <w:szCs w:val="21"/>
                    </w:rPr>
                    <w:t>2</w:t>
                  </w:r>
                </w:p>
              </w:tc>
              <w:tc>
                <w:tcPr>
                  <w:tcW w:w="621" w:type="pct"/>
                  <w:tcBorders>
                    <w:tl2br w:val="nil"/>
                    <w:tr2bl w:val="nil"/>
                  </w:tcBorders>
                  <w:vAlign w:val="center"/>
                </w:tcPr>
                <w:p w14:paraId="65DF98D5">
                  <w:pPr>
                    <w:pStyle w:val="29"/>
                    <w:rPr>
                      <w:sz w:val="21"/>
                      <w:szCs w:val="21"/>
                    </w:rPr>
                  </w:pPr>
                  <w:r>
                    <w:rPr>
                      <w:sz w:val="21"/>
                      <w:szCs w:val="21"/>
                    </w:rPr>
                    <w:t>1台</w:t>
                  </w:r>
                </w:p>
              </w:tc>
            </w:tr>
            <w:tr w14:paraId="4ED7C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jc w:val="center"/>
              </w:trPr>
              <w:tc>
                <w:tcPr>
                  <w:tcW w:w="344" w:type="pct"/>
                  <w:tcBorders>
                    <w:tl2br w:val="nil"/>
                    <w:tr2bl w:val="nil"/>
                  </w:tcBorders>
                  <w:vAlign w:val="center"/>
                </w:tcPr>
                <w:p w14:paraId="1A06605E">
                  <w:pPr>
                    <w:pStyle w:val="29"/>
                    <w:rPr>
                      <w:sz w:val="21"/>
                      <w:szCs w:val="21"/>
                    </w:rPr>
                  </w:pPr>
                  <w:r>
                    <w:rPr>
                      <w:sz w:val="21"/>
                      <w:szCs w:val="21"/>
                    </w:rPr>
                    <w:t>3</w:t>
                  </w:r>
                </w:p>
              </w:tc>
              <w:tc>
                <w:tcPr>
                  <w:tcW w:w="724" w:type="pct"/>
                  <w:tcBorders>
                    <w:tl2br w:val="nil"/>
                    <w:tr2bl w:val="nil"/>
                  </w:tcBorders>
                  <w:vAlign w:val="center"/>
                </w:tcPr>
                <w:p w14:paraId="01ABBDEF">
                  <w:pPr>
                    <w:pStyle w:val="29"/>
                    <w:rPr>
                      <w:sz w:val="21"/>
                      <w:szCs w:val="21"/>
                    </w:rPr>
                  </w:pPr>
                  <w:r>
                    <w:rPr>
                      <w:sz w:val="21"/>
                      <w:szCs w:val="21"/>
                    </w:rPr>
                    <w:t>压楞</w:t>
                  </w:r>
                </w:p>
              </w:tc>
              <w:tc>
                <w:tcPr>
                  <w:tcW w:w="840" w:type="pct"/>
                  <w:tcBorders>
                    <w:tl2br w:val="nil"/>
                    <w:tr2bl w:val="nil"/>
                  </w:tcBorders>
                  <w:vAlign w:val="center"/>
                </w:tcPr>
                <w:p w14:paraId="34A22DC0">
                  <w:pPr>
                    <w:pStyle w:val="29"/>
                    <w:rPr>
                      <w:sz w:val="21"/>
                      <w:szCs w:val="21"/>
                    </w:rPr>
                  </w:pPr>
                  <w:r>
                    <w:rPr>
                      <w:sz w:val="21"/>
                      <w:szCs w:val="21"/>
                    </w:rPr>
                    <w:t>单面瓦楞机</w:t>
                  </w:r>
                </w:p>
              </w:tc>
              <w:tc>
                <w:tcPr>
                  <w:tcW w:w="1116" w:type="pct"/>
                  <w:tcBorders>
                    <w:tl2br w:val="nil"/>
                    <w:tr2bl w:val="nil"/>
                  </w:tcBorders>
                  <w:vAlign w:val="center"/>
                </w:tcPr>
                <w:p w14:paraId="4CC1F3DF">
                  <w:pPr>
                    <w:pStyle w:val="29"/>
                    <w:rPr>
                      <w:sz w:val="21"/>
                      <w:szCs w:val="21"/>
                    </w:rPr>
                  </w:pPr>
                  <w:r>
                    <w:rPr>
                      <w:sz w:val="21"/>
                      <w:szCs w:val="21"/>
                    </w:rPr>
                    <w:t>MF0003-MF005</w:t>
                  </w:r>
                </w:p>
              </w:tc>
              <w:tc>
                <w:tcPr>
                  <w:tcW w:w="480" w:type="pct"/>
                  <w:tcBorders>
                    <w:tl2br w:val="nil"/>
                    <w:tr2bl w:val="nil"/>
                  </w:tcBorders>
                  <w:vAlign w:val="center"/>
                </w:tcPr>
                <w:p w14:paraId="47B589AD">
                  <w:pPr>
                    <w:pStyle w:val="29"/>
                    <w:rPr>
                      <w:sz w:val="21"/>
                      <w:szCs w:val="21"/>
                    </w:rPr>
                  </w:pPr>
                  <w:r>
                    <w:rPr>
                      <w:sz w:val="21"/>
                      <w:szCs w:val="21"/>
                    </w:rPr>
                    <w:t>功率</w:t>
                  </w:r>
                </w:p>
              </w:tc>
              <w:tc>
                <w:tcPr>
                  <w:tcW w:w="480" w:type="pct"/>
                  <w:tcBorders>
                    <w:tl2br w:val="nil"/>
                    <w:tr2bl w:val="nil"/>
                  </w:tcBorders>
                  <w:vAlign w:val="center"/>
                </w:tcPr>
                <w:p w14:paraId="1A6F9F9F">
                  <w:pPr>
                    <w:pStyle w:val="29"/>
                    <w:rPr>
                      <w:sz w:val="21"/>
                      <w:szCs w:val="21"/>
                    </w:rPr>
                  </w:pPr>
                  <w:r>
                    <w:rPr>
                      <w:sz w:val="21"/>
                      <w:szCs w:val="21"/>
                    </w:rPr>
                    <w:t>KW</w:t>
                  </w:r>
                </w:p>
              </w:tc>
              <w:tc>
                <w:tcPr>
                  <w:tcW w:w="393" w:type="pct"/>
                  <w:tcBorders>
                    <w:tl2br w:val="nil"/>
                    <w:tr2bl w:val="nil"/>
                  </w:tcBorders>
                  <w:vAlign w:val="center"/>
                </w:tcPr>
                <w:p w14:paraId="474B4E35">
                  <w:pPr>
                    <w:pStyle w:val="29"/>
                    <w:rPr>
                      <w:sz w:val="21"/>
                      <w:szCs w:val="21"/>
                    </w:rPr>
                  </w:pPr>
                  <w:r>
                    <w:rPr>
                      <w:sz w:val="21"/>
                      <w:szCs w:val="21"/>
                    </w:rPr>
                    <w:t>60</w:t>
                  </w:r>
                </w:p>
              </w:tc>
              <w:tc>
                <w:tcPr>
                  <w:tcW w:w="621" w:type="pct"/>
                  <w:tcBorders>
                    <w:tl2br w:val="nil"/>
                    <w:tr2bl w:val="nil"/>
                  </w:tcBorders>
                  <w:vAlign w:val="center"/>
                </w:tcPr>
                <w:p w14:paraId="2F0430FB">
                  <w:pPr>
                    <w:pStyle w:val="29"/>
                    <w:rPr>
                      <w:sz w:val="21"/>
                      <w:szCs w:val="21"/>
                    </w:rPr>
                  </w:pPr>
                  <w:r>
                    <w:rPr>
                      <w:sz w:val="21"/>
                      <w:szCs w:val="21"/>
                    </w:rPr>
                    <w:t>3台</w:t>
                  </w:r>
                </w:p>
              </w:tc>
            </w:tr>
            <w:tr w14:paraId="58D0A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47B8F18A">
                  <w:pPr>
                    <w:pStyle w:val="29"/>
                    <w:rPr>
                      <w:sz w:val="21"/>
                      <w:szCs w:val="21"/>
                    </w:rPr>
                  </w:pPr>
                  <w:r>
                    <w:rPr>
                      <w:sz w:val="21"/>
                      <w:szCs w:val="21"/>
                    </w:rPr>
                    <w:t>4</w:t>
                  </w:r>
                </w:p>
              </w:tc>
              <w:tc>
                <w:tcPr>
                  <w:tcW w:w="724" w:type="pct"/>
                  <w:tcBorders>
                    <w:tl2br w:val="nil"/>
                    <w:tr2bl w:val="nil"/>
                  </w:tcBorders>
                  <w:vAlign w:val="center"/>
                </w:tcPr>
                <w:p w14:paraId="1D170C0F">
                  <w:pPr>
                    <w:pStyle w:val="29"/>
                    <w:rPr>
                      <w:sz w:val="21"/>
                      <w:szCs w:val="21"/>
                    </w:rPr>
                  </w:pPr>
                  <w:r>
                    <w:rPr>
                      <w:sz w:val="21"/>
                      <w:szCs w:val="21"/>
                    </w:rPr>
                    <w:t>烘压定型</w:t>
                  </w:r>
                </w:p>
              </w:tc>
              <w:tc>
                <w:tcPr>
                  <w:tcW w:w="840" w:type="pct"/>
                  <w:tcBorders>
                    <w:tl2br w:val="nil"/>
                    <w:tr2bl w:val="nil"/>
                  </w:tcBorders>
                  <w:vAlign w:val="center"/>
                </w:tcPr>
                <w:p w14:paraId="18365585">
                  <w:pPr>
                    <w:pStyle w:val="29"/>
                    <w:rPr>
                      <w:sz w:val="21"/>
                      <w:szCs w:val="21"/>
                    </w:rPr>
                  </w:pPr>
                  <w:r>
                    <w:rPr>
                      <w:sz w:val="21"/>
                      <w:szCs w:val="21"/>
                    </w:rPr>
                    <w:t>加热钢</w:t>
                  </w:r>
                </w:p>
              </w:tc>
              <w:tc>
                <w:tcPr>
                  <w:tcW w:w="1116" w:type="pct"/>
                  <w:tcBorders>
                    <w:tl2br w:val="nil"/>
                    <w:tr2bl w:val="nil"/>
                  </w:tcBorders>
                  <w:vAlign w:val="center"/>
                </w:tcPr>
                <w:p w14:paraId="777BA063">
                  <w:pPr>
                    <w:pStyle w:val="29"/>
                    <w:rPr>
                      <w:sz w:val="21"/>
                      <w:szCs w:val="21"/>
                    </w:rPr>
                  </w:pPr>
                  <w:r>
                    <w:rPr>
                      <w:sz w:val="21"/>
                      <w:szCs w:val="21"/>
                    </w:rPr>
                    <w:t>MF0006-MF0008</w:t>
                  </w:r>
                </w:p>
              </w:tc>
              <w:tc>
                <w:tcPr>
                  <w:tcW w:w="480" w:type="pct"/>
                  <w:tcBorders>
                    <w:tl2br w:val="nil"/>
                    <w:tr2bl w:val="nil"/>
                  </w:tcBorders>
                  <w:vAlign w:val="center"/>
                </w:tcPr>
                <w:p w14:paraId="5CC4E455">
                  <w:pPr>
                    <w:pStyle w:val="29"/>
                    <w:rPr>
                      <w:sz w:val="21"/>
                      <w:szCs w:val="21"/>
                    </w:rPr>
                  </w:pPr>
                  <w:r>
                    <w:rPr>
                      <w:sz w:val="21"/>
                      <w:szCs w:val="21"/>
                    </w:rPr>
                    <w:t>功率</w:t>
                  </w:r>
                </w:p>
              </w:tc>
              <w:tc>
                <w:tcPr>
                  <w:tcW w:w="480" w:type="pct"/>
                  <w:tcBorders>
                    <w:tl2br w:val="nil"/>
                    <w:tr2bl w:val="nil"/>
                  </w:tcBorders>
                  <w:vAlign w:val="center"/>
                </w:tcPr>
                <w:p w14:paraId="08788027">
                  <w:pPr>
                    <w:pStyle w:val="29"/>
                    <w:rPr>
                      <w:sz w:val="21"/>
                      <w:szCs w:val="21"/>
                    </w:rPr>
                  </w:pPr>
                  <w:r>
                    <w:rPr>
                      <w:sz w:val="21"/>
                      <w:szCs w:val="21"/>
                    </w:rPr>
                    <w:t>KW</w:t>
                  </w:r>
                </w:p>
              </w:tc>
              <w:tc>
                <w:tcPr>
                  <w:tcW w:w="393" w:type="pct"/>
                  <w:tcBorders>
                    <w:tl2br w:val="nil"/>
                    <w:tr2bl w:val="nil"/>
                  </w:tcBorders>
                  <w:vAlign w:val="center"/>
                </w:tcPr>
                <w:p w14:paraId="11D90188">
                  <w:pPr>
                    <w:pStyle w:val="29"/>
                    <w:rPr>
                      <w:sz w:val="21"/>
                      <w:szCs w:val="21"/>
                    </w:rPr>
                  </w:pPr>
                  <w:r>
                    <w:rPr>
                      <w:sz w:val="21"/>
                      <w:szCs w:val="21"/>
                    </w:rPr>
                    <w:t>30</w:t>
                  </w:r>
                </w:p>
              </w:tc>
              <w:tc>
                <w:tcPr>
                  <w:tcW w:w="621" w:type="pct"/>
                  <w:tcBorders>
                    <w:tl2br w:val="nil"/>
                    <w:tr2bl w:val="nil"/>
                  </w:tcBorders>
                  <w:vAlign w:val="center"/>
                </w:tcPr>
                <w:p w14:paraId="4D1C7C12">
                  <w:pPr>
                    <w:pStyle w:val="29"/>
                    <w:rPr>
                      <w:sz w:val="21"/>
                      <w:szCs w:val="21"/>
                    </w:rPr>
                  </w:pPr>
                  <w:r>
                    <w:rPr>
                      <w:sz w:val="21"/>
                      <w:szCs w:val="21"/>
                    </w:rPr>
                    <w:t>3台</w:t>
                  </w:r>
                </w:p>
              </w:tc>
            </w:tr>
            <w:tr w14:paraId="7CE1A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58441273">
                  <w:pPr>
                    <w:pStyle w:val="29"/>
                    <w:rPr>
                      <w:sz w:val="21"/>
                      <w:szCs w:val="21"/>
                    </w:rPr>
                  </w:pPr>
                  <w:r>
                    <w:rPr>
                      <w:sz w:val="21"/>
                      <w:szCs w:val="21"/>
                    </w:rPr>
                    <w:t>5</w:t>
                  </w:r>
                </w:p>
              </w:tc>
              <w:tc>
                <w:tcPr>
                  <w:tcW w:w="724" w:type="pct"/>
                  <w:tcBorders>
                    <w:tl2br w:val="nil"/>
                    <w:tr2bl w:val="nil"/>
                  </w:tcBorders>
                  <w:vAlign w:val="center"/>
                </w:tcPr>
                <w:p w14:paraId="4684A097">
                  <w:pPr>
                    <w:pStyle w:val="29"/>
                    <w:rPr>
                      <w:sz w:val="21"/>
                      <w:szCs w:val="21"/>
                    </w:rPr>
                  </w:pPr>
                  <w:r>
                    <w:rPr>
                      <w:sz w:val="21"/>
                      <w:szCs w:val="21"/>
                    </w:rPr>
                    <w:t>压楞、烘压定型</w:t>
                  </w:r>
                </w:p>
              </w:tc>
              <w:tc>
                <w:tcPr>
                  <w:tcW w:w="840" w:type="pct"/>
                  <w:tcBorders>
                    <w:tl2br w:val="nil"/>
                    <w:tr2bl w:val="nil"/>
                  </w:tcBorders>
                  <w:vAlign w:val="center"/>
                </w:tcPr>
                <w:p w14:paraId="6911A063">
                  <w:pPr>
                    <w:pStyle w:val="29"/>
                    <w:rPr>
                      <w:sz w:val="21"/>
                      <w:szCs w:val="21"/>
                    </w:rPr>
                  </w:pPr>
                  <w:r>
                    <w:rPr>
                      <w:sz w:val="21"/>
                      <w:szCs w:val="21"/>
                    </w:rPr>
                    <w:t>过纸天桥</w:t>
                  </w:r>
                </w:p>
              </w:tc>
              <w:tc>
                <w:tcPr>
                  <w:tcW w:w="1116" w:type="pct"/>
                  <w:tcBorders>
                    <w:tl2br w:val="nil"/>
                    <w:tr2bl w:val="nil"/>
                  </w:tcBorders>
                  <w:vAlign w:val="center"/>
                </w:tcPr>
                <w:p w14:paraId="6442E681">
                  <w:pPr>
                    <w:pStyle w:val="29"/>
                    <w:rPr>
                      <w:sz w:val="21"/>
                      <w:szCs w:val="21"/>
                    </w:rPr>
                  </w:pPr>
                  <w:r>
                    <w:rPr>
                      <w:sz w:val="21"/>
                      <w:szCs w:val="21"/>
                    </w:rPr>
                    <w:t>MF0009</w:t>
                  </w:r>
                </w:p>
              </w:tc>
              <w:tc>
                <w:tcPr>
                  <w:tcW w:w="480" w:type="pct"/>
                  <w:tcBorders>
                    <w:tl2br w:val="nil"/>
                    <w:tr2bl w:val="nil"/>
                  </w:tcBorders>
                  <w:vAlign w:val="center"/>
                </w:tcPr>
                <w:p w14:paraId="7591DC52">
                  <w:pPr>
                    <w:pStyle w:val="29"/>
                    <w:rPr>
                      <w:sz w:val="21"/>
                      <w:szCs w:val="21"/>
                    </w:rPr>
                  </w:pPr>
                  <w:r>
                    <w:rPr>
                      <w:sz w:val="21"/>
                      <w:szCs w:val="21"/>
                    </w:rPr>
                    <w:t>功率</w:t>
                  </w:r>
                </w:p>
              </w:tc>
              <w:tc>
                <w:tcPr>
                  <w:tcW w:w="480" w:type="pct"/>
                  <w:tcBorders>
                    <w:tl2br w:val="nil"/>
                    <w:tr2bl w:val="nil"/>
                  </w:tcBorders>
                  <w:vAlign w:val="center"/>
                </w:tcPr>
                <w:p w14:paraId="77BE207C">
                  <w:pPr>
                    <w:pStyle w:val="29"/>
                    <w:rPr>
                      <w:sz w:val="21"/>
                      <w:szCs w:val="21"/>
                    </w:rPr>
                  </w:pPr>
                  <w:r>
                    <w:rPr>
                      <w:sz w:val="21"/>
                      <w:szCs w:val="21"/>
                    </w:rPr>
                    <w:t>KW</w:t>
                  </w:r>
                </w:p>
              </w:tc>
              <w:tc>
                <w:tcPr>
                  <w:tcW w:w="393" w:type="pct"/>
                  <w:tcBorders>
                    <w:tl2br w:val="nil"/>
                    <w:tr2bl w:val="nil"/>
                  </w:tcBorders>
                  <w:vAlign w:val="center"/>
                </w:tcPr>
                <w:p w14:paraId="53F12810">
                  <w:pPr>
                    <w:pStyle w:val="29"/>
                    <w:rPr>
                      <w:sz w:val="21"/>
                      <w:szCs w:val="21"/>
                    </w:rPr>
                  </w:pPr>
                  <w:r>
                    <w:rPr>
                      <w:sz w:val="21"/>
                      <w:szCs w:val="21"/>
                    </w:rPr>
                    <w:t>10</w:t>
                  </w:r>
                </w:p>
              </w:tc>
              <w:tc>
                <w:tcPr>
                  <w:tcW w:w="621" w:type="pct"/>
                  <w:tcBorders>
                    <w:tl2br w:val="nil"/>
                    <w:tr2bl w:val="nil"/>
                  </w:tcBorders>
                  <w:vAlign w:val="center"/>
                </w:tcPr>
                <w:p w14:paraId="659AC0C2">
                  <w:pPr>
                    <w:pStyle w:val="29"/>
                    <w:rPr>
                      <w:sz w:val="21"/>
                      <w:szCs w:val="21"/>
                    </w:rPr>
                  </w:pPr>
                  <w:r>
                    <w:rPr>
                      <w:sz w:val="21"/>
                      <w:szCs w:val="21"/>
                    </w:rPr>
                    <w:t>1台</w:t>
                  </w:r>
                </w:p>
              </w:tc>
            </w:tr>
            <w:tr w14:paraId="58E16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344" w:type="pct"/>
                  <w:tcBorders>
                    <w:tl2br w:val="nil"/>
                    <w:tr2bl w:val="nil"/>
                  </w:tcBorders>
                  <w:vAlign w:val="center"/>
                </w:tcPr>
                <w:p w14:paraId="790C8C0D">
                  <w:pPr>
                    <w:pStyle w:val="29"/>
                    <w:rPr>
                      <w:sz w:val="21"/>
                      <w:szCs w:val="21"/>
                    </w:rPr>
                  </w:pPr>
                  <w:r>
                    <w:rPr>
                      <w:sz w:val="21"/>
                      <w:szCs w:val="21"/>
                    </w:rPr>
                    <w:t>6</w:t>
                  </w:r>
                </w:p>
              </w:tc>
              <w:tc>
                <w:tcPr>
                  <w:tcW w:w="724" w:type="pct"/>
                  <w:tcBorders>
                    <w:tl2br w:val="nil"/>
                    <w:tr2bl w:val="nil"/>
                  </w:tcBorders>
                  <w:vAlign w:val="center"/>
                </w:tcPr>
                <w:p w14:paraId="7165C748">
                  <w:pPr>
                    <w:pStyle w:val="29"/>
                    <w:rPr>
                      <w:sz w:val="21"/>
                      <w:szCs w:val="21"/>
                    </w:rPr>
                  </w:pPr>
                  <w:r>
                    <w:rPr>
                      <w:sz w:val="21"/>
                      <w:szCs w:val="21"/>
                    </w:rPr>
                    <w:t>压楞、烘压定型</w:t>
                  </w:r>
                </w:p>
              </w:tc>
              <w:tc>
                <w:tcPr>
                  <w:tcW w:w="840" w:type="pct"/>
                  <w:tcBorders>
                    <w:tl2br w:val="nil"/>
                    <w:tr2bl w:val="nil"/>
                  </w:tcBorders>
                  <w:vAlign w:val="center"/>
                </w:tcPr>
                <w:p w14:paraId="689AF909">
                  <w:pPr>
                    <w:pStyle w:val="29"/>
                    <w:rPr>
                      <w:sz w:val="21"/>
                      <w:szCs w:val="21"/>
                    </w:rPr>
                  </w:pPr>
                  <w:r>
                    <w:rPr>
                      <w:sz w:val="21"/>
                      <w:szCs w:val="21"/>
                    </w:rPr>
                    <w:t>接纸机</w:t>
                  </w:r>
                </w:p>
              </w:tc>
              <w:tc>
                <w:tcPr>
                  <w:tcW w:w="1116" w:type="pct"/>
                  <w:tcBorders>
                    <w:tl2br w:val="nil"/>
                    <w:tr2bl w:val="nil"/>
                  </w:tcBorders>
                  <w:vAlign w:val="center"/>
                </w:tcPr>
                <w:p w14:paraId="1C50AD0E">
                  <w:pPr>
                    <w:pStyle w:val="29"/>
                    <w:rPr>
                      <w:sz w:val="21"/>
                      <w:szCs w:val="21"/>
                    </w:rPr>
                  </w:pPr>
                  <w:r>
                    <w:rPr>
                      <w:sz w:val="21"/>
                      <w:szCs w:val="21"/>
                    </w:rPr>
                    <w:t>MF0010-MF0012</w:t>
                  </w:r>
                </w:p>
              </w:tc>
              <w:tc>
                <w:tcPr>
                  <w:tcW w:w="480" w:type="pct"/>
                  <w:tcBorders>
                    <w:tl2br w:val="nil"/>
                    <w:tr2bl w:val="nil"/>
                  </w:tcBorders>
                  <w:vAlign w:val="center"/>
                </w:tcPr>
                <w:p w14:paraId="5E0BC34F">
                  <w:pPr>
                    <w:pStyle w:val="29"/>
                    <w:rPr>
                      <w:sz w:val="21"/>
                      <w:szCs w:val="21"/>
                    </w:rPr>
                  </w:pPr>
                  <w:r>
                    <w:rPr>
                      <w:sz w:val="21"/>
                      <w:szCs w:val="21"/>
                    </w:rPr>
                    <w:t>功率</w:t>
                  </w:r>
                </w:p>
              </w:tc>
              <w:tc>
                <w:tcPr>
                  <w:tcW w:w="480" w:type="pct"/>
                  <w:tcBorders>
                    <w:tl2br w:val="nil"/>
                    <w:tr2bl w:val="nil"/>
                  </w:tcBorders>
                  <w:vAlign w:val="center"/>
                </w:tcPr>
                <w:p w14:paraId="045083A5">
                  <w:pPr>
                    <w:pStyle w:val="29"/>
                    <w:rPr>
                      <w:sz w:val="21"/>
                      <w:szCs w:val="21"/>
                    </w:rPr>
                  </w:pPr>
                  <w:r>
                    <w:rPr>
                      <w:sz w:val="21"/>
                      <w:szCs w:val="21"/>
                    </w:rPr>
                    <w:t>KW</w:t>
                  </w:r>
                </w:p>
              </w:tc>
              <w:tc>
                <w:tcPr>
                  <w:tcW w:w="393" w:type="pct"/>
                  <w:tcBorders>
                    <w:tl2br w:val="nil"/>
                    <w:tr2bl w:val="nil"/>
                  </w:tcBorders>
                  <w:vAlign w:val="center"/>
                </w:tcPr>
                <w:p w14:paraId="1FD71188">
                  <w:pPr>
                    <w:pStyle w:val="29"/>
                    <w:rPr>
                      <w:sz w:val="21"/>
                      <w:szCs w:val="21"/>
                    </w:rPr>
                  </w:pPr>
                  <w:r>
                    <w:rPr>
                      <w:sz w:val="21"/>
                      <w:szCs w:val="21"/>
                    </w:rPr>
                    <w:t>10</w:t>
                  </w:r>
                </w:p>
              </w:tc>
              <w:tc>
                <w:tcPr>
                  <w:tcW w:w="621" w:type="pct"/>
                  <w:tcBorders>
                    <w:tl2br w:val="nil"/>
                    <w:tr2bl w:val="nil"/>
                  </w:tcBorders>
                  <w:vAlign w:val="center"/>
                </w:tcPr>
                <w:p w14:paraId="18C857EA">
                  <w:pPr>
                    <w:pStyle w:val="29"/>
                    <w:rPr>
                      <w:sz w:val="21"/>
                      <w:szCs w:val="21"/>
                    </w:rPr>
                  </w:pPr>
                  <w:r>
                    <w:rPr>
                      <w:sz w:val="21"/>
                      <w:szCs w:val="21"/>
                    </w:rPr>
                    <w:t>3台</w:t>
                  </w:r>
                </w:p>
              </w:tc>
            </w:tr>
            <w:tr w14:paraId="05279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344" w:type="pct"/>
                  <w:tcBorders>
                    <w:tl2br w:val="nil"/>
                    <w:tr2bl w:val="nil"/>
                  </w:tcBorders>
                  <w:vAlign w:val="center"/>
                </w:tcPr>
                <w:p w14:paraId="5A2FBD2C">
                  <w:pPr>
                    <w:pStyle w:val="29"/>
                    <w:rPr>
                      <w:sz w:val="21"/>
                      <w:szCs w:val="21"/>
                    </w:rPr>
                  </w:pPr>
                  <w:r>
                    <w:rPr>
                      <w:sz w:val="21"/>
                      <w:szCs w:val="21"/>
                    </w:rPr>
                    <w:t>7</w:t>
                  </w:r>
                </w:p>
              </w:tc>
              <w:tc>
                <w:tcPr>
                  <w:tcW w:w="724" w:type="pct"/>
                  <w:tcBorders>
                    <w:tl2br w:val="nil"/>
                    <w:tr2bl w:val="nil"/>
                  </w:tcBorders>
                  <w:vAlign w:val="center"/>
                </w:tcPr>
                <w:p w14:paraId="747930A0">
                  <w:pPr>
                    <w:pStyle w:val="29"/>
                    <w:rPr>
                      <w:sz w:val="21"/>
                      <w:szCs w:val="21"/>
                    </w:rPr>
                  </w:pPr>
                  <w:r>
                    <w:rPr>
                      <w:sz w:val="21"/>
                      <w:szCs w:val="21"/>
                    </w:rPr>
                    <w:t>预热</w:t>
                  </w:r>
                </w:p>
              </w:tc>
              <w:tc>
                <w:tcPr>
                  <w:tcW w:w="840" w:type="pct"/>
                  <w:tcBorders>
                    <w:tl2br w:val="nil"/>
                    <w:tr2bl w:val="nil"/>
                  </w:tcBorders>
                  <w:vAlign w:val="center"/>
                </w:tcPr>
                <w:p w14:paraId="684B5CB0">
                  <w:pPr>
                    <w:pStyle w:val="29"/>
                    <w:rPr>
                      <w:sz w:val="21"/>
                      <w:szCs w:val="21"/>
                    </w:rPr>
                  </w:pPr>
                  <w:r>
                    <w:rPr>
                      <w:sz w:val="21"/>
                      <w:szCs w:val="21"/>
                    </w:rPr>
                    <w:t>预热板</w:t>
                  </w:r>
                </w:p>
              </w:tc>
              <w:tc>
                <w:tcPr>
                  <w:tcW w:w="1116" w:type="pct"/>
                  <w:tcBorders>
                    <w:tl2br w:val="nil"/>
                    <w:tr2bl w:val="nil"/>
                  </w:tcBorders>
                  <w:vAlign w:val="center"/>
                </w:tcPr>
                <w:p w14:paraId="2E2FC1CD">
                  <w:pPr>
                    <w:pStyle w:val="29"/>
                    <w:rPr>
                      <w:sz w:val="21"/>
                      <w:szCs w:val="21"/>
                    </w:rPr>
                  </w:pPr>
                  <w:r>
                    <w:rPr>
                      <w:sz w:val="21"/>
                      <w:szCs w:val="21"/>
                    </w:rPr>
                    <w:t>MF0013-MF0030</w:t>
                  </w:r>
                </w:p>
              </w:tc>
              <w:tc>
                <w:tcPr>
                  <w:tcW w:w="480" w:type="pct"/>
                  <w:tcBorders>
                    <w:tl2br w:val="nil"/>
                    <w:tr2bl w:val="nil"/>
                  </w:tcBorders>
                  <w:vAlign w:val="center"/>
                </w:tcPr>
                <w:p w14:paraId="792AA498">
                  <w:pPr>
                    <w:pStyle w:val="29"/>
                    <w:rPr>
                      <w:sz w:val="21"/>
                      <w:szCs w:val="21"/>
                    </w:rPr>
                  </w:pPr>
                  <w:r>
                    <w:rPr>
                      <w:sz w:val="21"/>
                      <w:szCs w:val="21"/>
                    </w:rPr>
                    <w:t>功率</w:t>
                  </w:r>
                </w:p>
              </w:tc>
              <w:tc>
                <w:tcPr>
                  <w:tcW w:w="480" w:type="pct"/>
                  <w:tcBorders>
                    <w:tl2br w:val="nil"/>
                    <w:tr2bl w:val="nil"/>
                  </w:tcBorders>
                  <w:vAlign w:val="center"/>
                </w:tcPr>
                <w:p w14:paraId="73F9543A">
                  <w:pPr>
                    <w:pStyle w:val="29"/>
                    <w:rPr>
                      <w:sz w:val="21"/>
                      <w:szCs w:val="21"/>
                    </w:rPr>
                  </w:pPr>
                  <w:r>
                    <w:rPr>
                      <w:sz w:val="21"/>
                      <w:szCs w:val="21"/>
                    </w:rPr>
                    <w:t>KW</w:t>
                  </w:r>
                </w:p>
              </w:tc>
              <w:tc>
                <w:tcPr>
                  <w:tcW w:w="393" w:type="pct"/>
                  <w:tcBorders>
                    <w:tl2br w:val="nil"/>
                    <w:tr2bl w:val="nil"/>
                  </w:tcBorders>
                  <w:vAlign w:val="center"/>
                </w:tcPr>
                <w:p w14:paraId="3F211C66">
                  <w:pPr>
                    <w:pStyle w:val="29"/>
                    <w:rPr>
                      <w:sz w:val="21"/>
                      <w:szCs w:val="21"/>
                    </w:rPr>
                  </w:pPr>
                  <w:r>
                    <w:rPr>
                      <w:sz w:val="21"/>
                      <w:szCs w:val="21"/>
                    </w:rPr>
                    <w:t>20</w:t>
                  </w:r>
                </w:p>
              </w:tc>
              <w:tc>
                <w:tcPr>
                  <w:tcW w:w="621" w:type="pct"/>
                  <w:tcBorders>
                    <w:tl2br w:val="nil"/>
                    <w:tr2bl w:val="nil"/>
                  </w:tcBorders>
                  <w:vAlign w:val="center"/>
                </w:tcPr>
                <w:p w14:paraId="744B3B1C">
                  <w:pPr>
                    <w:pStyle w:val="29"/>
                    <w:rPr>
                      <w:sz w:val="21"/>
                      <w:szCs w:val="21"/>
                    </w:rPr>
                  </w:pPr>
                  <w:r>
                    <w:rPr>
                      <w:sz w:val="21"/>
                      <w:szCs w:val="21"/>
                    </w:rPr>
                    <w:t>18块</w:t>
                  </w:r>
                </w:p>
              </w:tc>
            </w:tr>
            <w:tr w14:paraId="5D745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9" w:hRule="atLeast"/>
                <w:jc w:val="center"/>
              </w:trPr>
              <w:tc>
                <w:tcPr>
                  <w:tcW w:w="344" w:type="pct"/>
                  <w:tcBorders>
                    <w:tl2br w:val="nil"/>
                    <w:tr2bl w:val="nil"/>
                  </w:tcBorders>
                  <w:vAlign w:val="center"/>
                </w:tcPr>
                <w:p w14:paraId="5B725CB0">
                  <w:pPr>
                    <w:pStyle w:val="29"/>
                    <w:rPr>
                      <w:sz w:val="21"/>
                      <w:szCs w:val="21"/>
                    </w:rPr>
                  </w:pPr>
                  <w:r>
                    <w:rPr>
                      <w:sz w:val="21"/>
                      <w:szCs w:val="21"/>
                    </w:rPr>
                    <w:t>8</w:t>
                  </w:r>
                </w:p>
              </w:tc>
              <w:tc>
                <w:tcPr>
                  <w:tcW w:w="724" w:type="pct"/>
                  <w:tcBorders>
                    <w:tl2br w:val="nil"/>
                    <w:tr2bl w:val="nil"/>
                  </w:tcBorders>
                  <w:vAlign w:val="center"/>
                </w:tcPr>
                <w:p w14:paraId="4D5AB849">
                  <w:pPr>
                    <w:pStyle w:val="29"/>
                    <w:rPr>
                      <w:sz w:val="21"/>
                      <w:szCs w:val="21"/>
                    </w:rPr>
                  </w:pPr>
                  <w:r>
                    <w:rPr>
                      <w:sz w:val="21"/>
                      <w:szCs w:val="21"/>
                    </w:rPr>
                    <w:t>压楞、烘压定型</w:t>
                  </w:r>
                </w:p>
              </w:tc>
              <w:tc>
                <w:tcPr>
                  <w:tcW w:w="840" w:type="pct"/>
                  <w:tcBorders>
                    <w:tl2br w:val="nil"/>
                    <w:tr2bl w:val="nil"/>
                  </w:tcBorders>
                  <w:vAlign w:val="center"/>
                </w:tcPr>
                <w:p w14:paraId="2C5C9506">
                  <w:pPr>
                    <w:pStyle w:val="29"/>
                    <w:rPr>
                      <w:sz w:val="21"/>
                      <w:szCs w:val="21"/>
                    </w:rPr>
                  </w:pPr>
                  <w:r>
                    <w:rPr>
                      <w:sz w:val="21"/>
                      <w:szCs w:val="21"/>
                    </w:rPr>
                    <w:t>上纸架</w:t>
                  </w:r>
                </w:p>
              </w:tc>
              <w:tc>
                <w:tcPr>
                  <w:tcW w:w="1116" w:type="pct"/>
                  <w:tcBorders>
                    <w:tl2br w:val="nil"/>
                    <w:tr2bl w:val="nil"/>
                  </w:tcBorders>
                  <w:vAlign w:val="center"/>
                </w:tcPr>
                <w:p w14:paraId="76CDCC1C">
                  <w:pPr>
                    <w:pStyle w:val="29"/>
                    <w:rPr>
                      <w:sz w:val="21"/>
                      <w:szCs w:val="21"/>
                    </w:rPr>
                  </w:pPr>
                  <w:r>
                    <w:rPr>
                      <w:sz w:val="21"/>
                      <w:szCs w:val="21"/>
                    </w:rPr>
                    <w:t>MF0031-MF0036</w:t>
                  </w:r>
                </w:p>
              </w:tc>
              <w:tc>
                <w:tcPr>
                  <w:tcW w:w="480" w:type="pct"/>
                  <w:tcBorders>
                    <w:tl2br w:val="nil"/>
                    <w:tr2bl w:val="nil"/>
                  </w:tcBorders>
                  <w:vAlign w:val="center"/>
                </w:tcPr>
                <w:p w14:paraId="501C5292">
                  <w:pPr>
                    <w:pStyle w:val="29"/>
                    <w:rPr>
                      <w:sz w:val="21"/>
                      <w:szCs w:val="21"/>
                    </w:rPr>
                  </w:pPr>
                  <w:r>
                    <w:rPr>
                      <w:sz w:val="21"/>
                      <w:szCs w:val="21"/>
                    </w:rPr>
                    <w:t>功率</w:t>
                  </w:r>
                </w:p>
              </w:tc>
              <w:tc>
                <w:tcPr>
                  <w:tcW w:w="480" w:type="pct"/>
                  <w:tcBorders>
                    <w:tl2br w:val="nil"/>
                    <w:tr2bl w:val="nil"/>
                  </w:tcBorders>
                  <w:vAlign w:val="center"/>
                </w:tcPr>
                <w:p w14:paraId="69988361">
                  <w:pPr>
                    <w:pStyle w:val="29"/>
                    <w:rPr>
                      <w:sz w:val="21"/>
                      <w:szCs w:val="21"/>
                    </w:rPr>
                  </w:pPr>
                  <w:r>
                    <w:rPr>
                      <w:sz w:val="21"/>
                      <w:szCs w:val="21"/>
                    </w:rPr>
                    <w:t>KW</w:t>
                  </w:r>
                </w:p>
              </w:tc>
              <w:tc>
                <w:tcPr>
                  <w:tcW w:w="393" w:type="pct"/>
                  <w:tcBorders>
                    <w:tl2br w:val="nil"/>
                    <w:tr2bl w:val="nil"/>
                  </w:tcBorders>
                  <w:vAlign w:val="center"/>
                </w:tcPr>
                <w:p w14:paraId="1AF50000">
                  <w:pPr>
                    <w:pStyle w:val="29"/>
                    <w:rPr>
                      <w:sz w:val="21"/>
                      <w:szCs w:val="21"/>
                    </w:rPr>
                  </w:pPr>
                  <w:r>
                    <w:rPr>
                      <w:sz w:val="21"/>
                      <w:szCs w:val="21"/>
                    </w:rPr>
                    <w:t>11</w:t>
                  </w:r>
                </w:p>
              </w:tc>
              <w:tc>
                <w:tcPr>
                  <w:tcW w:w="621" w:type="pct"/>
                  <w:tcBorders>
                    <w:tl2br w:val="nil"/>
                    <w:tr2bl w:val="nil"/>
                  </w:tcBorders>
                  <w:vAlign w:val="center"/>
                </w:tcPr>
                <w:p w14:paraId="440DB8B9">
                  <w:pPr>
                    <w:pStyle w:val="29"/>
                    <w:rPr>
                      <w:sz w:val="21"/>
                      <w:szCs w:val="21"/>
                    </w:rPr>
                  </w:pPr>
                  <w:r>
                    <w:rPr>
                      <w:sz w:val="21"/>
                      <w:szCs w:val="21"/>
                    </w:rPr>
                    <w:t>6台</w:t>
                  </w:r>
                </w:p>
              </w:tc>
            </w:tr>
            <w:tr w14:paraId="0E7F4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535E7E02">
                  <w:pPr>
                    <w:pStyle w:val="29"/>
                    <w:rPr>
                      <w:sz w:val="21"/>
                      <w:szCs w:val="21"/>
                    </w:rPr>
                  </w:pPr>
                  <w:r>
                    <w:rPr>
                      <w:sz w:val="21"/>
                      <w:szCs w:val="21"/>
                    </w:rPr>
                    <w:t>9</w:t>
                  </w:r>
                </w:p>
              </w:tc>
              <w:tc>
                <w:tcPr>
                  <w:tcW w:w="724" w:type="pct"/>
                  <w:tcBorders>
                    <w:tl2br w:val="nil"/>
                    <w:tr2bl w:val="nil"/>
                  </w:tcBorders>
                  <w:vAlign w:val="center"/>
                </w:tcPr>
                <w:p w14:paraId="6B14FB2D">
                  <w:pPr>
                    <w:pStyle w:val="29"/>
                    <w:rPr>
                      <w:sz w:val="21"/>
                      <w:szCs w:val="21"/>
                    </w:rPr>
                  </w:pPr>
                  <w:r>
                    <w:rPr>
                      <w:sz w:val="21"/>
                      <w:szCs w:val="21"/>
                    </w:rPr>
                    <w:t>切割</w:t>
                  </w:r>
                </w:p>
              </w:tc>
              <w:tc>
                <w:tcPr>
                  <w:tcW w:w="840" w:type="pct"/>
                  <w:tcBorders>
                    <w:tl2br w:val="nil"/>
                    <w:tr2bl w:val="nil"/>
                  </w:tcBorders>
                  <w:shd w:val="clear" w:color="auto" w:fill="auto"/>
                  <w:vAlign w:val="center"/>
                </w:tcPr>
                <w:p w14:paraId="1EF4CF22">
                  <w:pPr>
                    <w:pStyle w:val="29"/>
                    <w:rPr>
                      <w:sz w:val="21"/>
                      <w:szCs w:val="21"/>
                    </w:rPr>
                  </w:pPr>
                  <w:r>
                    <w:rPr>
                      <w:sz w:val="21"/>
                      <w:szCs w:val="21"/>
                    </w:rPr>
                    <w:t>纵切机</w:t>
                  </w:r>
                </w:p>
              </w:tc>
              <w:tc>
                <w:tcPr>
                  <w:tcW w:w="1116" w:type="pct"/>
                  <w:tcBorders>
                    <w:tl2br w:val="nil"/>
                    <w:tr2bl w:val="nil"/>
                  </w:tcBorders>
                  <w:vAlign w:val="center"/>
                </w:tcPr>
                <w:p w14:paraId="30BB007A">
                  <w:pPr>
                    <w:pStyle w:val="29"/>
                    <w:rPr>
                      <w:sz w:val="21"/>
                      <w:szCs w:val="21"/>
                    </w:rPr>
                  </w:pPr>
                  <w:r>
                    <w:rPr>
                      <w:sz w:val="21"/>
                      <w:szCs w:val="21"/>
                    </w:rPr>
                    <w:t>MF0037-MF0038</w:t>
                  </w:r>
                </w:p>
              </w:tc>
              <w:tc>
                <w:tcPr>
                  <w:tcW w:w="480" w:type="pct"/>
                  <w:tcBorders>
                    <w:tl2br w:val="nil"/>
                    <w:tr2bl w:val="nil"/>
                  </w:tcBorders>
                  <w:vAlign w:val="center"/>
                </w:tcPr>
                <w:p w14:paraId="110E19D8">
                  <w:pPr>
                    <w:pStyle w:val="29"/>
                    <w:rPr>
                      <w:sz w:val="21"/>
                      <w:szCs w:val="21"/>
                    </w:rPr>
                  </w:pPr>
                  <w:r>
                    <w:rPr>
                      <w:sz w:val="21"/>
                      <w:szCs w:val="21"/>
                    </w:rPr>
                    <w:t>功率</w:t>
                  </w:r>
                </w:p>
              </w:tc>
              <w:tc>
                <w:tcPr>
                  <w:tcW w:w="480" w:type="pct"/>
                  <w:tcBorders>
                    <w:tl2br w:val="nil"/>
                    <w:tr2bl w:val="nil"/>
                  </w:tcBorders>
                  <w:vAlign w:val="center"/>
                </w:tcPr>
                <w:p w14:paraId="65023EEB">
                  <w:pPr>
                    <w:pStyle w:val="29"/>
                    <w:rPr>
                      <w:sz w:val="21"/>
                      <w:szCs w:val="21"/>
                    </w:rPr>
                  </w:pPr>
                  <w:r>
                    <w:rPr>
                      <w:sz w:val="21"/>
                      <w:szCs w:val="21"/>
                    </w:rPr>
                    <w:t>KW</w:t>
                  </w:r>
                </w:p>
              </w:tc>
              <w:tc>
                <w:tcPr>
                  <w:tcW w:w="393" w:type="pct"/>
                  <w:tcBorders>
                    <w:tl2br w:val="nil"/>
                    <w:tr2bl w:val="nil"/>
                  </w:tcBorders>
                  <w:vAlign w:val="center"/>
                </w:tcPr>
                <w:p w14:paraId="2234BA34">
                  <w:pPr>
                    <w:pStyle w:val="29"/>
                    <w:rPr>
                      <w:sz w:val="21"/>
                      <w:szCs w:val="21"/>
                    </w:rPr>
                  </w:pPr>
                  <w:r>
                    <w:rPr>
                      <w:sz w:val="21"/>
                      <w:szCs w:val="21"/>
                    </w:rPr>
                    <w:t>2</w:t>
                  </w:r>
                </w:p>
              </w:tc>
              <w:tc>
                <w:tcPr>
                  <w:tcW w:w="621" w:type="pct"/>
                  <w:tcBorders>
                    <w:tl2br w:val="nil"/>
                    <w:tr2bl w:val="nil"/>
                  </w:tcBorders>
                  <w:vAlign w:val="center"/>
                </w:tcPr>
                <w:p w14:paraId="5BD827E4">
                  <w:pPr>
                    <w:pStyle w:val="29"/>
                    <w:rPr>
                      <w:sz w:val="21"/>
                      <w:szCs w:val="21"/>
                    </w:rPr>
                  </w:pPr>
                  <w:r>
                    <w:rPr>
                      <w:sz w:val="21"/>
                      <w:szCs w:val="21"/>
                    </w:rPr>
                    <w:t>2台</w:t>
                  </w:r>
                </w:p>
              </w:tc>
            </w:tr>
            <w:tr w14:paraId="1E966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344" w:type="pct"/>
                  <w:tcBorders>
                    <w:tl2br w:val="nil"/>
                    <w:tr2bl w:val="nil"/>
                  </w:tcBorders>
                  <w:vAlign w:val="center"/>
                </w:tcPr>
                <w:p w14:paraId="450EAE59">
                  <w:pPr>
                    <w:pStyle w:val="29"/>
                    <w:rPr>
                      <w:sz w:val="21"/>
                      <w:szCs w:val="21"/>
                    </w:rPr>
                  </w:pPr>
                  <w:r>
                    <w:rPr>
                      <w:sz w:val="21"/>
                      <w:szCs w:val="21"/>
                    </w:rPr>
                    <w:t>10</w:t>
                  </w:r>
                </w:p>
              </w:tc>
              <w:tc>
                <w:tcPr>
                  <w:tcW w:w="724" w:type="pct"/>
                  <w:tcBorders>
                    <w:tl2br w:val="nil"/>
                    <w:tr2bl w:val="nil"/>
                  </w:tcBorders>
                  <w:vAlign w:val="center"/>
                </w:tcPr>
                <w:p w14:paraId="5F435D1A">
                  <w:pPr>
                    <w:pStyle w:val="29"/>
                    <w:rPr>
                      <w:sz w:val="21"/>
                      <w:szCs w:val="21"/>
                    </w:rPr>
                  </w:pPr>
                  <w:r>
                    <w:rPr>
                      <w:sz w:val="21"/>
                      <w:szCs w:val="21"/>
                    </w:rPr>
                    <w:t>切割</w:t>
                  </w:r>
                </w:p>
              </w:tc>
              <w:tc>
                <w:tcPr>
                  <w:tcW w:w="840" w:type="pct"/>
                  <w:tcBorders>
                    <w:tl2br w:val="nil"/>
                    <w:tr2bl w:val="nil"/>
                  </w:tcBorders>
                  <w:shd w:val="clear" w:color="auto" w:fill="auto"/>
                  <w:vAlign w:val="center"/>
                </w:tcPr>
                <w:p w14:paraId="3657A74E">
                  <w:pPr>
                    <w:pStyle w:val="29"/>
                    <w:rPr>
                      <w:sz w:val="21"/>
                      <w:szCs w:val="21"/>
                    </w:rPr>
                  </w:pPr>
                  <w:r>
                    <w:rPr>
                      <w:sz w:val="21"/>
                      <w:szCs w:val="21"/>
                    </w:rPr>
                    <w:t>横切机</w:t>
                  </w:r>
                </w:p>
              </w:tc>
              <w:tc>
                <w:tcPr>
                  <w:tcW w:w="1116" w:type="pct"/>
                  <w:tcBorders>
                    <w:tl2br w:val="nil"/>
                    <w:tr2bl w:val="nil"/>
                  </w:tcBorders>
                  <w:vAlign w:val="center"/>
                </w:tcPr>
                <w:p w14:paraId="5BBA34A6">
                  <w:pPr>
                    <w:pStyle w:val="29"/>
                    <w:rPr>
                      <w:sz w:val="21"/>
                      <w:szCs w:val="21"/>
                    </w:rPr>
                  </w:pPr>
                  <w:r>
                    <w:rPr>
                      <w:sz w:val="21"/>
                      <w:szCs w:val="21"/>
                    </w:rPr>
                    <w:t>MF0039</w:t>
                  </w:r>
                </w:p>
              </w:tc>
              <w:tc>
                <w:tcPr>
                  <w:tcW w:w="480" w:type="pct"/>
                  <w:tcBorders>
                    <w:tl2br w:val="nil"/>
                    <w:tr2bl w:val="nil"/>
                  </w:tcBorders>
                  <w:vAlign w:val="center"/>
                </w:tcPr>
                <w:p w14:paraId="1182B1EE">
                  <w:pPr>
                    <w:pStyle w:val="29"/>
                    <w:rPr>
                      <w:sz w:val="21"/>
                      <w:szCs w:val="21"/>
                    </w:rPr>
                  </w:pPr>
                  <w:r>
                    <w:rPr>
                      <w:sz w:val="21"/>
                      <w:szCs w:val="21"/>
                    </w:rPr>
                    <w:t>功率</w:t>
                  </w:r>
                </w:p>
              </w:tc>
              <w:tc>
                <w:tcPr>
                  <w:tcW w:w="480" w:type="pct"/>
                  <w:tcBorders>
                    <w:tl2br w:val="nil"/>
                    <w:tr2bl w:val="nil"/>
                  </w:tcBorders>
                  <w:vAlign w:val="center"/>
                </w:tcPr>
                <w:p w14:paraId="5DF0A0F8">
                  <w:pPr>
                    <w:pStyle w:val="29"/>
                    <w:rPr>
                      <w:sz w:val="21"/>
                      <w:szCs w:val="21"/>
                    </w:rPr>
                  </w:pPr>
                  <w:r>
                    <w:rPr>
                      <w:sz w:val="21"/>
                      <w:szCs w:val="21"/>
                    </w:rPr>
                    <w:t>KW</w:t>
                  </w:r>
                </w:p>
              </w:tc>
              <w:tc>
                <w:tcPr>
                  <w:tcW w:w="393" w:type="pct"/>
                  <w:tcBorders>
                    <w:tl2br w:val="nil"/>
                    <w:tr2bl w:val="nil"/>
                  </w:tcBorders>
                  <w:vAlign w:val="center"/>
                </w:tcPr>
                <w:p w14:paraId="735C3C0F">
                  <w:pPr>
                    <w:pStyle w:val="29"/>
                    <w:rPr>
                      <w:sz w:val="21"/>
                      <w:szCs w:val="21"/>
                    </w:rPr>
                  </w:pPr>
                  <w:r>
                    <w:rPr>
                      <w:sz w:val="21"/>
                      <w:szCs w:val="21"/>
                    </w:rPr>
                    <w:t>2</w:t>
                  </w:r>
                </w:p>
              </w:tc>
              <w:tc>
                <w:tcPr>
                  <w:tcW w:w="621" w:type="pct"/>
                  <w:tcBorders>
                    <w:tl2br w:val="nil"/>
                    <w:tr2bl w:val="nil"/>
                  </w:tcBorders>
                  <w:vAlign w:val="center"/>
                </w:tcPr>
                <w:p w14:paraId="3478EFDB">
                  <w:pPr>
                    <w:pStyle w:val="29"/>
                    <w:rPr>
                      <w:sz w:val="21"/>
                      <w:szCs w:val="21"/>
                    </w:rPr>
                  </w:pPr>
                  <w:r>
                    <w:rPr>
                      <w:sz w:val="21"/>
                      <w:szCs w:val="21"/>
                    </w:rPr>
                    <w:t>1台</w:t>
                  </w:r>
                </w:p>
              </w:tc>
            </w:tr>
            <w:tr w14:paraId="3E52C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0B068890">
                  <w:pPr>
                    <w:pStyle w:val="29"/>
                    <w:rPr>
                      <w:sz w:val="21"/>
                      <w:szCs w:val="21"/>
                    </w:rPr>
                  </w:pPr>
                  <w:r>
                    <w:rPr>
                      <w:sz w:val="21"/>
                      <w:szCs w:val="21"/>
                    </w:rPr>
                    <w:t>11</w:t>
                  </w:r>
                </w:p>
              </w:tc>
              <w:tc>
                <w:tcPr>
                  <w:tcW w:w="724" w:type="pct"/>
                  <w:tcBorders>
                    <w:tl2br w:val="nil"/>
                    <w:tr2bl w:val="nil"/>
                  </w:tcBorders>
                  <w:vAlign w:val="center"/>
                </w:tcPr>
                <w:p w14:paraId="14B1B2A3">
                  <w:pPr>
                    <w:pStyle w:val="29"/>
                    <w:rPr>
                      <w:sz w:val="21"/>
                      <w:szCs w:val="21"/>
                    </w:rPr>
                  </w:pPr>
                  <w:r>
                    <w:rPr>
                      <w:sz w:val="21"/>
                      <w:szCs w:val="21"/>
                    </w:rPr>
                    <w:t>切割</w:t>
                  </w:r>
                </w:p>
              </w:tc>
              <w:tc>
                <w:tcPr>
                  <w:tcW w:w="840" w:type="pct"/>
                  <w:tcBorders>
                    <w:tl2br w:val="nil"/>
                    <w:tr2bl w:val="nil"/>
                  </w:tcBorders>
                  <w:shd w:val="clear" w:color="auto" w:fill="auto"/>
                  <w:vAlign w:val="center"/>
                </w:tcPr>
                <w:p w14:paraId="001EE525">
                  <w:pPr>
                    <w:pStyle w:val="29"/>
                    <w:rPr>
                      <w:sz w:val="21"/>
                      <w:szCs w:val="21"/>
                    </w:rPr>
                  </w:pPr>
                  <w:r>
                    <w:rPr>
                      <w:sz w:val="21"/>
                      <w:szCs w:val="21"/>
                    </w:rPr>
                    <w:t>复合机</w:t>
                  </w:r>
                </w:p>
              </w:tc>
              <w:tc>
                <w:tcPr>
                  <w:tcW w:w="1116" w:type="pct"/>
                  <w:tcBorders>
                    <w:tl2br w:val="nil"/>
                    <w:tr2bl w:val="nil"/>
                  </w:tcBorders>
                  <w:vAlign w:val="center"/>
                </w:tcPr>
                <w:p w14:paraId="3C496C52">
                  <w:pPr>
                    <w:pStyle w:val="29"/>
                    <w:rPr>
                      <w:sz w:val="21"/>
                      <w:szCs w:val="21"/>
                    </w:rPr>
                  </w:pPr>
                  <w:r>
                    <w:rPr>
                      <w:sz w:val="21"/>
                      <w:szCs w:val="21"/>
                    </w:rPr>
                    <w:t>MF0040</w:t>
                  </w:r>
                </w:p>
              </w:tc>
              <w:tc>
                <w:tcPr>
                  <w:tcW w:w="480" w:type="pct"/>
                  <w:tcBorders>
                    <w:tl2br w:val="nil"/>
                    <w:tr2bl w:val="nil"/>
                  </w:tcBorders>
                  <w:vAlign w:val="center"/>
                </w:tcPr>
                <w:p w14:paraId="67CD6240">
                  <w:pPr>
                    <w:pStyle w:val="29"/>
                    <w:rPr>
                      <w:sz w:val="21"/>
                      <w:szCs w:val="21"/>
                    </w:rPr>
                  </w:pPr>
                  <w:r>
                    <w:rPr>
                      <w:sz w:val="21"/>
                      <w:szCs w:val="21"/>
                    </w:rPr>
                    <w:t>容积</w:t>
                  </w:r>
                </w:p>
              </w:tc>
              <w:tc>
                <w:tcPr>
                  <w:tcW w:w="480" w:type="pct"/>
                  <w:tcBorders>
                    <w:tl2br w:val="nil"/>
                    <w:tr2bl w:val="nil"/>
                  </w:tcBorders>
                  <w:vAlign w:val="center"/>
                </w:tcPr>
                <w:p w14:paraId="4D3F1F05">
                  <w:pPr>
                    <w:pStyle w:val="29"/>
                    <w:rPr>
                      <w:sz w:val="21"/>
                      <w:szCs w:val="21"/>
                    </w:rPr>
                  </w:pPr>
                  <w:r>
                    <w:rPr>
                      <w:sz w:val="21"/>
                      <w:szCs w:val="21"/>
                    </w:rPr>
                    <w:t>m3</w:t>
                  </w:r>
                </w:p>
              </w:tc>
              <w:tc>
                <w:tcPr>
                  <w:tcW w:w="393" w:type="pct"/>
                  <w:tcBorders>
                    <w:tl2br w:val="nil"/>
                    <w:tr2bl w:val="nil"/>
                  </w:tcBorders>
                  <w:vAlign w:val="center"/>
                </w:tcPr>
                <w:p w14:paraId="0995E0A1">
                  <w:pPr>
                    <w:pStyle w:val="29"/>
                    <w:rPr>
                      <w:sz w:val="21"/>
                      <w:szCs w:val="21"/>
                    </w:rPr>
                  </w:pPr>
                  <w:r>
                    <w:rPr>
                      <w:sz w:val="21"/>
                      <w:szCs w:val="21"/>
                    </w:rPr>
                    <w:t>2</w:t>
                  </w:r>
                </w:p>
              </w:tc>
              <w:tc>
                <w:tcPr>
                  <w:tcW w:w="621" w:type="pct"/>
                  <w:tcBorders>
                    <w:tl2br w:val="nil"/>
                    <w:tr2bl w:val="nil"/>
                  </w:tcBorders>
                  <w:vAlign w:val="center"/>
                </w:tcPr>
                <w:p w14:paraId="55D743D9">
                  <w:pPr>
                    <w:pStyle w:val="29"/>
                    <w:rPr>
                      <w:sz w:val="21"/>
                      <w:szCs w:val="21"/>
                    </w:rPr>
                  </w:pPr>
                  <w:r>
                    <w:rPr>
                      <w:sz w:val="21"/>
                      <w:szCs w:val="21"/>
                    </w:rPr>
                    <w:t>1台</w:t>
                  </w:r>
                </w:p>
              </w:tc>
            </w:tr>
            <w:tr w14:paraId="3A68D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07C265A2">
                  <w:pPr>
                    <w:pStyle w:val="29"/>
                    <w:rPr>
                      <w:sz w:val="21"/>
                      <w:szCs w:val="21"/>
                    </w:rPr>
                  </w:pPr>
                  <w:r>
                    <w:rPr>
                      <w:sz w:val="21"/>
                      <w:szCs w:val="21"/>
                    </w:rPr>
                    <w:t>12</w:t>
                  </w:r>
                </w:p>
              </w:tc>
              <w:tc>
                <w:tcPr>
                  <w:tcW w:w="724" w:type="pct"/>
                  <w:tcBorders>
                    <w:tl2br w:val="nil"/>
                    <w:tr2bl w:val="nil"/>
                  </w:tcBorders>
                  <w:vAlign w:val="center"/>
                </w:tcPr>
                <w:p w14:paraId="47C1A269">
                  <w:pPr>
                    <w:pStyle w:val="29"/>
                    <w:rPr>
                      <w:sz w:val="21"/>
                      <w:szCs w:val="21"/>
                    </w:rPr>
                  </w:pPr>
                  <w:r>
                    <w:rPr>
                      <w:sz w:val="21"/>
                      <w:szCs w:val="21"/>
                    </w:rPr>
                    <w:t>压痕</w:t>
                  </w:r>
                </w:p>
              </w:tc>
              <w:tc>
                <w:tcPr>
                  <w:tcW w:w="840" w:type="pct"/>
                  <w:tcBorders>
                    <w:tl2br w:val="nil"/>
                    <w:tr2bl w:val="nil"/>
                  </w:tcBorders>
                  <w:vAlign w:val="center"/>
                </w:tcPr>
                <w:p w14:paraId="6A807693">
                  <w:pPr>
                    <w:pStyle w:val="29"/>
                    <w:rPr>
                      <w:sz w:val="21"/>
                      <w:szCs w:val="21"/>
                    </w:rPr>
                  </w:pPr>
                  <w:r>
                    <w:rPr>
                      <w:sz w:val="21"/>
                      <w:szCs w:val="21"/>
                    </w:rPr>
                    <w:t>平压压痕切线机</w:t>
                  </w:r>
                </w:p>
              </w:tc>
              <w:tc>
                <w:tcPr>
                  <w:tcW w:w="1116" w:type="pct"/>
                  <w:tcBorders>
                    <w:tl2br w:val="nil"/>
                    <w:tr2bl w:val="nil"/>
                  </w:tcBorders>
                  <w:vAlign w:val="center"/>
                </w:tcPr>
                <w:p w14:paraId="5D51DCD6">
                  <w:pPr>
                    <w:pStyle w:val="29"/>
                    <w:rPr>
                      <w:sz w:val="21"/>
                      <w:szCs w:val="21"/>
                    </w:rPr>
                  </w:pPr>
                  <w:r>
                    <w:rPr>
                      <w:sz w:val="21"/>
                      <w:szCs w:val="21"/>
                    </w:rPr>
                    <w:t>MF0041-MF0042</w:t>
                  </w:r>
                </w:p>
              </w:tc>
              <w:tc>
                <w:tcPr>
                  <w:tcW w:w="480" w:type="pct"/>
                  <w:tcBorders>
                    <w:tl2br w:val="nil"/>
                    <w:tr2bl w:val="nil"/>
                  </w:tcBorders>
                  <w:vAlign w:val="center"/>
                </w:tcPr>
                <w:p w14:paraId="2891EC1D">
                  <w:pPr>
                    <w:pStyle w:val="29"/>
                    <w:rPr>
                      <w:sz w:val="21"/>
                      <w:szCs w:val="21"/>
                    </w:rPr>
                  </w:pPr>
                  <w:r>
                    <w:rPr>
                      <w:sz w:val="21"/>
                      <w:szCs w:val="21"/>
                    </w:rPr>
                    <w:t>容积</w:t>
                  </w:r>
                </w:p>
              </w:tc>
              <w:tc>
                <w:tcPr>
                  <w:tcW w:w="480" w:type="pct"/>
                  <w:tcBorders>
                    <w:tl2br w:val="nil"/>
                    <w:tr2bl w:val="nil"/>
                  </w:tcBorders>
                  <w:vAlign w:val="center"/>
                </w:tcPr>
                <w:p w14:paraId="011BDD5F">
                  <w:pPr>
                    <w:pStyle w:val="29"/>
                    <w:rPr>
                      <w:sz w:val="21"/>
                      <w:szCs w:val="21"/>
                    </w:rPr>
                  </w:pPr>
                  <w:r>
                    <w:rPr>
                      <w:sz w:val="21"/>
                      <w:szCs w:val="21"/>
                    </w:rPr>
                    <w:t>m3</w:t>
                  </w:r>
                </w:p>
              </w:tc>
              <w:tc>
                <w:tcPr>
                  <w:tcW w:w="393" w:type="pct"/>
                  <w:tcBorders>
                    <w:tl2br w:val="nil"/>
                    <w:tr2bl w:val="nil"/>
                  </w:tcBorders>
                  <w:vAlign w:val="center"/>
                </w:tcPr>
                <w:p w14:paraId="250827E8">
                  <w:pPr>
                    <w:pStyle w:val="29"/>
                    <w:rPr>
                      <w:sz w:val="21"/>
                      <w:szCs w:val="21"/>
                    </w:rPr>
                  </w:pPr>
                  <w:r>
                    <w:rPr>
                      <w:sz w:val="21"/>
                      <w:szCs w:val="21"/>
                    </w:rPr>
                    <w:t>3</w:t>
                  </w:r>
                </w:p>
              </w:tc>
              <w:tc>
                <w:tcPr>
                  <w:tcW w:w="621" w:type="pct"/>
                  <w:tcBorders>
                    <w:tl2br w:val="nil"/>
                    <w:tr2bl w:val="nil"/>
                  </w:tcBorders>
                  <w:vAlign w:val="center"/>
                </w:tcPr>
                <w:p w14:paraId="44EFB112">
                  <w:pPr>
                    <w:pStyle w:val="29"/>
                    <w:rPr>
                      <w:sz w:val="21"/>
                      <w:szCs w:val="21"/>
                    </w:rPr>
                  </w:pPr>
                  <w:r>
                    <w:rPr>
                      <w:sz w:val="21"/>
                      <w:szCs w:val="21"/>
                    </w:rPr>
                    <w:t>2台</w:t>
                  </w:r>
                </w:p>
              </w:tc>
            </w:tr>
            <w:tr w14:paraId="77642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 w:hRule="atLeast"/>
                <w:jc w:val="center"/>
              </w:trPr>
              <w:tc>
                <w:tcPr>
                  <w:tcW w:w="344" w:type="pct"/>
                  <w:tcBorders>
                    <w:tl2br w:val="nil"/>
                    <w:tr2bl w:val="nil"/>
                  </w:tcBorders>
                  <w:vAlign w:val="center"/>
                </w:tcPr>
                <w:p w14:paraId="6224CE7F">
                  <w:pPr>
                    <w:pStyle w:val="29"/>
                    <w:rPr>
                      <w:sz w:val="21"/>
                      <w:szCs w:val="21"/>
                    </w:rPr>
                  </w:pPr>
                  <w:r>
                    <w:rPr>
                      <w:sz w:val="21"/>
                      <w:szCs w:val="21"/>
                    </w:rPr>
                    <w:t>13</w:t>
                  </w:r>
                </w:p>
              </w:tc>
              <w:tc>
                <w:tcPr>
                  <w:tcW w:w="724" w:type="pct"/>
                  <w:tcBorders>
                    <w:tl2br w:val="nil"/>
                    <w:tr2bl w:val="nil"/>
                  </w:tcBorders>
                  <w:vAlign w:val="center"/>
                </w:tcPr>
                <w:p w14:paraId="3912BE45">
                  <w:pPr>
                    <w:pStyle w:val="29"/>
                    <w:rPr>
                      <w:sz w:val="21"/>
                      <w:szCs w:val="21"/>
                    </w:rPr>
                  </w:pPr>
                  <w:r>
                    <w:rPr>
                      <w:sz w:val="21"/>
                      <w:szCs w:val="21"/>
                    </w:rPr>
                    <w:t>印刷</w:t>
                  </w:r>
                </w:p>
              </w:tc>
              <w:tc>
                <w:tcPr>
                  <w:tcW w:w="840" w:type="pct"/>
                  <w:tcBorders>
                    <w:tl2br w:val="nil"/>
                    <w:tr2bl w:val="nil"/>
                  </w:tcBorders>
                  <w:shd w:val="clear" w:color="auto" w:fill="auto"/>
                  <w:vAlign w:val="center"/>
                </w:tcPr>
                <w:p w14:paraId="1F1A38A2">
                  <w:pPr>
                    <w:pStyle w:val="29"/>
                    <w:rPr>
                      <w:sz w:val="21"/>
                      <w:szCs w:val="21"/>
                    </w:rPr>
                  </w:pPr>
                  <w:r>
                    <w:rPr>
                      <w:sz w:val="21"/>
                      <w:szCs w:val="21"/>
                    </w:rPr>
                    <w:t>水墨印刷机</w:t>
                  </w:r>
                </w:p>
              </w:tc>
              <w:tc>
                <w:tcPr>
                  <w:tcW w:w="1116" w:type="pct"/>
                  <w:tcBorders>
                    <w:tl2br w:val="nil"/>
                    <w:tr2bl w:val="nil"/>
                  </w:tcBorders>
                  <w:vAlign w:val="center"/>
                </w:tcPr>
                <w:p w14:paraId="4BFB50FA">
                  <w:pPr>
                    <w:pStyle w:val="29"/>
                    <w:rPr>
                      <w:sz w:val="21"/>
                      <w:szCs w:val="21"/>
                    </w:rPr>
                  </w:pPr>
                  <w:r>
                    <w:rPr>
                      <w:sz w:val="21"/>
                      <w:szCs w:val="21"/>
                    </w:rPr>
                    <w:t>MF0043</w:t>
                  </w:r>
                </w:p>
              </w:tc>
              <w:tc>
                <w:tcPr>
                  <w:tcW w:w="480" w:type="pct"/>
                  <w:tcBorders>
                    <w:tl2br w:val="nil"/>
                    <w:tr2bl w:val="nil"/>
                  </w:tcBorders>
                  <w:vAlign w:val="center"/>
                </w:tcPr>
                <w:p w14:paraId="035E7485">
                  <w:pPr>
                    <w:pStyle w:val="29"/>
                    <w:rPr>
                      <w:sz w:val="21"/>
                      <w:szCs w:val="21"/>
                    </w:rPr>
                  </w:pPr>
                  <w:r>
                    <w:rPr>
                      <w:sz w:val="21"/>
                      <w:szCs w:val="21"/>
                    </w:rPr>
                    <w:t>功率</w:t>
                  </w:r>
                </w:p>
              </w:tc>
              <w:tc>
                <w:tcPr>
                  <w:tcW w:w="480" w:type="pct"/>
                  <w:tcBorders>
                    <w:tl2br w:val="nil"/>
                    <w:tr2bl w:val="nil"/>
                  </w:tcBorders>
                  <w:vAlign w:val="center"/>
                </w:tcPr>
                <w:p w14:paraId="59A8C2CB">
                  <w:pPr>
                    <w:pStyle w:val="29"/>
                    <w:rPr>
                      <w:sz w:val="21"/>
                      <w:szCs w:val="21"/>
                    </w:rPr>
                  </w:pPr>
                  <w:r>
                    <w:rPr>
                      <w:sz w:val="21"/>
                      <w:szCs w:val="21"/>
                    </w:rPr>
                    <w:t>KW</w:t>
                  </w:r>
                </w:p>
              </w:tc>
              <w:tc>
                <w:tcPr>
                  <w:tcW w:w="393" w:type="pct"/>
                  <w:tcBorders>
                    <w:tl2br w:val="nil"/>
                    <w:tr2bl w:val="nil"/>
                  </w:tcBorders>
                  <w:vAlign w:val="center"/>
                </w:tcPr>
                <w:p w14:paraId="3A45D397">
                  <w:pPr>
                    <w:pStyle w:val="29"/>
                    <w:rPr>
                      <w:sz w:val="21"/>
                      <w:szCs w:val="21"/>
                    </w:rPr>
                  </w:pPr>
                  <w:r>
                    <w:rPr>
                      <w:sz w:val="21"/>
                      <w:szCs w:val="21"/>
                    </w:rPr>
                    <w:t>18.5</w:t>
                  </w:r>
                </w:p>
              </w:tc>
              <w:tc>
                <w:tcPr>
                  <w:tcW w:w="621" w:type="pct"/>
                  <w:tcBorders>
                    <w:tl2br w:val="nil"/>
                    <w:tr2bl w:val="nil"/>
                  </w:tcBorders>
                  <w:vAlign w:val="center"/>
                </w:tcPr>
                <w:p w14:paraId="23D32CA3">
                  <w:pPr>
                    <w:pStyle w:val="29"/>
                    <w:rPr>
                      <w:sz w:val="21"/>
                      <w:szCs w:val="21"/>
                    </w:rPr>
                  </w:pPr>
                  <w:r>
                    <w:rPr>
                      <w:sz w:val="21"/>
                      <w:szCs w:val="21"/>
                    </w:rPr>
                    <w:t>1台</w:t>
                  </w:r>
                </w:p>
              </w:tc>
            </w:tr>
            <w:tr w14:paraId="6E0D0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jc w:val="center"/>
              </w:trPr>
              <w:tc>
                <w:tcPr>
                  <w:tcW w:w="344" w:type="pct"/>
                  <w:tcBorders>
                    <w:tl2br w:val="nil"/>
                    <w:tr2bl w:val="nil"/>
                  </w:tcBorders>
                  <w:vAlign w:val="center"/>
                </w:tcPr>
                <w:p w14:paraId="5870CFAB">
                  <w:pPr>
                    <w:pStyle w:val="29"/>
                    <w:rPr>
                      <w:sz w:val="21"/>
                      <w:szCs w:val="21"/>
                    </w:rPr>
                  </w:pPr>
                  <w:r>
                    <w:rPr>
                      <w:sz w:val="21"/>
                      <w:szCs w:val="21"/>
                    </w:rPr>
                    <w:t>14</w:t>
                  </w:r>
                </w:p>
              </w:tc>
              <w:tc>
                <w:tcPr>
                  <w:tcW w:w="724" w:type="pct"/>
                  <w:tcBorders>
                    <w:tl2br w:val="nil"/>
                    <w:tr2bl w:val="nil"/>
                  </w:tcBorders>
                  <w:vAlign w:val="center"/>
                </w:tcPr>
                <w:p w14:paraId="7ADBB1C1">
                  <w:pPr>
                    <w:pStyle w:val="29"/>
                    <w:rPr>
                      <w:sz w:val="21"/>
                      <w:szCs w:val="21"/>
                    </w:rPr>
                  </w:pPr>
                  <w:r>
                    <w:rPr>
                      <w:sz w:val="21"/>
                      <w:szCs w:val="21"/>
                    </w:rPr>
                    <w:t>打包入库</w:t>
                  </w:r>
                </w:p>
              </w:tc>
              <w:tc>
                <w:tcPr>
                  <w:tcW w:w="840" w:type="pct"/>
                  <w:tcBorders>
                    <w:tl2br w:val="nil"/>
                    <w:tr2bl w:val="nil"/>
                  </w:tcBorders>
                  <w:shd w:val="clear" w:color="auto" w:fill="auto"/>
                  <w:vAlign w:val="center"/>
                </w:tcPr>
                <w:p w14:paraId="593F22C3">
                  <w:pPr>
                    <w:pStyle w:val="29"/>
                    <w:rPr>
                      <w:sz w:val="21"/>
                      <w:szCs w:val="21"/>
                    </w:rPr>
                  </w:pPr>
                  <w:r>
                    <w:rPr>
                      <w:sz w:val="21"/>
                      <w:szCs w:val="21"/>
                    </w:rPr>
                    <w:t>自动打捆机</w:t>
                  </w:r>
                </w:p>
              </w:tc>
              <w:tc>
                <w:tcPr>
                  <w:tcW w:w="1116" w:type="pct"/>
                  <w:tcBorders>
                    <w:tl2br w:val="nil"/>
                    <w:tr2bl w:val="nil"/>
                  </w:tcBorders>
                  <w:vAlign w:val="center"/>
                </w:tcPr>
                <w:p w14:paraId="6625712C">
                  <w:pPr>
                    <w:pStyle w:val="29"/>
                    <w:rPr>
                      <w:sz w:val="21"/>
                      <w:szCs w:val="21"/>
                    </w:rPr>
                  </w:pPr>
                  <w:r>
                    <w:rPr>
                      <w:sz w:val="21"/>
                      <w:szCs w:val="21"/>
                    </w:rPr>
                    <w:t>MF0044</w:t>
                  </w:r>
                </w:p>
              </w:tc>
              <w:tc>
                <w:tcPr>
                  <w:tcW w:w="480" w:type="pct"/>
                  <w:tcBorders>
                    <w:tl2br w:val="nil"/>
                    <w:tr2bl w:val="nil"/>
                  </w:tcBorders>
                  <w:vAlign w:val="center"/>
                </w:tcPr>
                <w:p w14:paraId="45739920">
                  <w:pPr>
                    <w:pStyle w:val="29"/>
                    <w:rPr>
                      <w:sz w:val="21"/>
                      <w:szCs w:val="21"/>
                    </w:rPr>
                  </w:pPr>
                  <w:r>
                    <w:rPr>
                      <w:sz w:val="21"/>
                      <w:szCs w:val="21"/>
                    </w:rPr>
                    <w:t>功率</w:t>
                  </w:r>
                </w:p>
              </w:tc>
              <w:tc>
                <w:tcPr>
                  <w:tcW w:w="480" w:type="pct"/>
                  <w:tcBorders>
                    <w:tl2br w:val="nil"/>
                    <w:tr2bl w:val="nil"/>
                  </w:tcBorders>
                  <w:vAlign w:val="center"/>
                </w:tcPr>
                <w:p w14:paraId="7EC628ED">
                  <w:pPr>
                    <w:pStyle w:val="29"/>
                    <w:rPr>
                      <w:sz w:val="21"/>
                      <w:szCs w:val="21"/>
                    </w:rPr>
                  </w:pPr>
                  <w:r>
                    <w:rPr>
                      <w:sz w:val="21"/>
                      <w:szCs w:val="21"/>
                    </w:rPr>
                    <w:t>KW</w:t>
                  </w:r>
                </w:p>
              </w:tc>
              <w:tc>
                <w:tcPr>
                  <w:tcW w:w="393" w:type="pct"/>
                  <w:tcBorders>
                    <w:tl2br w:val="nil"/>
                    <w:tr2bl w:val="nil"/>
                  </w:tcBorders>
                  <w:vAlign w:val="center"/>
                </w:tcPr>
                <w:p w14:paraId="131D172B">
                  <w:pPr>
                    <w:pStyle w:val="29"/>
                    <w:rPr>
                      <w:sz w:val="21"/>
                      <w:szCs w:val="21"/>
                    </w:rPr>
                  </w:pPr>
                  <w:r>
                    <w:rPr>
                      <w:sz w:val="21"/>
                      <w:szCs w:val="21"/>
                    </w:rPr>
                    <w:t>1</w:t>
                  </w:r>
                </w:p>
              </w:tc>
              <w:tc>
                <w:tcPr>
                  <w:tcW w:w="621" w:type="pct"/>
                  <w:tcBorders>
                    <w:tl2br w:val="nil"/>
                    <w:tr2bl w:val="nil"/>
                  </w:tcBorders>
                  <w:vAlign w:val="center"/>
                </w:tcPr>
                <w:p w14:paraId="5E0E84E4">
                  <w:pPr>
                    <w:pStyle w:val="29"/>
                    <w:rPr>
                      <w:sz w:val="21"/>
                      <w:szCs w:val="21"/>
                    </w:rPr>
                  </w:pPr>
                  <w:r>
                    <w:rPr>
                      <w:sz w:val="21"/>
                      <w:szCs w:val="21"/>
                    </w:rPr>
                    <w:t>1台</w:t>
                  </w:r>
                </w:p>
              </w:tc>
            </w:tr>
            <w:tr w14:paraId="39EB7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344" w:type="pct"/>
                  <w:tcBorders>
                    <w:tl2br w:val="nil"/>
                    <w:tr2bl w:val="nil"/>
                  </w:tcBorders>
                  <w:vAlign w:val="center"/>
                </w:tcPr>
                <w:p w14:paraId="050B0E82">
                  <w:pPr>
                    <w:pStyle w:val="29"/>
                    <w:rPr>
                      <w:sz w:val="21"/>
                      <w:szCs w:val="21"/>
                    </w:rPr>
                  </w:pPr>
                  <w:r>
                    <w:rPr>
                      <w:sz w:val="21"/>
                      <w:szCs w:val="21"/>
                    </w:rPr>
                    <w:t>15</w:t>
                  </w:r>
                </w:p>
              </w:tc>
              <w:tc>
                <w:tcPr>
                  <w:tcW w:w="724" w:type="pct"/>
                  <w:tcBorders>
                    <w:tl2br w:val="nil"/>
                    <w:tr2bl w:val="nil"/>
                  </w:tcBorders>
                  <w:vAlign w:val="center"/>
                </w:tcPr>
                <w:p w14:paraId="14385125">
                  <w:pPr>
                    <w:pStyle w:val="29"/>
                    <w:rPr>
                      <w:sz w:val="21"/>
                      <w:szCs w:val="21"/>
                    </w:rPr>
                  </w:pPr>
                  <w:r>
                    <w:rPr>
                      <w:sz w:val="21"/>
                      <w:szCs w:val="21"/>
                    </w:rPr>
                    <w:t>钉箱/粘合</w:t>
                  </w:r>
                </w:p>
              </w:tc>
              <w:tc>
                <w:tcPr>
                  <w:tcW w:w="840" w:type="pct"/>
                  <w:tcBorders>
                    <w:tl2br w:val="nil"/>
                    <w:tr2bl w:val="nil"/>
                  </w:tcBorders>
                  <w:vAlign w:val="center"/>
                </w:tcPr>
                <w:p w14:paraId="4F8DA998">
                  <w:pPr>
                    <w:pStyle w:val="29"/>
                    <w:rPr>
                      <w:sz w:val="21"/>
                      <w:szCs w:val="21"/>
                    </w:rPr>
                  </w:pPr>
                  <w:r>
                    <w:rPr>
                      <w:sz w:val="21"/>
                      <w:szCs w:val="21"/>
                    </w:rPr>
                    <w:t>瓦楞纸板钉箱机</w:t>
                  </w:r>
                </w:p>
              </w:tc>
              <w:tc>
                <w:tcPr>
                  <w:tcW w:w="1116" w:type="pct"/>
                  <w:tcBorders>
                    <w:tl2br w:val="nil"/>
                    <w:tr2bl w:val="nil"/>
                  </w:tcBorders>
                  <w:vAlign w:val="center"/>
                </w:tcPr>
                <w:p w14:paraId="08B00C0E">
                  <w:pPr>
                    <w:pStyle w:val="29"/>
                    <w:rPr>
                      <w:sz w:val="21"/>
                      <w:szCs w:val="21"/>
                    </w:rPr>
                  </w:pPr>
                  <w:r>
                    <w:rPr>
                      <w:sz w:val="21"/>
                      <w:szCs w:val="21"/>
                    </w:rPr>
                    <w:t>MF0045</w:t>
                  </w:r>
                </w:p>
              </w:tc>
              <w:tc>
                <w:tcPr>
                  <w:tcW w:w="480" w:type="pct"/>
                  <w:tcBorders>
                    <w:tl2br w:val="nil"/>
                    <w:tr2bl w:val="nil"/>
                  </w:tcBorders>
                  <w:vAlign w:val="center"/>
                </w:tcPr>
                <w:p w14:paraId="64CB34C6">
                  <w:pPr>
                    <w:pStyle w:val="29"/>
                    <w:rPr>
                      <w:sz w:val="21"/>
                      <w:szCs w:val="21"/>
                    </w:rPr>
                  </w:pPr>
                  <w:r>
                    <w:rPr>
                      <w:sz w:val="21"/>
                      <w:szCs w:val="21"/>
                    </w:rPr>
                    <w:t>功率</w:t>
                  </w:r>
                </w:p>
              </w:tc>
              <w:tc>
                <w:tcPr>
                  <w:tcW w:w="480" w:type="pct"/>
                  <w:tcBorders>
                    <w:tl2br w:val="nil"/>
                    <w:tr2bl w:val="nil"/>
                  </w:tcBorders>
                  <w:vAlign w:val="center"/>
                </w:tcPr>
                <w:p w14:paraId="62B478E7">
                  <w:pPr>
                    <w:pStyle w:val="29"/>
                    <w:rPr>
                      <w:sz w:val="21"/>
                      <w:szCs w:val="21"/>
                    </w:rPr>
                  </w:pPr>
                  <w:r>
                    <w:rPr>
                      <w:sz w:val="21"/>
                      <w:szCs w:val="21"/>
                    </w:rPr>
                    <w:t>KW</w:t>
                  </w:r>
                </w:p>
              </w:tc>
              <w:tc>
                <w:tcPr>
                  <w:tcW w:w="393" w:type="pct"/>
                  <w:tcBorders>
                    <w:tl2br w:val="nil"/>
                    <w:tr2bl w:val="nil"/>
                  </w:tcBorders>
                  <w:vAlign w:val="center"/>
                </w:tcPr>
                <w:p w14:paraId="408F221D">
                  <w:pPr>
                    <w:pStyle w:val="29"/>
                    <w:rPr>
                      <w:sz w:val="21"/>
                      <w:szCs w:val="21"/>
                    </w:rPr>
                  </w:pPr>
                  <w:r>
                    <w:rPr>
                      <w:sz w:val="21"/>
                      <w:szCs w:val="21"/>
                    </w:rPr>
                    <w:t>0.37</w:t>
                  </w:r>
                </w:p>
              </w:tc>
              <w:tc>
                <w:tcPr>
                  <w:tcW w:w="621" w:type="pct"/>
                  <w:tcBorders>
                    <w:tl2br w:val="nil"/>
                    <w:tr2bl w:val="nil"/>
                  </w:tcBorders>
                  <w:vAlign w:val="center"/>
                </w:tcPr>
                <w:p w14:paraId="4E1C9777">
                  <w:pPr>
                    <w:pStyle w:val="29"/>
                    <w:rPr>
                      <w:sz w:val="21"/>
                      <w:szCs w:val="21"/>
                    </w:rPr>
                  </w:pPr>
                  <w:r>
                    <w:rPr>
                      <w:sz w:val="21"/>
                      <w:szCs w:val="21"/>
                    </w:rPr>
                    <w:t>1台</w:t>
                  </w:r>
                </w:p>
              </w:tc>
            </w:tr>
            <w:tr w14:paraId="2F892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jc w:val="center"/>
              </w:trPr>
              <w:tc>
                <w:tcPr>
                  <w:tcW w:w="344" w:type="pct"/>
                  <w:tcBorders>
                    <w:tl2br w:val="nil"/>
                    <w:tr2bl w:val="nil"/>
                  </w:tcBorders>
                  <w:vAlign w:val="center"/>
                </w:tcPr>
                <w:p w14:paraId="1A36DC12">
                  <w:pPr>
                    <w:pStyle w:val="29"/>
                    <w:rPr>
                      <w:sz w:val="21"/>
                      <w:szCs w:val="21"/>
                    </w:rPr>
                  </w:pPr>
                  <w:r>
                    <w:rPr>
                      <w:sz w:val="21"/>
                      <w:szCs w:val="21"/>
                    </w:rPr>
                    <w:t>16</w:t>
                  </w:r>
                </w:p>
              </w:tc>
              <w:tc>
                <w:tcPr>
                  <w:tcW w:w="724" w:type="pct"/>
                  <w:tcBorders>
                    <w:tl2br w:val="nil"/>
                    <w:tr2bl w:val="nil"/>
                  </w:tcBorders>
                  <w:vAlign w:val="center"/>
                </w:tcPr>
                <w:p w14:paraId="45A5577C">
                  <w:pPr>
                    <w:pStyle w:val="29"/>
                    <w:rPr>
                      <w:sz w:val="21"/>
                      <w:szCs w:val="21"/>
                    </w:rPr>
                  </w:pPr>
                  <w:r>
                    <w:rPr>
                      <w:sz w:val="21"/>
                      <w:szCs w:val="21"/>
                    </w:rPr>
                    <w:t>钉箱/粘合</w:t>
                  </w:r>
                </w:p>
              </w:tc>
              <w:tc>
                <w:tcPr>
                  <w:tcW w:w="840" w:type="pct"/>
                  <w:tcBorders>
                    <w:tl2br w:val="nil"/>
                    <w:tr2bl w:val="nil"/>
                  </w:tcBorders>
                  <w:vAlign w:val="center"/>
                </w:tcPr>
                <w:p w14:paraId="731A0BAE">
                  <w:pPr>
                    <w:pStyle w:val="29"/>
                    <w:rPr>
                      <w:sz w:val="21"/>
                      <w:szCs w:val="21"/>
                    </w:rPr>
                  </w:pPr>
                  <w:r>
                    <w:rPr>
                      <w:sz w:val="21"/>
                      <w:szCs w:val="21"/>
                    </w:rPr>
                    <w:t>粘箱机</w:t>
                  </w:r>
                </w:p>
              </w:tc>
              <w:tc>
                <w:tcPr>
                  <w:tcW w:w="1116" w:type="pct"/>
                  <w:tcBorders>
                    <w:tl2br w:val="nil"/>
                    <w:tr2bl w:val="nil"/>
                  </w:tcBorders>
                  <w:vAlign w:val="center"/>
                </w:tcPr>
                <w:p w14:paraId="493F1808">
                  <w:pPr>
                    <w:pStyle w:val="29"/>
                    <w:rPr>
                      <w:sz w:val="21"/>
                      <w:szCs w:val="21"/>
                    </w:rPr>
                  </w:pPr>
                  <w:r>
                    <w:rPr>
                      <w:sz w:val="21"/>
                      <w:szCs w:val="21"/>
                    </w:rPr>
                    <w:t>MF0046</w:t>
                  </w:r>
                </w:p>
              </w:tc>
              <w:tc>
                <w:tcPr>
                  <w:tcW w:w="480" w:type="pct"/>
                  <w:tcBorders>
                    <w:tl2br w:val="nil"/>
                    <w:tr2bl w:val="nil"/>
                  </w:tcBorders>
                  <w:vAlign w:val="center"/>
                </w:tcPr>
                <w:p w14:paraId="1489D4A2">
                  <w:pPr>
                    <w:pStyle w:val="29"/>
                    <w:rPr>
                      <w:sz w:val="21"/>
                      <w:szCs w:val="21"/>
                    </w:rPr>
                  </w:pPr>
                  <w:r>
                    <w:rPr>
                      <w:sz w:val="21"/>
                      <w:szCs w:val="21"/>
                    </w:rPr>
                    <w:t>功率</w:t>
                  </w:r>
                </w:p>
              </w:tc>
              <w:tc>
                <w:tcPr>
                  <w:tcW w:w="480" w:type="pct"/>
                  <w:tcBorders>
                    <w:tl2br w:val="nil"/>
                    <w:tr2bl w:val="nil"/>
                  </w:tcBorders>
                  <w:vAlign w:val="center"/>
                </w:tcPr>
                <w:p w14:paraId="06AF09A5">
                  <w:pPr>
                    <w:pStyle w:val="29"/>
                    <w:rPr>
                      <w:sz w:val="21"/>
                      <w:szCs w:val="21"/>
                    </w:rPr>
                  </w:pPr>
                  <w:r>
                    <w:rPr>
                      <w:sz w:val="21"/>
                      <w:szCs w:val="21"/>
                    </w:rPr>
                    <w:t>KW</w:t>
                  </w:r>
                </w:p>
              </w:tc>
              <w:tc>
                <w:tcPr>
                  <w:tcW w:w="393" w:type="pct"/>
                  <w:tcBorders>
                    <w:tl2br w:val="nil"/>
                    <w:tr2bl w:val="nil"/>
                  </w:tcBorders>
                  <w:vAlign w:val="center"/>
                </w:tcPr>
                <w:p w14:paraId="0411BAAA">
                  <w:pPr>
                    <w:pStyle w:val="29"/>
                    <w:rPr>
                      <w:sz w:val="21"/>
                      <w:szCs w:val="21"/>
                    </w:rPr>
                  </w:pPr>
                  <w:r>
                    <w:rPr>
                      <w:sz w:val="21"/>
                      <w:szCs w:val="21"/>
                    </w:rPr>
                    <w:t>0.37</w:t>
                  </w:r>
                </w:p>
              </w:tc>
              <w:tc>
                <w:tcPr>
                  <w:tcW w:w="621" w:type="pct"/>
                  <w:tcBorders>
                    <w:tl2br w:val="nil"/>
                    <w:tr2bl w:val="nil"/>
                  </w:tcBorders>
                  <w:vAlign w:val="center"/>
                </w:tcPr>
                <w:p w14:paraId="3732B651">
                  <w:pPr>
                    <w:pStyle w:val="29"/>
                    <w:rPr>
                      <w:sz w:val="21"/>
                      <w:szCs w:val="21"/>
                    </w:rPr>
                  </w:pPr>
                  <w:r>
                    <w:rPr>
                      <w:sz w:val="21"/>
                      <w:szCs w:val="21"/>
                    </w:rPr>
                    <w:t>1台</w:t>
                  </w:r>
                </w:p>
              </w:tc>
            </w:tr>
            <w:tr w14:paraId="62BB4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3AE4C5FF">
                  <w:pPr>
                    <w:pStyle w:val="29"/>
                    <w:rPr>
                      <w:sz w:val="21"/>
                      <w:szCs w:val="21"/>
                    </w:rPr>
                  </w:pPr>
                  <w:r>
                    <w:rPr>
                      <w:sz w:val="21"/>
                      <w:szCs w:val="21"/>
                    </w:rPr>
                    <w:t>17</w:t>
                  </w:r>
                </w:p>
              </w:tc>
              <w:tc>
                <w:tcPr>
                  <w:tcW w:w="724" w:type="pct"/>
                  <w:tcBorders>
                    <w:tl2br w:val="nil"/>
                    <w:tr2bl w:val="nil"/>
                  </w:tcBorders>
                  <w:vAlign w:val="center"/>
                </w:tcPr>
                <w:p w14:paraId="758C8FA4">
                  <w:pPr>
                    <w:pStyle w:val="29"/>
                    <w:rPr>
                      <w:sz w:val="21"/>
                      <w:szCs w:val="21"/>
                    </w:rPr>
                  </w:pPr>
                  <w:r>
                    <w:rPr>
                      <w:sz w:val="21"/>
                      <w:szCs w:val="21"/>
                    </w:rPr>
                    <w:t>废纸打包</w:t>
                  </w:r>
                </w:p>
              </w:tc>
              <w:tc>
                <w:tcPr>
                  <w:tcW w:w="840" w:type="pct"/>
                  <w:tcBorders>
                    <w:tl2br w:val="nil"/>
                    <w:tr2bl w:val="nil"/>
                  </w:tcBorders>
                  <w:vAlign w:val="center"/>
                </w:tcPr>
                <w:p w14:paraId="2C6F75C6">
                  <w:pPr>
                    <w:pStyle w:val="29"/>
                    <w:rPr>
                      <w:sz w:val="21"/>
                      <w:szCs w:val="21"/>
                    </w:rPr>
                  </w:pPr>
                  <w:r>
                    <w:rPr>
                      <w:sz w:val="21"/>
                      <w:szCs w:val="21"/>
                    </w:rPr>
                    <w:t>废纸打包机</w:t>
                  </w:r>
                </w:p>
              </w:tc>
              <w:tc>
                <w:tcPr>
                  <w:tcW w:w="1116" w:type="pct"/>
                  <w:tcBorders>
                    <w:tl2br w:val="nil"/>
                    <w:tr2bl w:val="nil"/>
                  </w:tcBorders>
                  <w:vAlign w:val="center"/>
                </w:tcPr>
                <w:p w14:paraId="4B05F5AF">
                  <w:pPr>
                    <w:pStyle w:val="29"/>
                    <w:rPr>
                      <w:sz w:val="21"/>
                      <w:szCs w:val="21"/>
                    </w:rPr>
                  </w:pPr>
                  <w:r>
                    <w:rPr>
                      <w:sz w:val="21"/>
                      <w:szCs w:val="21"/>
                    </w:rPr>
                    <w:t>MF0027</w:t>
                  </w:r>
                </w:p>
              </w:tc>
              <w:tc>
                <w:tcPr>
                  <w:tcW w:w="480" w:type="pct"/>
                  <w:tcBorders>
                    <w:tl2br w:val="nil"/>
                    <w:tr2bl w:val="nil"/>
                  </w:tcBorders>
                  <w:vAlign w:val="center"/>
                </w:tcPr>
                <w:p w14:paraId="3EAF22BA">
                  <w:pPr>
                    <w:pStyle w:val="29"/>
                    <w:rPr>
                      <w:sz w:val="21"/>
                      <w:szCs w:val="21"/>
                    </w:rPr>
                  </w:pPr>
                  <w:r>
                    <w:rPr>
                      <w:sz w:val="21"/>
                      <w:szCs w:val="21"/>
                    </w:rPr>
                    <w:t>功率</w:t>
                  </w:r>
                </w:p>
              </w:tc>
              <w:tc>
                <w:tcPr>
                  <w:tcW w:w="480" w:type="pct"/>
                  <w:tcBorders>
                    <w:tl2br w:val="nil"/>
                    <w:tr2bl w:val="nil"/>
                  </w:tcBorders>
                  <w:vAlign w:val="center"/>
                </w:tcPr>
                <w:p w14:paraId="5FD3FF7A">
                  <w:pPr>
                    <w:pStyle w:val="29"/>
                    <w:rPr>
                      <w:sz w:val="21"/>
                      <w:szCs w:val="21"/>
                    </w:rPr>
                  </w:pPr>
                  <w:r>
                    <w:rPr>
                      <w:sz w:val="21"/>
                      <w:szCs w:val="21"/>
                    </w:rPr>
                    <w:t>KW</w:t>
                  </w:r>
                </w:p>
              </w:tc>
              <w:tc>
                <w:tcPr>
                  <w:tcW w:w="393" w:type="pct"/>
                  <w:tcBorders>
                    <w:tl2br w:val="nil"/>
                    <w:tr2bl w:val="nil"/>
                  </w:tcBorders>
                  <w:vAlign w:val="center"/>
                </w:tcPr>
                <w:p w14:paraId="62FCD737">
                  <w:pPr>
                    <w:pStyle w:val="29"/>
                    <w:rPr>
                      <w:sz w:val="21"/>
                      <w:szCs w:val="21"/>
                    </w:rPr>
                  </w:pPr>
                  <w:r>
                    <w:rPr>
                      <w:sz w:val="21"/>
                      <w:szCs w:val="21"/>
                    </w:rPr>
                    <w:t>10</w:t>
                  </w:r>
                </w:p>
              </w:tc>
              <w:tc>
                <w:tcPr>
                  <w:tcW w:w="621" w:type="pct"/>
                  <w:tcBorders>
                    <w:tl2br w:val="nil"/>
                    <w:tr2bl w:val="nil"/>
                  </w:tcBorders>
                  <w:vAlign w:val="center"/>
                </w:tcPr>
                <w:p w14:paraId="18D94867">
                  <w:pPr>
                    <w:pStyle w:val="29"/>
                    <w:rPr>
                      <w:sz w:val="21"/>
                      <w:szCs w:val="21"/>
                    </w:rPr>
                  </w:pPr>
                  <w:r>
                    <w:rPr>
                      <w:sz w:val="21"/>
                      <w:szCs w:val="21"/>
                    </w:rPr>
                    <w:t>1台</w:t>
                  </w:r>
                </w:p>
              </w:tc>
            </w:tr>
            <w:tr w14:paraId="65D0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jc w:val="center"/>
              </w:trPr>
              <w:tc>
                <w:tcPr>
                  <w:tcW w:w="344" w:type="pct"/>
                  <w:tcBorders>
                    <w:tl2br w:val="nil"/>
                    <w:tr2bl w:val="nil"/>
                  </w:tcBorders>
                  <w:vAlign w:val="center"/>
                </w:tcPr>
                <w:p w14:paraId="46C79E44">
                  <w:pPr>
                    <w:pStyle w:val="29"/>
                    <w:rPr>
                      <w:sz w:val="21"/>
                      <w:szCs w:val="21"/>
                    </w:rPr>
                  </w:pPr>
                  <w:r>
                    <w:rPr>
                      <w:sz w:val="21"/>
                      <w:szCs w:val="21"/>
                    </w:rPr>
                    <w:t>18</w:t>
                  </w:r>
                </w:p>
              </w:tc>
              <w:tc>
                <w:tcPr>
                  <w:tcW w:w="724" w:type="pct"/>
                  <w:tcBorders>
                    <w:tl2br w:val="nil"/>
                    <w:tr2bl w:val="nil"/>
                  </w:tcBorders>
                  <w:vAlign w:val="center"/>
                </w:tcPr>
                <w:p w14:paraId="730F8418">
                  <w:pPr>
                    <w:pStyle w:val="29"/>
                    <w:rPr>
                      <w:sz w:val="21"/>
                      <w:szCs w:val="21"/>
                    </w:rPr>
                  </w:pPr>
                  <w:r>
                    <w:rPr>
                      <w:sz w:val="21"/>
                      <w:szCs w:val="21"/>
                    </w:rPr>
                    <w:t>运输</w:t>
                  </w:r>
                </w:p>
              </w:tc>
              <w:tc>
                <w:tcPr>
                  <w:tcW w:w="840" w:type="pct"/>
                  <w:tcBorders>
                    <w:tl2br w:val="nil"/>
                    <w:tr2bl w:val="nil"/>
                  </w:tcBorders>
                  <w:vAlign w:val="center"/>
                </w:tcPr>
                <w:p w14:paraId="354B946A">
                  <w:pPr>
                    <w:pStyle w:val="29"/>
                    <w:rPr>
                      <w:sz w:val="21"/>
                      <w:szCs w:val="21"/>
                    </w:rPr>
                  </w:pPr>
                  <w:r>
                    <w:rPr>
                      <w:sz w:val="21"/>
                      <w:szCs w:val="21"/>
                    </w:rPr>
                    <w:t>装载车</w:t>
                  </w:r>
                </w:p>
              </w:tc>
              <w:tc>
                <w:tcPr>
                  <w:tcW w:w="1116" w:type="pct"/>
                  <w:tcBorders>
                    <w:tl2br w:val="nil"/>
                    <w:tr2bl w:val="nil"/>
                  </w:tcBorders>
                  <w:vAlign w:val="center"/>
                </w:tcPr>
                <w:p w14:paraId="2F897E8D">
                  <w:pPr>
                    <w:pStyle w:val="29"/>
                    <w:rPr>
                      <w:sz w:val="21"/>
                      <w:szCs w:val="21"/>
                    </w:rPr>
                  </w:pPr>
                  <w:r>
                    <w:rPr>
                      <w:sz w:val="21"/>
                      <w:szCs w:val="21"/>
                    </w:rPr>
                    <w:t>MF0047</w:t>
                  </w:r>
                </w:p>
              </w:tc>
              <w:tc>
                <w:tcPr>
                  <w:tcW w:w="480" w:type="pct"/>
                  <w:tcBorders>
                    <w:tl2br w:val="nil"/>
                    <w:tr2bl w:val="nil"/>
                  </w:tcBorders>
                  <w:vAlign w:val="center"/>
                </w:tcPr>
                <w:p w14:paraId="48C8AB1C">
                  <w:pPr>
                    <w:pStyle w:val="29"/>
                    <w:rPr>
                      <w:sz w:val="21"/>
                      <w:szCs w:val="21"/>
                    </w:rPr>
                  </w:pPr>
                  <w:r>
                    <w:rPr>
                      <w:sz w:val="21"/>
                      <w:szCs w:val="21"/>
                    </w:rPr>
                    <w:t>/</w:t>
                  </w:r>
                </w:p>
              </w:tc>
              <w:tc>
                <w:tcPr>
                  <w:tcW w:w="480" w:type="pct"/>
                  <w:tcBorders>
                    <w:tl2br w:val="nil"/>
                    <w:tr2bl w:val="nil"/>
                  </w:tcBorders>
                  <w:vAlign w:val="center"/>
                </w:tcPr>
                <w:p w14:paraId="55591A60">
                  <w:pPr>
                    <w:pStyle w:val="29"/>
                    <w:rPr>
                      <w:sz w:val="21"/>
                      <w:szCs w:val="21"/>
                    </w:rPr>
                  </w:pPr>
                  <w:r>
                    <w:rPr>
                      <w:sz w:val="21"/>
                      <w:szCs w:val="21"/>
                    </w:rPr>
                    <w:t>/</w:t>
                  </w:r>
                </w:p>
              </w:tc>
              <w:tc>
                <w:tcPr>
                  <w:tcW w:w="393" w:type="pct"/>
                  <w:tcBorders>
                    <w:tl2br w:val="nil"/>
                    <w:tr2bl w:val="nil"/>
                  </w:tcBorders>
                  <w:vAlign w:val="center"/>
                </w:tcPr>
                <w:p w14:paraId="5655C079">
                  <w:pPr>
                    <w:pStyle w:val="29"/>
                    <w:rPr>
                      <w:sz w:val="21"/>
                      <w:szCs w:val="21"/>
                    </w:rPr>
                  </w:pPr>
                  <w:r>
                    <w:rPr>
                      <w:sz w:val="21"/>
                      <w:szCs w:val="21"/>
                    </w:rPr>
                    <w:t>/</w:t>
                  </w:r>
                </w:p>
              </w:tc>
              <w:tc>
                <w:tcPr>
                  <w:tcW w:w="621" w:type="pct"/>
                  <w:tcBorders>
                    <w:tl2br w:val="nil"/>
                    <w:tr2bl w:val="nil"/>
                  </w:tcBorders>
                  <w:vAlign w:val="center"/>
                </w:tcPr>
                <w:p w14:paraId="32C5B581">
                  <w:pPr>
                    <w:pStyle w:val="29"/>
                    <w:rPr>
                      <w:sz w:val="21"/>
                      <w:szCs w:val="21"/>
                    </w:rPr>
                  </w:pPr>
                  <w:r>
                    <w:rPr>
                      <w:sz w:val="21"/>
                      <w:szCs w:val="21"/>
                    </w:rPr>
                    <w:t>1台</w:t>
                  </w:r>
                </w:p>
              </w:tc>
            </w:tr>
            <w:tr w14:paraId="668B4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 w:type="pct"/>
                  <w:tcBorders>
                    <w:tl2br w:val="nil"/>
                    <w:tr2bl w:val="nil"/>
                  </w:tcBorders>
                  <w:vAlign w:val="center"/>
                </w:tcPr>
                <w:p w14:paraId="18D3DD3C">
                  <w:pPr>
                    <w:pStyle w:val="29"/>
                    <w:rPr>
                      <w:sz w:val="21"/>
                      <w:szCs w:val="21"/>
                    </w:rPr>
                  </w:pPr>
                  <w:r>
                    <w:rPr>
                      <w:sz w:val="21"/>
                      <w:szCs w:val="21"/>
                    </w:rPr>
                    <w:t>19</w:t>
                  </w:r>
                </w:p>
              </w:tc>
              <w:tc>
                <w:tcPr>
                  <w:tcW w:w="724" w:type="pct"/>
                  <w:tcBorders>
                    <w:tl2br w:val="nil"/>
                    <w:tr2bl w:val="nil"/>
                  </w:tcBorders>
                  <w:vAlign w:val="center"/>
                </w:tcPr>
                <w:p w14:paraId="12DAF58E">
                  <w:pPr>
                    <w:pStyle w:val="29"/>
                    <w:rPr>
                      <w:sz w:val="21"/>
                      <w:szCs w:val="21"/>
                    </w:rPr>
                  </w:pPr>
                  <w:r>
                    <w:rPr>
                      <w:sz w:val="21"/>
                      <w:szCs w:val="21"/>
                    </w:rPr>
                    <w:t>蒸汽供应</w:t>
                  </w:r>
                </w:p>
              </w:tc>
              <w:tc>
                <w:tcPr>
                  <w:tcW w:w="840" w:type="pct"/>
                  <w:tcBorders>
                    <w:tl2br w:val="nil"/>
                    <w:tr2bl w:val="nil"/>
                  </w:tcBorders>
                  <w:vAlign w:val="center"/>
                </w:tcPr>
                <w:p w14:paraId="750B093F">
                  <w:pPr>
                    <w:pStyle w:val="29"/>
                    <w:rPr>
                      <w:sz w:val="21"/>
                      <w:szCs w:val="21"/>
                    </w:rPr>
                  </w:pPr>
                  <w:r>
                    <w:rPr>
                      <w:sz w:val="21"/>
                      <w:szCs w:val="21"/>
                    </w:rPr>
                    <w:t>燃气锅炉</w:t>
                  </w:r>
                </w:p>
              </w:tc>
              <w:tc>
                <w:tcPr>
                  <w:tcW w:w="1116" w:type="pct"/>
                  <w:tcBorders>
                    <w:tl2br w:val="nil"/>
                    <w:tr2bl w:val="nil"/>
                  </w:tcBorders>
                  <w:vAlign w:val="center"/>
                </w:tcPr>
                <w:p w14:paraId="436EACB9">
                  <w:pPr>
                    <w:pStyle w:val="29"/>
                    <w:rPr>
                      <w:sz w:val="21"/>
                      <w:szCs w:val="21"/>
                    </w:rPr>
                  </w:pPr>
                  <w:r>
                    <w:rPr>
                      <w:sz w:val="21"/>
                      <w:szCs w:val="21"/>
                    </w:rPr>
                    <w:t>MF0048</w:t>
                  </w:r>
                </w:p>
              </w:tc>
              <w:tc>
                <w:tcPr>
                  <w:tcW w:w="480" w:type="pct"/>
                  <w:tcBorders>
                    <w:tl2br w:val="nil"/>
                    <w:tr2bl w:val="nil"/>
                  </w:tcBorders>
                  <w:vAlign w:val="center"/>
                </w:tcPr>
                <w:p w14:paraId="07E51259">
                  <w:pPr>
                    <w:pStyle w:val="29"/>
                    <w:rPr>
                      <w:sz w:val="21"/>
                      <w:szCs w:val="21"/>
                    </w:rPr>
                  </w:pPr>
                  <w:r>
                    <w:rPr>
                      <w:sz w:val="21"/>
                      <w:szCs w:val="21"/>
                    </w:rPr>
                    <w:t>蒸吨</w:t>
                  </w:r>
                </w:p>
              </w:tc>
              <w:tc>
                <w:tcPr>
                  <w:tcW w:w="480" w:type="pct"/>
                  <w:tcBorders>
                    <w:tl2br w:val="nil"/>
                    <w:tr2bl w:val="nil"/>
                  </w:tcBorders>
                  <w:vAlign w:val="center"/>
                </w:tcPr>
                <w:p w14:paraId="79FD8B56">
                  <w:pPr>
                    <w:pStyle w:val="29"/>
                    <w:rPr>
                      <w:sz w:val="21"/>
                      <w:szCs w:val="21"/>
                    </w:rPr>
                  </w:pPr>
                  <w:r>
                    <w:rPr>
                      <w:sz w:val="21"/>
                      <w:szCs w:val="21"/>
                    </w:rPr>
                    <w:t>t/h</w:t>
                  </w:r>
                </w:p>
              </w:tc>
              <w:tc>
                <w:tcPr>
                  <w:tcW w:w="393" w:type="pct"/>
                  <w:tcBorders>
                    <w:tl2br w:val="nil"/>
                    <w:tr2bl w:val="nil"/>
                  </w:tcBorders>
                  <w:vAlign w:val="center"/>
                </w:tcPr>
                <w:p w14:paraId="0ED76C7D">
                  <w:pPr>
                    <w:pStyle w:val="29"/>
                    <w:rPr>
                      <w:sz w:val="21"/>
                      <w:szCs w:val="21"/>
                    </w:rPr>
                  </w:pPr>
                  <w:r>
                    <w:rPr>
                      <w:sz w:val="21"/>
                      <w:szCs w:val="21"/>
                    </w:rPr>
                    <w:t>2</w:t>
                  </w:r>
                </w:p>
              </w:tc>
              <w:tc>
                <w:tcPr>
                  <w:tcW w:w="621" w:type="pct"/>
                  <w:tcBorders>
                    <w:tl2br w:val="nil"/>
                    <w:tr2bl w:val="nil"/>
                  </w:tcBorders>
                  <w:vAlign w:val="center"/>
                </w:tcPr>
                <w:p w14:paraId="7969AFD4">
                  <w:pPr>
                    <w:pStyle w:val="29"/>
                    <w:rPr>
                      <w:sz w:val="21"/>
                      <w:szCs w:val="21"/>
                    </w:rPr>
                  </w:pPr>
                  <w:r>
                    <w:rPr>
                      <w:sz w:val="21"/>
                      <w:szCs w:val="21"/>
                    </w:rPr>
                    <w:t>1台</w:t>
                  </w:r>
                </w:p>
              </w:tc>
            </w:tr>
          </w:tbl>
          <w:p w14:paraId="09799CE4">
            <w:pPr>
              <w:pStyle w:val="45"/>
              <w:adjustRightInd w:val="0"/>
              <w:snapToGrid w:val="0"/>
              <w:ind w:firstLineChars="0"/>
              <w:rPr>
                <w:rFonts w:hint="default"/>
                <w:kern w:val="0"/>
                <w:szCs w:val="20"/>
              </w:rPr>
            </w:pPr>
            <w:r>
              <w:rPr>
                <w:rFonts w:hint="default"/>
                <w:kern w:val="0"/>
                <w:szCs w:val="20"/>
              </w:rPr>
              <w:t>产能匹配性分析：根据业主提供资料，根据企业提供资料单面瓦楞机车速取150米/分，企业设置1条瓦楞纸2.5m生产线，瓦楞纸生产线正常生产时间为3000h，生产负荷按90%计，则工作产能为6750万平方米/年，本项目达产期年生产纸板、纸箱5000万平方米，因此设备满足产能要求。</w:t>
            </w:r>
          </w:p>
          <w:p w14:paraId="1984976B">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2.2.7劳动定员及工作制度</w:t>
            </w:r>
          </w:p>
          <w:p w14:paraId="0EB1AD61">
            <w:pPr>
              <w:pStyle w:val="45"/>
              <w:adjustRightInd w:val="0"/>
              <w:snapToGrid w:val="0"/>
              <w:ind w:firstLineChars="0"/>
              <w:rPr>
                <w:rFonts w:hint="default"/>
                <w:kern w:val="0"/>
                <w:szCs w:val="20"/>
              </w:rPr>
            </w:pPr>
            <w:r>
              <w:rPr>
                <w:rFonts w:hint="default"/>
                <w:kern w:val="0"/>
                <w:szCs w:val="20"/>
              </w:rPr>
              <w:t>本项目劳动定员共40人，工作实行单班制，每班工作时间12h，年工作330天。厂区设置食堂，无住宿。</w:t>
            </w:r>
          </w:p>
          <w:p w14:paraId="51551CFB">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2.2.8水平衡分析</w:t>
            </w:r>
          </w:p>
          <w:p w14:paraId="4945B29C">
            <w:pPr>
              <w:pStyle w:val="45"/>
              <w:adjustRightInd w:val="0"/>
              <w:snapToGrid w:val="0"/>
              <w:ind w:firstLineChars="0"/>
              <w:rPr>
                <w:rFonts w:hint="default"/>
                <w:kern w:val="0"/>
                <w:szCs w:val="20"/>
              </w:rPr>
            </w:pPr>
            <w:r>
              <w:rPr>
                <w:rFonts w:hint="default"/>
                <w:kern w:val="0"/>
                <w:szCs w:val="20"/>
              </w:rPr>
              <w:t>本项目用水主要为生活用水、制胶设备清洗用水、制胶用水、印刷设备清洗用水和锅炉用水。</w:t>
            </w:r>
          </w:p>
          <w:p w14:paraId="11E1D3F4">
            <w:pPr>
              <w:pStyle w:val="45"/>
              <w:adjustRightInd w:val="0"/>
              <w:snapToGrid w:val="0"/>
              <w:ind w:firstLineChars="0"/>
              <w:rPr>
                <w:rFonts w:hint="default"/>
                <w:kern w:val="0"/>
                <w:szCs w:val="20"/>
              </w:rPr>
            </w:pPr>
            <w:r>
              <w:rPr>
                <w:rFonts w:hint="default"/>
                <w:kern w:val="0"/>
                <w:szCs w:val="20"/>
              </w:rPr>
              <w:t>1、生活用水</w:t>
            </w:r>
          </w:p>
          <w:p w14:paraId="1F8D03D8">
            <w:pPr>
              <w:pStyle w:val="45"/>
              <w:adjustRightInd w:val="0"/>
              <w:snapToGrid w:val="0"/>
              <w:ind w:firstLineChars="0"/>
              <w:rPr>
                <w:rFonts w:hint="default"/>
                <w:kern w:val="0"/>
                <w:szCs w:val="20"/>
              </w:rPr>
            </w:pPr>
            <w:r>
              <w:rPr>
                <w:rFonts w:hint="default"/>
                <w:kern w:val="0"/>
                <w:szCs w:val="20"/>
              </w:rPr>
              <w:t>本项目劳动定员为40名，根据《安徽省行业用水定额》（DB34/T679-2025）中的相关内容，办公用水定额取38L/人·d。则生活用水量约为1.52t/d，501.6t/a；污水产生系数按照80%计，则生活污水产生量为1.216t/d，401.28t/a。</w:t>
            </w:r>
          </w:p>
          <w:p w14:paraId="7FD944E4">
            <w:pPr>
              <w:pStyle w:val="45"/>
              <w:adjustRightInd w:val="0"/>
              <w:snapToGrid w:val="0"/>
              <w:ind w:firstLineChars="0"/>
              <w:rPr>
                <w:rFonts w:hint="default"/>
                <w:kern w:val="0"/>
                <w:szCs w:val="20"/>
              </w:rPr>
            </w:pPr>
            <w:r>
              <w:rPr>
                <w:rFonts w:hint="default"/>
                <w:kern w:val="0"/>
                <w:szCs w:val="20"/>
              </w:rPr>
              <w:t>2、制胶设备清洗用水</w:t>
            </w:r>
          </w:p>
          <w:p w14:paraId="4D34CD59">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在生产过程中，企业采用制胶搅拌机进行调胶，生产使用后残留在制胶搅拌机设备上的淀粉胶对其用水进行冲洗，制胶搅拌机设备定期清理，采用设备配备的水泵和喷头将对胶辊进行自来水冲洗，约1月/次，</w:t>
            </w:r>
            <w:r>
              <w:rPr>
                <w:rFonts w:hint="default" w:ascii="Times New Roman" w:hAnsi="Times New Roman" w:cs="Times New Roman"/>
                <w:bCs w:val="0"/>
                <w:snapToGrid/>
                <w:kern w:val="0"/>
                <w:szCs w:val="20"/>
                <w:shd w:val="clear"/>
                <w:lang w:eastAsia="zh-CN"/>
              </w:rPr>
              <w:t>年清洗次数</w:t>
            </w:r>
            <w:r>
              <w:rPr>
                <w:rFonts w:hint="default" w:ascii="Times New Roman" w:hAnsi="Times New Roman" w:cs="Times New Roman"/>
                <w:bCs w:val="0"/>
                <w:snapToGrid/>
                <w:kern w:val="0"/>
                <w:szCs w:val="20"/>
                <w:shd w:val="clear"/>
                <w:lang w:val="en-US" w:eastAsia="zh-CN"/>
              </w:rPr>
              <w:t>12次。</w:t>
            </w:r>
            <w:r>
              <w:rPr>
                <w:rFonts w:hint="default"/>
                <w:bCs w:val="0"/>
                <w:snapToGrid/>
                <w:kern w:val="0"/>
                <w:szCs w:val="20"/>
                <w:shd w:val="clear"/>
              </w:rPr>
              <w:t>项目设有1台制胶搅拌机，每次清洗用水量约为0.05t，则制胶设备清洗用水年用量为0.6t/a。项目需使用淀粉胶对纸板进行粘合工序，在完成粘合工序后，瓦楞纸板生产线部分设备上会沾有少量的淀粉胶，由于淀粉胶粘性较强，不定期清理会对生产设备造成一定的影响，因此本项目使用自来水对设备进行清洁。设备清洗用水量约为40L/次，约5天清洗1次，</w:t>
            </w:r>
            <w:r>
              <w:rPr>
                <w:rFonts w:hint="default" w:ascii="Times New Roman" w:hAnsi="Times New Roman" w:cs="Times New Roman"/>
                <w:bCs w:val="0"/>
                <w:snapToGrid/>
                <w:kern w:val="0"/>
                <w:szCs w:val="20"/>
                <w:shd w:val="clear"/>
                <w:lang w:eastAsia="zh-CN"/>
              </w:rPr>
              <w:t>年清洗次数</w:t>
            </w:r>
            <w:r>
              <w:rPr>
                <w:rFonts w:hint="default" w:ascii="Times New Roman" w:hAnsi="Times New Roman" w:cs="Times New Roman"/>
                <w:bCs w:val="0"/>
                <w:snapToGrid/>
                <w:kern w:val="0"/>
                <w:szCs w:val="20"/>
                <w:shd w:val="clear"/>
                <w:lang w:val="en-US" w:eastAsia="zh-CN"/>
              </w:rPr>
              <w:t>66次，</w:t>
            </w:r>
            <w:r>
              <w:rPr>
                <w:rFonts w:hint="default"/>
                <w:bCs w:val="0"/>
                <w:snapToGrid/>
                <w:kern w:val="0"/>
                <w:szCs w:val="20"/>
                <w:shd w:val="clear"/>
              </w:rPr>
              <w:t>即清洗用水量为2.4t/a。</w:t>
            </w:r>
          </w:p>
          <w:p w14:paraId="7DB6A62C">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该类设备清洗用水总量为3t/a，损耗量按5%计算，则糊胶、制胶设备清洗废水产生量为2.85t/a，收集后回用于制胶工序。</w:t>
            </w:r>
          </w:p>
          <w:p w14:paraId="6311D3D4">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3、印刷设备清洗用水</w:t>
            </w:r>
          </w:p>
          <w:p w14:paraId="3DF850F2">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根据建设单位提供资料，项目水墨印刷机设备平均每5天清洗一次，每次用水量约为5</w:t>
            </w:r>
            <w:r>
              <w:rPr>
                <w:rFonts w:hint="default" w:ascii="Times New Roman" w:hAnsi="Times New Roman" w:cs="Times New Roman"/>
                <w:kern w:val="0"/>
                <w:szCs w:val="20"/>
                <w:lang w:val="en-US" w:eastAsia="zh-CN"/>
              </w:rPr>
              <w:t>L</w:t>
            </w:r>
            <w:r>
              <w:rPr>
                <w:rFonts w:hint="default"/>
                <w:bCs w:val="0"/>
                <w:snapToGrid/>
                <w:kern w:val="0"/>
                <w:szCs w:val="20"/>
                <w:shd w:val="clear"/>
              </w:rPr>
              <w:t>，则设备清洗用水量0.001t/d，0.33t/a。产污系数按0.85计，则清洗后的废液产生量为0.28t/a，清洗废液经专用容器收集后危废间暂存作为危废交由有资质单位进行处置。</w:t>
            </w:r>
          </w:p>
          <w:p w14:paraId="7A462116">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4、制胶用水</w:t>
            </w:r>
          </w:p>
          <w:p w14:paraId="6F704CA3">
            <w:pPr>
              <w:pStyle w:val="45"/>
              <w:wordWrap/>
              <w:adjustRightInd w:val="0"/>
              <w:snapToGrid w:val="0"/>
              <w:ind w:firstLineChars="0"/>
              <w:rPr>
                <w:rFonts w:hint="default"/>
                <w:bCs w:val="0"/>
                <w:snapToGrid/>
                <w:kern w:val="0"/>
                <w:szCs w:val="20"/>
                <w:shd w:val="clear"/>
              </w:rPr>
            </w:pPr>
            <w:r>
              <w:rPr>
                <w:rFonts w:hint="default"/>
                <w:bCs w:val="0"/>
                <w:snapToGrid/>
                <w:kern w:val="0"/>
                <w:szCs w:val="20"/>
                <w:shd w:val="clear"/>
              </w:rPr>
              <w:t>根据</w:t>
            </w:r>
            <w:r>
              <w:rPr>
                <w:rFonts w:hint="default"/>
                <w:bCs w:val="0"/>
                <w:snapToGrid/>
                <w:kern w:val="0"/>
                <w:szCs w:val="20"/>
                <w:shd w:val="clear"/>
                <w:lang w:val="en-US" w:eastAsia="zh-CN"/>
              </w:rPr>
              <w:t>企业</w:t>
            </w:r>
            <w:r>
              <w:rPr>
                <w:rFonts w:hint="default"/>
                <w:bCs w:val="0"/>
                <w:snapToGrid/>
                <w:kern w:val="0"/>
                <w:szCs w:val="20"/>
                <w:shd w:val="clear"/>
              </w:rPr>
              <w:t>提供资料，项目使用的玉米淀粉胶是由水、玉米淀粉、硼砂、氢氧化钠配制而成，其中水的占比约为80%。淀粉胶水调配比例约为19.5%玉米淀粉、0.3%硼砂、0.2%氢氧化钠和80%水。</w:t>
            </w:r>
          </w:p>
          <w:p w14:paraId="42390EF6">
            <w:pPr>
              <w:pStyle w:val="45"/>
              <w:wordWrap/>
              <w:adjustRightInd w:val="0"/>
              <w:snapToGrid w:val="0"/>
              <w:ind w:firstLineChars="0"/>
              <w:rPr>
                <w:rFonts w:hint="default"/>
                <w:kern w:val="0"/>
                <w:szCs w:val="20"/>
              </w:rPr>
            </w:pPr>
            <w:r>
              <w:rPr>
                <w:rFonts w:hint="default"/>
                <w:kern w:val="0"/>
                <w:szCs w:val="20"/>
              </w:rPr>
              <w:t>本项目年使用玉米淀粉、</w:t>
            </w:r>
            <w:r>
              <w:rPr>
                <w:rFonts w:hint="default"/>
                <w:bCs w:val="0"/>
                <w:snapToGrid/>
                <w:kern w:val="0"/>
                <w:szCs w:val="20"/>
                <w:shd w:val="clear"/>
              </w:rPr>
              <w:t>氢氧化钠、硼砂共</w:t>
            </w:r>
            <w:r>
              <w:rPr>
                <w:rFonts w:hint="default"/>
                <w:kern w:val="0"/>
                <w:szCs w:val="20"/>
              </w:rPr>
              <w:t>249.9t/a，年</w:t>
            </w:r>
            <w:r>
              <w:rPr>
                <w:rFonts w:hint="default"/>
                <w:kern w:val="0"/>
                <w:szCs w:val="20"/>
                <w:lang w:eastAsia="zh-CN"/>
              </w:rPr>
              <w:t>使</w:t>
            </w:r>
            <w:r>
              <w:rPr>
                <w:rFonts w:hint="default"/>
                <w:kern w:val="0"/>
                <w:szCs w:val="20"/>
              </w:rPr>
              <w:t>用玉米淀粉胶</w:t>
            </w:r>
            <w:r>
              <w:rPr>
                <w:rFonts w:hint="default"/>
                <w:kern w:val="0"/>
                <w:szCs w:val="20"/>
                <w:lang w:val="en-US" w:eastAsia="zh-CN"/>
              </w:rPr>
              <w:t>1249.5</w:t>
            </w:r>
            <w:r>
              <w:rPr>
                <w:rFonts w:hint="default"/>
                <w:kern w:val="0"/>
                <w:szCs w:val="20"/>
              </w:rPr>
              <w:t>t，则调胶工序用水量为999.6t/a（3.02t/a），项目制胶用水全部进入所制胶中，淀粉胶中的水分在产品烘压定型工艺中全部蒸发。</w:t>
            </w:r>
          </w:p>
          <w:p w14:paraId="21FFD60D">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5、锅炉用水</w:t>
            </w:r>
          </w:p>
          <w:p w14:paraId="6EC36CAA">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根据建设单位提供资料，项目配备1台2t/h天然气锅炉，年运行时长3000h。项目产生可使用蒸汽量6000t/a，锅炉排水量为443.7t/a。则锅炉需水量为2.14t/h（6443.7t/a）。</w:t>
            </w:r>
          </w:p>
          <w:p w14:paraId="5A2C9B96">
            <w:pPr>
              <w:pStyle w:val="45"/>
              <w:adjustRightInd w:val="0"/>
              <w:snapToGrid w:val="0"/>
              <w:ind w:firstLineChars="0"/>
              <w:rPr>
                <w:rFonts w:hint="default"/>
                <w:bCs w:val="0"/>
                <w:snapToGrid/>
                <w:kern w:val="0"/>
                <w:szCs w:val="20"/>
                <w:shd w:val="clear"/>
              </w:rPr>
            </w:pPr>
            <w:r>
              <w:rPr>
                <w:rFonts w:hint="default"/>
                <w:kern w:val="0"/>
                <w:szCs w:val="20"/>
              </w:rPr>
              <w:t>锅炉用水为软化水，软水制备系统主要采用“反渗透”工艺制备软化水，软水制备率为60%，则软水制备设备总用水量为10739.5t/a，本项目软水制备排水量为4295.8t/a。</w:t>
            </w:r>
          </w:p>
          <w:p w14:paraId="7C599DA2">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项目蒸汽供热为间接加热，项目产生可使用蒸汽量6000t/a，损耗量按70%计，则冷凝水产生量为4200t/a。该部分冷凝水为清净下水，可直接回用至锅炉循环补水。因此项目锅炉新鲜水用水量为6539.5t/a（19.81t/d）。</w:t>
            </w:r>
          </w:p>
          <w:p w14:paraId="15014F62">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项目天然气锅炉废水主要为软水系统排污水、锅炉排污水，参考《排放源统计调查产排污核算方法和系数手册》（生态环境部，公告2021年第24号）中4430工业锅炉（热力生产和供应行业）产污系数表-工业废水量和化学需氧量，</w:t>
            </w:r>
            <w:r>
              <w:rPr>
                <w:rFonts w:hint="default"/>
                <w:kern w:val="0"/>
                <w:szCs w:val="20"/>
              </w:rPr>
              <w:t>每燃烧1万m</w:t>
            </w:r>
            <w:r>
              <w:rPr>
                <w:rFonts w:hint="default"/>
                <w:kern w:val="0"/>
                <w:szCs w:val="20"/>
                <w:vertAlign w:val="baseline"/>
              </w:rPr>
              <w:t>3</w:t>
            </w:r>
            <w:r>
              <w:rPr>
                <w:rFonts w:hint="default"/>
                <w:kern w:val="0"/>
                <w:szCs w:val="20"/>
              </w:rPr>
              <w:t>天然气</w:t>
            </w:r>
            <w:r>
              <w:rPr>
                <w:rFonts w:hint="default"/>
                <w:bCs w:val="0"/>
                <w:snapToGrid/>
                <w:kern w:val="0"/>
                <w:szCs w:val="20"/>
                <w:shd w:val="clear"/>
              </w:rPr>
              <w:t>工业废水产生量为9.86吨（软化处理废水）。则项目天然气锅炉废水产生量为443.7t/a。</w:t>
            </w:r>
          </w:p>
          <w:p w14:paraId="6E4F1C12">
            <w:pPr>
              <w:pStyle w:val="45"/>
              <w:adjustRightInd w:val="0"/>
              <w:snapToGrid w:val="0"/>
              <w:ind w:firstLineChars="0"/>
              <w:rPr>
                <w:rFonts w:hint="default"/>
                <w:bCs w:val="0"/>
                <w:snapToGrid/>
                <w:kern w:val="0"/>
                <w:szCs w:val="20"/>
                <w:shd w:val="clear"/>
              </w:rPr>
            </w:pPr>
            <w:r>
              <w:rPr>
                <w:rFonts w:hint="default"/>
                <w:bCs w:val="0"/>
                <w:snapToGrid/>
                <w:kern w:val="0"/>
                <w:szCs w:val="20"/>
                <w:shd w:val="clear"/>
              </w:rPr>
              <w:t>项目锅炉总排水量为4739.5t/a其中软水系统排污水为4295.8t/a，锅炉排污水为443.7t/a。</w:t>
            </w:r>
          </w:p>
          <w:p w14:paraId="2826BDFB">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综上，本项目建成后水平衡如下所示。</w:t>
            </w:r>
          </w:p>
          <w:p w14:paraId="71531A07">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144135" cy="5454015"/>
                  <wp:effectExtent l="0" t="0" r="0" b="0"/>
                  <wp:docPr id="18" name="图片 18" descr="水平衡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水平衡4"/>
                          <pic:cNvPicPr>
                            <a:picLocks noChangeAspect="1"/>
                          </pic:cNvPicPr>
                        </pic:nvPicPr>
                        <pic:blipFill>
                          <a:blip r:embed="rId27"/>
                          <a:srcRect l="-527" t="13834" r="-1142" b="9948"/>
                          <a:stretch>
                            <a:fillRect/>
                          </a:stretch>
                        </pic:blipFill>
                        <pic:spPr>
                          <a:xfrm>
                            <a:off x="0" y="0"/>
                            <a:ext cx="5144135" cy="5454015"/>
                          </a:xfrm>
                          <a:prstGeom prst="rect">
                            <a:avLst/>
                          </a:prstGeom>
                        </pic:spPr>
                      </pic:pic>
                    </a:graphicData>
                  </a:graphic>
                </wp:inline>
              </w:drawing>
            </w:r>
          </w:p>
          <w:p w14:paraId="1C1A6233">
            <w:pPr>
              <w:spacing w:line="460" w:lineRule="exact"/>
              <w:jc w:val="center"/>
              <w:rPr>
                <w:rFonts w:hint="default" w:ascii="Times New Roman" w:hAnsi="Times New Roman" w:cs="Times New Roman"/>
              </w:rPr>
            </w:pPr>
            <w:r>
              <w:rPr>
                <w:rFonts w:hint="default" w:ascii="Times New Roman" w:hAnsi="Times New Roman" w:cs="Times New Roman"/>
                <w:b/>
                <w:kern w:val="0"/>
                <w:sz w:val="21"/>
                <w:szCs w:val="22"/>
              </w:rPr>
              <w:t>图 2-</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图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2</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项目水平衡图t/d</w:t>
            </w:r>
          </w:p>
          <w:p w14:paraId="3B36087B">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2.2.9公用工程</w:t>
            </w:r>
          </w:p>
          <w:p w14:paraId="22F03B3D">
            <w:pPr>
              <w:pStyle w:val="45"/>
              <w:adjustRightInd w:val="0"/>
              <w:snapToGrid w:val="0"/>
              <w:ind w:firstLineChars="0"/>
              <w:rPr>
                <w:rFonts w:hint="default"/>
                <w:kern w:val="0"/>
                <w:szCs w:val="20"/>
              </w:rPr>
            </w:pPr>
            <w:r>
              <w:rPr>
                <w:rFonts w:hint="default"/>
                <w:kern w:val="0"/>
                <w:szCs w:val="20"/>
              </w:rPr>
              <w:t>1、给水工程</w:t>
            </w:r>
          </w:p>
          <w:p w14:paraId="751D63DB">
            <w:pPr>
              <w:pStyle w:val="45"/>
              <w:adjustRightInd w:val="0"/>
              <w:snapToGrid w:val="0"/>
              <w:ind w:firstLineChars="0"/>
              <w:rPr>
                <w:rFonts w:hint="default"/>
                <w:kern w:val="0"/>
                <w:szCs w:val="20"/>
              </w:rPr>
            </w:pPr>
            <w:r>
              <w:rPr>
                <w:rFonts w:hint="default"/>
                <w:kern w:val="0"/>
                <w:szCs w:val="20"/>
              </w:rPr>
              <w:t>本项目使用新鲜水量为8044t/a，由市政供水管网供给。</w:t>
            </w:r>
          </w:p>
          <w:p w14:paraId="038CBA74">
            <w:pPr>
              <w:pStyle w:val="45"/>
              <w:adjustRightInd w:val="0"/>
              <w:snapToGrid w:val="0"/>
              <w:ind w:firstLineChars="0"/>
              <w:rPr>
                <w:rFonts w:hint="default"/>
                <w:kern w:val="0"/>
                <w:szCs w:val="20"/>
              </w:rPr>
            </w:pPr>
            <w:r>
              <w:rPr>
                <w:rFonts w:hint="default"/>
                <w:kern w:val="0"/>
                <w:szCs w:val="20"/>
              </w:rPr>
              <w:t>2、排水工程</w:t>
            </w:r>
          </w:p>
          <w:p w14:paraId="48D9AB36">
            <w:pPr>
              <w:pStyle w:val="45"/>
              <w:adjustRightInd w:val="0"/>
              <w:snapToGrid w:val="0"/>
              <w:ind w:firstLineChars="0"/>
              <w:rPr>
                <w:rFonts w:hint="default"/>
                <w:kern w:val="0"/>
                <w:szCs w:val="20"/>
              </w:rPr>
            </w:pPr>
            <w:r>
              <w:rPr>
                <w:rFonts w:hint="default"/>
                <w:kern w:val="0"/>
                <w:szCs w:val="20"/>
              </w:rPr>
              <w:t>本项目排水系统采用雨污分流制。雨水排入市政雨水管网；设备清洗废液作为危废交由有资质单位处置；员工生活污水进入化粪池处理后经市政污水管网排入</w:t>
            </w:r>
            <w:r>
              <w:rPr>
                <w:rFonts w:hint="default" w:ascii="Times New Roman" w:hAnsi="Times New Roman" w:cs="Times New Roman"/>
                <w:kern w:val="0"/>
                <w:szCs w:val="20"/>
                <w:lang w:eastAsia="zh-CN"/>
              </w:rPr>
              <w:t>淮南首创八公山污水处理厂</w:t>
            </w:r>
            <w:r>
              <w:rPr>
                <w:rFonts w:hint="default"/>
                <w:kern w:val="0"/>
                <w:szCs w:val="20"/>
              </w:rPr>
              <w:t>，</w:t>
            </w:r>
            <w:r>
              <w:rPr>
                <w:rFonts w:hint="default" w:ascii="Times New Roman" w:hAnsi="Times New Roman" w:cs="Times New Roman"/>
                <w:bCs w:val="0"/>
                <w:snapToGrid/>
                <w:kern w:val="0"/>
                <w:szCs w:val="20"/>
                <w:shd w:val="clear"/>
              </w:rPr>
              <w:t>锅炉废水经新建排污口DW001依托园区污水管网排入</w:t>
            </w:r>
            <w:r>
              <w:rPr>
                <w:rFonts w:hint="default" w:ascii="Times New Roman" w:hAnsi="Times New Roman" w:cs="Times New Roman"/>
                <w:bCs w:val="0"/>
                <w:snapToGrid/>
                <w:kern w:val="0"/>
                <w:szCs w:val="20"/>
                <w:shd w:val="clear"/>
                <w:lang w:eastAsia="zh-CN"/>
              </w:rPr>
              <w:t>淮南首创八公山污水处理厂</w:t>
            </w:r>
            <w:r>
              <w:rPr>
                <w:rFonts w:hint="default"/>
                <w:bCs w:val="0"/>
                <w:snapToGrid/>
                <w:kern w:val="0"/>
                <w:szCs w:val="20"/>
                <w:shd w:val="clear"/>
              </w:rPr>
              <w:t>。</w:t>
            </w:r>
            <w:r>
              <w:rPr>
                <w:rFonts w:hint="default"/>
                <w:kern w:val="0"/>
                <w:szCs w:val="20"/>
                <w:lang w:bidi="ar"/>
              </w:rPr>
              <w:t>尾水经</w:t>
            </w:r>
            <w:r>
              <w:rPr>
                <w:rFonts w:hint="default" w:ascii="Times New Roman" w:hAnsi="Times New Roman" w:cs="Times New Roman"/>
                <w:kern w:val="0"/>
                <w:szCs w:val="20"/>
                <w:lang w:eastAsia="zh-CN" w:bidi="ar"/>
              </w:rPr>
              <w:t>淮南首创八公山污水处理厂</w:t>
            </w:r>
            <w:r>
              <w:rPr>
                <w:rFonts w:hint="default"/>
                <w:kern w:val="0"/>
                <w:szCs w:val="20"/>
                <w:lang w:bidi="ar"/>
              </w:rPr>
              <w:t>处理达《城镇污水处理厂污染物排放标准》（GB18918-2002）中一级A标准，最终排放到淮河。</w:t>
            </w:r>
          </w:p>
          <w:p w14:paraId="618A23DC">
            <w:pPr>
              <w:pStyle w:val="45"/>
              <w:adjustRightInd w:val="0"/>
              <w:snapToGrid w:val="0"/>
              <w:ind w:firstLineChars="0"/>
              <w:rPr>
                <w:rFonts w:hint="default"/>
                <w:kern w:val="0"/>
                <w:szCs w:val="20"/>
              </w:rPr>
            </w:pPr>
            <w:r>
              <w:rPr>
                <w:rFonts w:hint="default"/>
                <w:kern w:val="0"/>
                <w:szCs w:val="20"/>
              </w:rPr>
              <w:t>（3）供电工程</w:t>
            </w:r>
          </w:p>
          <w:p w14:paraId="0B8EA8AF">
            <w:pPr>
              <w:pStyle w:val="45"/>
              <w:adjustRightInd w:val="0"/>
              <w:snapToGrid w:val="0"/>
              <w:ind w:firstLineChars="0"/>
              <w:rPr>
                <w:rFonts w:hint="default"/>
                <w:kern w:val="0"/>
                <w:szCs w:val="20"/>
                <w:lang w:bidi="ar"/>
              </w:rPr>
            </w:pPr>
            <w:r>
              <w:rPr>
                <w:rFonts w:hint="default"/>
                <w:kern w:val="0"/>
                <w:szCs w:val="20"/>
                <w:lang w:bidi="ar"/>
              </w:rPr>
              <w:t>本项目用电由市政电网供电，能满足本项目生产和生活用电需求，用电量约为12万kw·h/a。</w:t>
            </w:r>
          </w:p>
          <w:p w14:paraId="7AE9FB6A">
            <w:pPr>
              <w:pStyle w:val="45"/>
              <w:adjustRightInd w:val="0"/>
              <w:snapToGrid w:val="0"/>
              <w:ind w:firstLineChars="0"/>
              <w:rPr>
                <w:rFonts w:hint="default"/>
                <w:kern w:val="0"/>
                <w:szCs w:val="20"/>
              </w:rPr>
            </w:pPr>
            <w:r>
              <w:rPr>
                <w:rFonts w:hint="default"/>
                <w:kern w:val="0"/>
                <w:szCs w:val="20"/>
              </w:rPr>
              <w:t>（4）供气</w:t>
            </w:r>
          </w:p>
          <w:p w14:paraId="7D5F1A66">
            <w:pPr>
              <w:pStyle w:val="45"/>
              <w:adjustRightInd w:val="0"/>
              <w:snapToGrid w:val="0"/>
              <w:ind w:firstLineChars="0"/>
              <w:rPr>
                <w:rFonts w:hint="default"/>
                <w:kern w:val="0"/>
                <w:szCs w:val="20"/>
              </w:rPr>
            </w:pPr>
            <w:r>
              <w:rPr>
                <w:rFonts w:hint="default"/>
                <w:kern w:val="0"/>
                <w:szCs w:val="20"/>
              </w:rPr>
              <w:t>本项目蒸汽锅炉使用天然气，由所在区域市政管网供气，天然气供应充足，可以满足项目所需。</w:t>
            </w:r>
          </w:p>
          <w:p w14:paraId="4484B5DD">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2.2.10 依托工程</w:t>
            </w:r>
          </w:p>
          <w:p w14:paraId="3241AE09">
            <w:pPr>
              <w:pStyle w:val="45"/>
              <w:ind w:firstLine="480"/>
              <w:rPr>
                <w:rFonts w:hint="default" w:ascii="Times New Roman" w:hAnsi="Times New Roman" w:cs="Times New Roman"/>
                <w:b/>
              </w:rPr>
            </w:pPr>
            <w:r>
              <w:rPr>
                <w:rFonts w:hint="default" w:ascii="Times New Roman" w:hAnsi="Times New Roman" w:cs="Times New Roman"/>
              </w:rPr>
              <w:t>本项目租赁现有已建成闲置厂房进行建设，建设活动在厂房内进行，不涉及土建施工，项目与安徽普特机械制造有限公司的依托关系和环保责任主体划分情况见下表。</w:t>
            </w:r>
          </w:p>
          <w:p w14:paraId="1CBE6571">
            <w:pPr>
              <w:pStyle w:val="44"/>
              <w:spacing w:before="156"/>
              <w:ind w:left="1440" w:hanging="480"/>
              <w:rPr>
                <w:rFonts w:hint="default" w:ascii="Times New Roman" w:hAnsi="Times New Roman" w:cs="Times New Roman"/>
              </w:rPr>
            </w:pPr>
            <w:r>
              <w:rPr>
                <w:rFonts w:hint="default" w:ascii="Times New Roman" w:hAnsi="Times New Roman" w:cs="Times New Roman"/>
              </w:rPr>
              <w:t>表2-12 项目主要基础设施、环保设施依托和环保责任表</w:t>
            </w:r>
          </w:p>
          <w:tbl>
            <w:tblPr>
              <w:tblStyle w:val="22"/>
              <w:tblpPr w:leftFromText="180" w:rightFromText="180" w:vertAnchor="text" w:tblpXSpec="center" w:tblpY="1"/>
              <w:tblOverlap w:val="never"/>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7"/>
              <w:gridCol w:w="1063"/>
              <w:gridCol w:w="4786"/>
              <w:gridCol w:w="1335"/>
            </w:tblGrid>
            <w:tr w14:paraId="40C92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102" w:type="pct"/>
                  <w:gridSpan w:val="2"/>
                  <w:vAlign w:val="center"/>
                </w:tcPr>
                <w:p w14:paraId="4F464F2E">
                  <w:pPr>
                    <w:pStyle w:val="29"/>
                    <w:rPr>
                      <w:b/>
                      <w:bCs/>
                      <w:sz w:val="21"/>
                      <w:szCs w:val="21"/>
                    </w:rPr>
                  </w:pPr>
                  <w:r>
                    <w:rPr>
                      <w:b/>
                      <w:bCs/>
                      <w:sz w:val="21"/>
                      <w:szCs w:val="21"/>
                    </w:rPr>
                    <w:t>主要措施</w:t>
                  </w:r>
                </w:p>
              </w:tc>
              <w:tc>
                <w:tcPr>
                  <w:tcW w:w="3047" w:type="pct"/>
                  <w:vAlign w:val="center"/>
                </w:tcPr>
                <w:p w14:paraId="57587B37">
                  <w:pPr>
                    <w:pStyle w:val="29"/>
                    <w:rPr>
                      <w:b/>
                      <w:bCs/>
                      <w:sz w:val="21"/>
                      <w:szCs w:val="21"/>
                    </w:rPr>
                  </w:pPr>
                  <w:r>
                    <w:rPr>
                      <w:b/>
                      <w:bCs/>
                      <w:sz w:val="21"/>
                      <w:szCs w:val="21"/>
                    </w:rPr>
                    <w:t>依托情况说明</w:t>
                  </w:r>
                </w:p>
              </w:tc>
              <w:tc>
                <w:tcPr>
                  <w:tcW w:w="850" w:type="pct"/>
                  <w:vAlign w:val="center"/>
                </w:tcPr>
                <w:p w14:paraId="787BCF35">
                  <w:pPr>
                    <w:pStyle w:val="29"/>
                    <w:rPr>
                      <w:b/>
                      <w:bCs/>
                      <w:sz w:val="21"/>
                      <w:szCs w:val="21"/>
                    </w:rPr>
                  </w:pPr>
                  <w:r>
                    <w:rPr>
                      <w:b/>
                      <w:bCs/>
                      <w:sz w:val="21"/>
                      <w:szCs w:val="21"/>
                    </w:rPr>
                    <w:t>环保责任表</w:t>
                  </w:r>
                </w:p>
              </w:tc>
            </w:tr>
            <w:tr w14:paraId="0D0B5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restart"/>
                  <w:vAlign w:val="center"/>
                </w:tcPr>
                <w:p w14:paraId="004905AA">
                  <w:pPr>
                    <w:pStyle w:val="29"/>
                    <w:rPr>
                      <w:sz w:val="21"/>
                      <w:szCs w:val="21"/>
                    </w:rPr>
                  </w:pPr>
                  <w:r>
                    <w:rPr>
                      <w:sz w:val="21"/>
                      <w:szCs w:val="21"/>
                    </w:rPr>
                    <w:t>基础设施</w:t>
                  </w:r>
                </w:p>
              </w:tc>
              <w:tc>
                <w:tcPr>
                  <w:tcW w:w="676" w:type="pct"/>
                  <w:vMerge w:val="restart"/>
                  <w:vAlign w:val="center"/>
                </w:tcPr>
                <w:p w14:paraId="0C6B0428">
                  <w:pPr>
                    <w:pStyle w:val="29"/>
                    <w:rPr>
                      <w:sz w:val="21"/>
                      <w:szCs w:val="21"/>
                    </w:rPr>
                  </w:pPr>
                  <w:r>
                    <w:rPr>
                      <w:sz w:val="21"/>
                      <w:szCs w:val="21"/>
                    </w:rPr>
                    <w:t>排水系统</w:t>
                  </w:r>
                </w:p>
              </w:tc>
              <w:tc>
                <w:tcPr>
                  <w:tcW w:w="3047" w:type="pct"/>
                  <w:vAlign w:val="center"/>
                </w:tcPr>
                <w:p w14:paraId="008B2B42">
                  <w:pPr>
                    <w:pStyle w:val="29"/>
                    <w:rPr>
                      <w:sz w:val="21"/>
                      <w:szCs w:val="21"/>
                    </w:rPr>
                  </w:pPr>
                  <w:r>
                    <w:rPr>
                      <w:sz w:val="21"/>
                      <w:szCs w:val="21"/>
                    </w:rPr>
                    <w:t>本项目实行雨污分流，依托现有化粪池和污水管网。</w:t>
                  </w:r>
                </w:p>
              </w:tc>
              <w:tc>
                <w:tcPr>
                  <w:tcW w:w="850" w:type="pct"/>
                  <w:vAlign w:val="center"/>
                </w:tcPr>
                <w:p w14:paraId="760731B8">
                  <w:pPr>
                    <w:pStyle w:val="29"/>
                    <w:rPr>
                      <w:sz w:val="21"/>
                      <w:szCs w:val="21"/>
                    </w:rPr>
                  </w:pPr>
                  <w:r>
                    <w:rPr>
                      <w:sz w:val="21"/>
                      <w:szCs w:val="21"/>
                    </w:rPr>
                    <w:t>园区负责</w:t>
                  </w:r>
                </w:p>
              </w:tc>
            </w:tr>
            <w:tr w14:paraId="0D244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08212128">
                  <w:pPr>
                    <w:pStyle w:val="29"/>
                    <w:rPr>
                      <w:sz w:val="21"/>
                      <w:szCs w:val="21"/>
                    </w:rPr>
                  </w:pPr>
                </w:p>
              </w:tc>
              <w:tc>
                <w:tcPr>
                  <w:tcW w:w="676" w:type="pct"/>
                  <w:vMerge w:val="continue"/>
                  <w:vAlign w:val="center"/>
                </w:tcPr>
                <w:p w14:paraId="7A01AD21">
                  <w:pPr>
                    <w:pStyle w:val="29"/>
                    <w:rPr>
                      <w:sz w:val="21"/>
                      <w:szCs w:val="21"/>
                    </w:rPr>
                  </w:pPr>
                </w:p>
              </w:tc>
              <w:tc>
                <w:tcPr>
                  <w:tcW w:w="3047" w:type="pct"/>
                  <w:vAlign w:val="center"/>
                </w:tcPr>
                <w:p w14:paraId="2D5BD4A2">
                  <w:pPr>
                    <w:pStyle w:val="29"/>
                    <w:rPr>
                      <w:sz w:val="21"/>
                      <w:szCs w:val="21"/>
                    </w:rPr>
                  </w:pPr>
                  <w:r>
                    <w:rPr>
                      <w:sz w:val="21"/>
                      <w:szCs w:val="21"/>
                    </w:rPr>
                    <w:t>新建污水排放口DW001</w:t>
                  </w:r>
                </w:p>
              </w:tc>
              <w:tc>
                <w:tcPr>
                  <w:tcW w:w="850" w:type="pct"/>
                  <w:vAlign w:val="center"/>
                </w:tcPr>
                <w:p w14:paraId="36F91841">
                  <w:pPr>
                    <w:pStyle w:val="29"/>
                    <w:rPr>
                      <w:sz w:val="21"/>
                      <w:szCs w:val="21"/>
                    </w:rPr>
                  </w:pPr>
                  <w:r>
                    <w:rPr>
                      <w:sz w:val="21"/>
                      <w:szCs w:val="21"/>
                    </w:rPr>
                    <w:t>本项目负责</w:t>
                  </w:r>
                </w:p>
              </w:tc>
            </w:tr>
            <w:tr w14:paraId="447A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42EF5EFF">
                  <w:pPr>
                    <w:pStyle w:val="29"/>
                    <w:rPr>
                      <w:sz w:val="21"/>
                      <w:szCs w:val="21"/>
                    </w:rPr>
                  </w:pPr>
                </w:p>
              </w:tc>
              <w:tc>
                <w:tcPr>
                  <w:tcW w:w="676" w:type="pct"/>
                  <w:vAlign w:val="center"/>
                </w:tcPr>
                <w:p w14:paraId="741C3965">
                  <w:pPr>
                    <w:pStyle w:val="29"/>
                    <w:rPr>
                      <w:sz w:val="21"/>
                      <w:szCs w:val="21"/>
                    </w:rPr>
                  </w:pPr>
                  <w:r>
                    <w:rPr>
                      <w:sz w:val="21"/>
                      <w:szCs w:val="21"/>
                    </w:rPr>
                    <w:t>供电工程</w:t>
                  </w:r>
                </w:p>
              </w:tc>
              <w:tc>
                <w:tcPr>
                  <w:tcW w:w="3047" w:type="pct"/>
                  <w:vAlign w:val="center"/>
                </w:tcPr>
                <w:p w14:paraId="79D2D2F2">
                  <w:pPr>
                    <w:pStyle w:val="29"/>
                    <w:rPr>
                      <w:sz w:val="21"/>
                      <w:szCs w:val="21"/>
                    </w:rPr>
                  </w:pPr>
                  <w:r>
                    <w:rPr>
                      <w:sz w:val="21"/>
                      <w:szCs w:val="21"/>
                    </w:rPr>
                    <w:t>依托安徽普特机械制造有限公司配套供电设施。</w:t>
                  </w:r>
                </w:p>
              </w:tc>
              <w:tc>
                <w:tcPr>
                  <w:tcW w:w="850" w:type="pct"/>
                  <w:vAlign w:val="center"/>
                </w:tcPr>
                <w:p w14:paraId="27F3867A">
                  <w:pPr>
                    <w:pStyle w:val="29"/>
                    <w:rPr>
                      <w:sz w:val="21"/>
                      <w:szCs w:val="21"/>
                    </w:rPr>
                  </w:pPr>
                  <w:r>
                    <w:rPr>
                      <w:sz w:val="21"/>
                      <w:szCs w:val="21"/>
                    </w:rPr>
                    <w:t>园区负责</w:t>
                  </w:r>
                </w:p>
              </w:tc>
            </w:tr>
            <w:tr w14:paraId="71C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3251F774">
                  <w:pPr>
                    <w:pStyle w:val="29"/>
                    <w:rPr>
                      <w:sz w:val="21"/>
                      <w:szCs w:val="21"/>
                    </w:rPr>
                  </w:pPr>
                </w:p>
              </w:tc>
              <w:tc>
                <w:tcPr>
                  <w:tcW w:w="676" w:type="pct"/>
                  <w:vAlign w:val="center"/>
                </w:tcPr>
                <w:p w14:paraId="0D8EE766">
                  <w:pPr>
                    <w:pStyle w:val="29"/>
                    <w:rPr>
                      <w:sz w:val="21"/>
                      <w:szCs w:val="21"/>
                    </w:rPr>
                  </w:pPr>
                  <w:r>
                    <w:rPr>
                      <w:sz w:val="21"/>
                      <w:szCs w:val="21"/>
                    </w:rPr>
                    <w:t>供气工程</w:t>
                  </w:r>
                </w:p>
              </w:tc>
              <w:tc>
                <w:tcPr>
                  <w:tcW w:w="3047" w:type="pct"/>
                  <w:vAlign w:val="center"/>
                </w:tcPr>
                <w:p w14:paraId="3E4FE7C1">
                  <w:pPr>
                    <w:pStyle w:val="29"/>
                    <w:rPr>
                      <w:sz w:val="21"/>
                      <w:szCs w:val="21"/>
                    </w:rPr>
                  </w:pPr>
                  <w:r>
                    <w:rPr>
                      <w:sz w:val="21"/>
                      <w:szCs w:val="21"/>
                    </w:rPr>
                    <w:t>依托安徽普特机械制造有限公司配套供气设施。</w:t>
                  </w:r>
                </w:p>
              </w:tc>
              <w:tc>
                <w:tcPr>
                  <w:tcW w:w="850" w:type="pct"/>
                  <w:vAlign w:val="center"/>
                </w:tcPr>
                <w:p w14:paraId="1A7ABDB1">
                  <w:pPr>
                    <w:pStyle w:val="29"/>
                    <w:rPr>
                      <w:sz w:val="21"/>
                      <w:szCs w:val="21"/>
                    </w:rPr>
                  </w:pPr>
                  <w:r>
                    <w:rPr>
                      <w:sz w:val="21"/>
                      <w:szCs w:val="21"/>
                    </w:rPr>
                    <w:t>园区负责</w:t>
                  </w:r>
                </w:p>
              </w:tc>
            </w:tr>
            <w:tr w14:paraId="0F6C7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restart"/>
                  <w:vAlign w:val="center"/>
                </w:tcPr>
                <w:p w14:paraId="399BF1DE">
                  <w:pPr>
                    <w:pStyle w:val="29"/>
                    <w:rPr>
                      <w:sz w:val="21"/>
                      <w:szCs w:val="21"/>
                    </w:rPr>
                  </w:pPr>
                  <w:r>
                    <w:rPr>
                      <w:sz w:val="21"/>
                      <w:szCs w:val="21"/>
                    </w:rPr>
                    <w:t>环保设施</w:t>
                  </w:r>
                </w:p>
              </w:tc>
              <w:tc>
                <w:tcPr>
                  <w:tcW w:w="676" w:type="pct"/>
                  <w:vAlign w:val="center"/>
                </w:tcPr>
                <w:p w14:paraId="2E9A92EA">
                  <w:pPr>
                    <w:pStyle w:val="29"/>
                    <w:rPr>
                      <w:sz w:val="21"/>
                      <w:szCs w:val="21"/>
                    </w:rPr>
                  </w:pPr>
                  <w:r>
                    <w:rPr>
                      <w:sz w:val="21"/>
                      <w:szCs w:val="21"/>
                    </w:rPr>
                    <w:t>污水处理</w:t>
                  </w:r>
                </w:p>
              </w:tc>
              <w:tc>
                <w:tcPr>
                  <w:tcW w:w="3047" w:type="pct"/>
                  <w:vAlign w:val="center"/>
                </w:tcPr>
                <w:p w14:paraId="7B02D67F">
                  <w:pPr>
                    <w:pStyle w:val="29"/>
                    <w:rPr>
                      <w:sz w:val="21"/>
                      <w:szCs w:val="21"/>
                    </w:rPr>
                  </w:pPr>
                  <w:r>
                    <w:rPr>
                      <w:sz w:val="21"/>
                      <w:szCs w:val="21"/>
                    </w:rPr>
                    <w:t>生活污水依托安徽普特机械制造有限公司现有化粪池，依托可行。</w:t>
                  </w:r>
                </w:p>
              </w:tc>
              <w:tc>
                <w:tcPr>
                  <w:tcW w:w="850" w:type="pct"/>
                  <w:vAlign w:val="center"/>
                </w:tcPr>
                <w:p w14:paraId="36EBCEE2">
                  <w:pPr>
                    <w:pStyle w:val="29"/>
                    <w:rPr>
                      <w:sz w:val="21"/>
                      <w:szCs w:val="21"/>
                    </w:rPr>
                  </w:pPr>
                  <w:r>
                    <w:rPr>
                      <w:sz w:val="21"/>
                      <w:szCs w:val="21"/>
                    </w:rPr>
                    <w:t>本项目负责</w:t>
                  </w:r>
                </w:p>
              </w:tc>
            </w:tr>
            <w:tr w14:paraId="10D6E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4FA88997">
                  <w:pPr>
                    <w:pStyle w:val="29"/>
                    <w:rPr>
                      <w:sz w:val="21"/>
                      <w:szCs w:val="21"/>
                    </w:rPr>
                  </w:pPr>
                </w:p>
              </w:tc>
              <w:tc>
                <w:tcPr>
                  <w:tcW w:w="676" w:type="pct"/>
                  <w:vAlign w:val="center"/>
                </w:tcPr>
                <w:p w14:paraId="0FB3344F">
                  <w:pPr>
                    <w:pStyle w:val="29"/>
                    <w:rPr>
                      <w:sz w:val="21"/>
                      <w:szCs w:val="21"/>
                    </w:rPr>
                  </w:pPr>
                  <w:r>
                    <w:rPr>
                      <w:sz w:val="21"/>
                      <w:szCs w:val="21"/>
                    </w:rPr>
                    <w:t>生产废气</w:t>
                  </w:r>
                </w:p>
              </w:tc>
              <w:tc>
                <w:tcPr>
                  <w:tcW w:w="3047" w:type="pct"/>
                  <w:vAlign w:val="center"/>
                </w:tcPr>
                <w:p w14:paraId="68EA74FE">
                  <w:pPr>
                    <w:pStyle w:val="29"/>
                    <w:rPr>
                      <w:sz w:val="21"/>
                      <w:szCs w:val="21"/>
                    </w:rPr>
                  </w:pPr>
                  <w:r>
                    <w:rPr>
                      <w:sz w:val="21"/>
                      <w:szCs w:val="21"/>
                    </w:rPr>
                    <w:t>本项目自行建设独立的废气处理系统和排气筒。</w:t>
                  </w:r>
                </w:p>
              </w:tc>
              <w:tc>
                <w:tcPr>
                  <w:tcW w:w="850" w:type="pct"/>
                  <w:vAlign w:val="center"/>
                </w:tcPr>
                <w:p w14:paraId="05971A41">
                  <w:pPr>
                    <w:pStyle w:val="29"/>
                    <w:rPr>
                      <w:sz w:val="21"/>
                      <w:szCs w:val="21"/>
                    </w:rPr>
                  </w:pPr>
                  <w:r>
                    <w:rPr>
                      <w:sz w:val="21"/>
                      <w:szCs w:val="21"/>
                    </w:rPr>
                    <w:t>本项目负责</w:t>
                  </w:r>
                </w:p>
              </w:tc>
            </w:tr>
            <w:tr w14:paraId="473D9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200C0CEF">
                  <w:pPr>
                    <w:pStyle w:val="29"/>
                    <w:rPr>
                      <w:sz w:val="21"/>
                      <w:szCs w:val="21"/>
                    </w:rPr>
                  </w:pPr>
                </w:p>
              </w:tc>
              <w:tc>
                <w:tcPr>
                  <w:tcW w:w="676" w:type="pct"/>
                  <w:vAlign w:val="center"/>
                </w:tcPr>
                <w:p w14:paraId="0958EB05">
                  <w:pPr>
                    <w:pStyle w:val="29"/>
                    <w:rPr>
                      <w:sz w:val="21"/>
                      <w:szCs w:val="21"/>
                    </w:rPr>
                  </w:pPr>
                  <w:r>
                    <w:rPr>
                      <w:sz w:val="21"/>
                      <w:szCs w:val="21"/>
                    </w:rPr>
                    <w:t>噪声</w:t>
                  </w:r>
                </w:p>
              </w:tc>
              <w:tc>
                <w:tcPr>
                  <w:tcW w:w="3047" w:type="pct"/>
                  <w:vAlign w:val="center"/>
                </w:tcPr>
                <w:p w14:paraId="333CC927">
                  <w:pPr>
                    <w:pStyle w:val="29"/>
                    <w:rPr>
                      <w:sz w:val="21"/>
                      <w:szCs w:val="21"/>
                    </w:rPr>
                  </w:pPr>
                  <w:r>
                    <w:rPr>
                      <w:sz w:val="21"/>
                      <w:szCs w:val="21"/>
                    </w:rPr>
                    <w:t>选用低噪声设备，安装减振垫，加强设备养护，合理布局，厂房隔声。</w:t>
                  </w:r>
                </w:p>
              </w:tc>
              <w:tc>
                <w:tcPr>
                  <w:tcW w:w="850" w:type="pct"/>
                  <w:vAlign w:val="center"/>
                </w:tcPr>
                <w:p w14:paraId="3DFDA8B2">
                  <w:pPr>
                    <w:pStyle w:val="29"/>
                    <w:rPr>
                      <w:sz w:val="21"/>
                      <w:szCs w:val="21"/>
                    </w:rPr>
                  </w:pPr>
                  <w:r>
                    <w:rPr>
                      <w:sz w:val="21"/>
                      <w:szCs w:val="21"/>
                    </w:rPr>
                    <w:t>本项目负责</w:t>
                  </w:r>
                </w:p>
              </w:tc>
            </w:tr>
            <w:tr w14:paraId="35DA2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Merge w:val="continue"/>
                  <w:vAlign w:val="center"/>
                </w:tcPr>
                <w:p w14:paraId="201AB654">
                  <w:pPr>
                    <w:pStyle w:val="29"/>
                    <w:rPr>
                      <w:sz w:val="21"/>
                      <w:szCs w:val="21"/>
                    </w:rPr>
                  </w:pPr>
                </w:p>
              </w:tc>
              <w:tc>
                <w:tcPr>
                  <w:tcW w:w="676" w:type="pct"/>
                  <w:vAlign w:val="center"/>
                </w:tcPr>
                <w:p w14:paraId="3BD187E9">
                  <w:pPr>
                    <w:pStyle w:val="29"/>
                    <w:rPr>
                      <w:sz w:val="21"/>
                      <w:szCs w:val="21"/>
                    </w:rPr>
                  </w:pPr>
                  <w:r>
                    <w:rPr>
                      <w:sz w:val="21"/>
                      <w:szCs w:val="21"/>
                    </w:rPr>
                    <w:t>固废</w:t>
                  </w:r>
                </w:p>
              </w:tc>
              <w:tc>
                <w:tcPr>
                  <w:tcW w:w="3047" w:type="pct"/>
                  <w:vAlign w:val="center"/>
                </w:tcPr>
                <w:p w14:paraId="7057D5DA">
                  <w:pPr>
                    <w:pStyle w:val="29"/>
                    <w:rPr>
                      <w:sz w:val="21"/>
                      <w:szCs w:val="21"/>
                    </w:rPr>
                  </w:pPr>
                  <w:r>
                    <w:rPr>
                      <w:sz w:val="21"/>
                      <w:szCs w:val="21"/>
                    </w:rPr>
                    <w:t>项目自行建设一般固废间、危废间等妥善处理固废。</w:t>
                  </w:r>
                </w:p>
              </w:tc>
              <w:tc>
                <w:tcPr>
                  <w:tcW w:w="850" w:type="pct"/>
                  <w:vAlign w:val="center"/>
                </w:tcPr>
                <w:p w14:paraId="74B3EEB9">
                  <w:pPr>
                    <w:pStyle w:val="29"/>
                    <w:rPr>
                      <w:sz w:val="21"/>
                      <w:szCs w:val="21"/>
                    </w:rPr>
                  </w:pPr>
                  <w:r>
                    <w:rPr>
                      <w:sz w:val="21"/>
                      <w:szCs w:val="21"/>
                    </w:rPr>
                    <w:t>本项目负责</w:t>
                  </w:r>
                </w:p>
              </w:tc>
            </w:tr>
            <w:tr w14:paraId="7F66F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25" w:type="pct"/>
                  <w:vAlign w:val="center"/>
                </w:tcPr>
                <w:p w14:paraId="0D8AAA35">
                  <w:pPr>
                    <w:pStyle w:val="29"/>
                    <w:rPr>
                      <w:sz w:val="21"/>
                      <w:szCs w:val="21"/>
                    </w:rPr>
                  </w:pPr>
                  <w:r>
                    <w:rPr>
                      <w:sz w:val="21"/>
                      <w:szCs w:val="21"/>
                    </w:rPr>
                    <w:t>环境风险</w:t>
                  </w:r>
                </w:p>
              </w:tc>
              <w:tc>
                <w:tcPr>
                  <w:tcW w:w="676" w:type="pct"/>
                  <w:vAlign w:val="center"/>
                </w:tcPr>
                <w:p w14:paraId="1BB06310">
                  <w:pPr>
                    <w:pStyle w:val="29"/>
                    <w:rPr>
                      <w:sz w:val="21"/>
                      <w:szCs w:val="21"/>
                    </w:rPr>
                  </w:pPr>
                  <w:r>
                    <w:rPr>
                      <w:sz w:val="21"/>
                      <w:szCs w:val="21"/>
                    </w:rPr>
                    <w:t>事故应急池</w:t>
                  </w:r>
                </w:p>
              </w:tc>
              <w:tc>
                <w:tcPr>
                  <w:tcW w:w="3047" w:type="pct"/>
                  <w:vAlign w:val="center"/>
                </w:tcPr>
                <w:p w14:paraId="58D50BF1">
                  <w:pPr>
                    <w:pStyle w:val="29"/>
                    <w:rPr>
                      <w:sz w:val="21"/>
                      <w:szCs w:val="21"/>
                    </w:rPr>
                  </w:pPr>
                  <w:r>
                    <w:rPr>
                      <w:sz w:val="21"/>
                      <w:szCs w:val="21"/>
                    </w:rPr>
                    <w:t>本项目依托普特机械现有应急事故池1座，容积250m</w:t>
                  </w:r>
                  <w:r>
                    <w:rPr>
                      <w:sz w:val="21"/>
                      <w:szCs w:val="21"/>
                      <w:vertAlign w:val="superscript"/>
                    </w:rPr>
                    <w:t>3</w:t>
                  </w:r>
                  <w:r>
                    <w:rPr>
                      <w:sz w:val="21"/>
                      <w:szCs w:val="21"/>
                    </w:rPr>
                    <w:t>。</w:t>
                  </w:r>
                </w:p>
              </w:tc>
              <w:tc>
                <w:tcPr>
                  <w:tcW w:w="850" w:type="pct"/>
                  <w:vAlign w:val="center"/>
                </w:tcPr>
                <w:p w14:paraId="0038000F">
                  <w:pPr>
                    <w:pStyle w:val="29"/>
                    <w:rPr>
                      <w:sz w:val="21"/>
                      <w:szCs w:val="21"/>
                    </w:rPr>
                  </w:pPr>
                  <w:r>
                    <w:rPr>
                      <w:sz w:val="21"/>
                      <w:szCs w:val="21"/>
                    </w:rPr>
                    <w:t>园区负责</w:t>
                  </w:r>
                </w:p>
              </w:tc>
            </w:tr>
          </w:tbl>
          <w:p w14:paraId="7DA3A418">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2.2.11项目平面布置合理性分析</w:t>
            </w:r>
          </w:p>
          <w:p w14:paraId="09DB201D">
            <w:pPr>
              <w:pStyle w:val="45"/>
              <w:ind w:firstLine="480"/>
              <w:rPr>
                <w:rFonts w:hint="default" w:ascii="Times New Roman" w:hAnsi="Times New Roman" w:cs="Times New Roman"/>
              </w:rPr>
            </w:pPr>
            <w:r>
              <w:rPr>
                <w:rFonts w:hint="default" w:ascii="Times New Roman" w:hAnsi="Times New Roman" w:cs="Times New Roman"/>
              </w:rPr>
              <w:t>根据本项目生产性质及建设规模，并结合场地自然条件及现状进行总平面布置。在满足工业生产用地的前提下，统筹考虑物料运输、环境保护、安全卫生及消防等方面的用地需要。力求总图布局合理，运输线路短捷、顺畅。建构筑物外形协调整齐，通道宽度适中，为自然通风、采光、排水、卫生、绿化等布置创造条件。</w:t>
            </w:r>
          </w:p>
          <w:p w14:paraId="366BA186">
            <w:pPr>
              <w:ind w:firstLine="480" w:firstLineChars="200"/>
              <w:rPr>
                <w:rFonts w:hint="default" w:ascii="Times New Roman" w:hAnsi="Times New Roman" w:cs="Times New Roman"/>
              </w:rPr>
            </w:pPr>
            <w:r>
              <w:rPr>
                <w:rFonts w:hint="default" w:ascii="Times New Roman" w:hAnsi="Times New Roman" w:cs="Times New Roman"/>
              </w:rPr>
              <w:t>项目位于淮南市谢家集区李郢孜镇经济开发区经五路与卧园路交叉口向西50米，租赁厂房总建筑面积约6000m</w:t>
            </w:r>
            <w:r>
              <w:rPr>
                <w:rFonts w:hint="default" w:ascii="Times New Roman" w:hAnsi="Times New Roman" w:cs="Times New Roman"/>
                <w:vertAlign w:val="superscript"/>
              </w:rPr>
              <w:t>2</w:t>
            </w:r>
            <w:r>
              <w:rPr>
                <w:rFonts w:hint="default" w:ascii="Times New Roman" w:hAnsi="Times New Roman" w:cs="Times New Roman"/>
              </w:rPr>
              <w:t>。本项目车间内西北侧为制胶区和原纸库，西南侧布置瓦楞纸板生产线，东南侧中部布置印刷生产线。东侧为成品库。厂房内基本上按照“合理分区、工艺流程、物流短接”的原则，结合生产工艺，综合考虑环保等要求。企业在功能单元方面，做到了功能完整、分区合理明确，有利于提高企业生产效率和环境管理可操作性。车间东西南北四侧均设有出入口，交通运输方便。从环境保护角度分析，本项目平面布置合理。具体平面布置详见附图3。</w:t>
            </w:r>
          </w:p>
          <w:p w14:paraId="5A2052DE">
            <w:pPr>
              <w:pStyle w:val="2"/>
              <w:jc w:val="center"/>
              <w:outlineLvl w:val="2"/>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63360" behindDoc="0" locked="0" layoutInCell="1" allowOverlap="1">
                  <wp:simplePos x="0" y="0"/>
                  <wp:positionH relativeFrom="column">
                    <wp:posOffset>0</wp:posOffset>
                  </wp:positionH>
                  <wp:positionV relativeFrom="paragraph">
                    <wp:posOffset>256540</wp:posOffset>
                  </wp:positionV>
                  <wp:extent cx="5064125" cy="3574415"/>
                  <wp:effectExtent l="19050" t="19050" r="22225" b="26035"/>
                  <wp:wrapTopAndBottom/>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28"/>
                          <a:stretch>
                            <a:fillRect/>
                          </a:stretch>
                        </pic:blipFill>
                        <pic:spPr>
                          <a:xfrm>
                            <a:off x="0" y="0"/>
                            <a:ext cx="5064125" cy="3574415"/>
                          </a:xfrm>
                          <a:prstGeom prst="rect">
                            <a:avLst/>
                          </a:prstGeom>
                          <a:noFill/>
                          <a:ln>
                            <a:solidFill>
                              <a:schemeClr val="tx1"/>
                            </a:solidFill>
                          </a:ln>
                        </pic:spPr>
                      </pic:pic>
                    </a:graphicData>
                  </a:graphic>
                </wp:anchor>
              </w:drawing>
            </w:r>
            <w:r>
              <w:rPr>
                <w:rFonts w:hint="default" w:ascii="Times New Roman" w:hAnsi="Times New Roman" w:cs="Times New Roman"/>
                <w:kern w:val="0"/>
                <w:sz w:val="21"/>
                <w:szCs w:val="22"/>
              </w:rPr>
              <w:t>图 2-3 厂区平面布置图</w:t>
            </w:r>
          </w:p>
        </w:tc>
      </w:tr>
      <w:tr w14:paraId="594DC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9" w:hRule="atLeast"/>
          <w:jc w:val="center"/>
        </w:trPr>
        <w:tc>
          <w:tcPr>
            <w:tcW w:w="442" w:type="dxa"/>
            <w:vAlign w:val="center"/>
          </w:tcPr>
          <w:p w14:paraId="21671346">
            <w:pPr>
              <w:overflowPunct w:val="0"/>
              <w:autoSpaceDE w:val="0"/>
              <w:autoSpaceDN w:val="0"/>
              <w:rPr>
                <w:rFonts w:hint="default" w:ascii="Times New Roman" w:hAnsi="Times New Roman" w:cs="Times New Roman"/>
              </w:rPr>
            </w:pPr>
            <w:r>
              <w:rPr>
                <w:rFonts w:hint="default" w:ascii="Times New Roman" w:hAnsi="Times New Roman" w:cs="Times New Roman"/>
              </w:rPr>
              <w:t>工艺流程和产排污环节</w:t>
            </w:r>
          </w:p>
        </w:tc>
        <w:tc>
          <w:tcPr>
            <w:tcW w:w="8080" w:type="dxa"/>
          </w:tcPr>
          <w:p w14:paraId="0A5B2A7E">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2.3工艺流程和产排污环节</w:t>
            </w:r>
          </w:p>
          <w:p w14:paraId="6679D0E1">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2.3.1施工期</w:t>
            </w:r>
          </w:p>
          <w:p w14:paraId="6A4F2EEA">
            <w:pPr>
              <w:pStyle w:val="30"/>
              <w:rPr>
                <w:rFonts w:hint="default" w:ascii="Times New Roman" w:hAnsi="Times New Roman" w:cs="Times New Roman"/>
              </w:rPr>
            </w:pPr>
            <w:r>
              <w:rPr>
                <w:rFonts w:hint="default" w:ascii="Times New Roman" w:hAnsi="Times New Roman" w:cs="Times New Roman"/>
              </w:rPr>
              <w:t>本项目租用安徽普特机械制造有限公司现有闲置厂房实施建设，施工期主要为生产设备安装调试，无土方开挖、结构等施工期作业。</w:t>
            </w:r>
          </w:p>
          <w:p w14:paraId="7AC7A56A">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2.3.2营运期</w:t>
            </w:r>
          </w:p>
          <w:p w14:paraId="5821CE9D">
            <w:pPr>
              <w:pStyle w:val="30"/>
              <w:rPr>
                <w:rFonts w:hint="default" w:ascii="Times New Roman" w:hAnsi="Times New Roman" w:cs="Times New Roman"/>
              </w:rPr>
            </w:pPr>
            <w:r>
              <w:rPr>
                <w:rFonts w:hint="default" w:ascii="Times New Roman" w:hAnsi="Times New Roman" w:cs="Times New Roman"/>
              </w:rPr>
              <w:t>本项目纸箱生产工艺流程及产排污环节如下图所示。</w:t>
            </w:r>
          </w:p>
          <w:p w14:paraId="240047A9">
            <w:pPr>
              <w:pStyle w:val="30"/>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027295" cy="6049010"/>
                  <wp:effectExtent l="0" t="0" r="0" b="0"/>
                  <wp:docPr id="16" name="图片 16" descr="纸箱厂工艺流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纸箱厂工艺流程1"/>
                          <pic:cNvPicPr>
                            <a:picLocks noChangeAspect="1"/>
                          </pic:cNvPicPr>
                        </pic:nvPicPr>
                        <pic:blipFill>
                          <a:blip r:embed="rId29"/>
                          <a:srcRect l="-51" t="9678" r="-661" b="4641"/>
                          <a:stretch>
                            <a:fillRect/>
                          </a:stretch>
                        </pic:blipFill>
                        <pic:spPr>
                          <a:xfrm>
                            <a:off x="0" y="0"/>
                            <a:ext cx="5027295" cy="6049010"/>
                          </a:xfrm>
                          <a:prstGeom prst="rect">
                            <a:avLst/>
                          </a:prstGeom>
                        </pic:spPr>
                      </pic:pic>
                    </a:graphicData>
                  </a:graphic>
                </wp:inline>
              </w:drawing>
            </w:r>
          </w:p>
          <w:p w14:paraId="07CCC54D">
            <w:pPr>
              <w:spacing w:line="460" w:lineRule="exact"/>
              <w:jc w:val="both"/>
              <w:rPr>
                <w:rFonts w:hint="default" w:ascii="Times New Roman" w:hAnsi="Times New Roman" w:cs="Times New Roman"/>
                <w:b/>
                <w:kern w:val="0"/>
                <w:sz w:val="21"/>
                <w:szCs w:val="22"/>
              </w:rPr>
            </w:pPr>
            <w:r>
              <w:rPr>
                <w:rFonts w:hint="default" w:ascii="Times New Roman" w:hAnsi="Times New Roman" w:cs="Times New Roman"/>
                <w:b/>
                <w:kern w:val="0"/>
                <w:sz w:val="21"/>
                <w:szCs w:val="22"/>
              </w:rPr>
              <w:t>备注：噪声伴随生产工艺全过程。</w:t>
            </w:r>
          </w:p>
          <w:p w14:paraId="39C9E414">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图 2-</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图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3</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项目运营期工艺流程及产污环节</w:t>
            </w:r>
          </w:p>
          <w:p w14:paraId="113FAA43">
            <w:pPr>
              <w:pStyle w:val="45"/>
              <w:ind w:firstLine="480"/>
              <w:rPr>
                <w:rFonts w:hint="default" w:ascii="Times New Roman" w:hAnsi="Times New Roman" w:cs="Times New Roman"/>
              </w:rPr>
            </w:pPr>
            <w:r>
              <w:rPr>
                <w:rFonts w:hint="default" w:ascii="Times New Roman" w:hAnsi="Times New Roman" w:cs="Times New Roman"/>
              </w:rPr>
              <w:t>工艺流程简述：</w:t>
            </w:r>
          </w:p>
          <w:p w14:paraId="52737B65">
            <w:pPr>
              <w:pStyle w:val="45"/>
              <w:ind w:firstLine="480"/>
              <w:rPr>
                <w:rFonts w:hint="default" w:ascii="Times New Roman" w:hAnsi="Times New Roman" w:cs="Times New Roman"/>
              </w:rPr>
            </w:pPr>
            <w:r>
              <w:rPr>
                <w:rFonts w:hint="default" w:ascii="Times New Roman" w:hAnsi="Times New Roman" w:cs="Times New Roman"/>
              </w:rPr>
              <w:t>（1）制胶:项目粘合工序使用的胶水为自制的玉米淀粉胶，在制胶过程中采用封闭的制胶系统，少量搅拌机清洗废水全部回用于制胶过程，无废水外排。</w:t>
            </w:r>
          </w:p>
          <w:p w14:paraId="3351AE3B">
            <w:pPr>
              <w:pStyle w:val="45"/>
              <w:ind w:firstLine="480"/>
              <w:rPr>
                <w:rFonts w:hint="default" w:ascii="Times New Roman" w:hAnsi="Times New Roman" w:cs="Times New Roman"/>
              </w:rPr>
            </w:pPr>
            <w:r>
              <w:rPr>
                <w:rFonts w:hint="default" w:ascii="Times New Roman" w:hAnsi="Times New Roman" w:cs="Times New Roman"/>
              </w:rPr>
              <w:t>（2）玉米淀粉胶的配制:按照玉米淀粉19.5%、水80%的比例进行调配，同时添加0.2%片碱、0.3%硼砂。制胶过程采用人工投料，用抽粉机将原料吸入桶内，再由人工倒入制胶机料斗内，制胶机设备内的叶轮开始高速旋转，叶轮的高速旋转使搅拌槽内的料浆呈现滚动的环流，使料浆充分混合和分散后得到玉米淀粉胶。整个制胶过程是一个物理的混合过程，不发生化学反应，不含有机溶剂。制胶过程产生少量G1粉尘。</w:t>
            </w:r>
          </w:p>
          <w:p w14:paraId="5F95CD6C">
            <w:pPr>
              <w:pStyle w:val="45"/>
              <w:ind w:firstLine="480"/>
              <w:rPr>
                <w:rFonts w:hint="default" w:ascii="Times New Roman" w:hAnsi="Times New Roman" w:cs="Times New Roman"/>
              </w:rPr>
            </w:pPr>
            <w:r>
              <w:rPr>
                <w:rFonts w:hint="default" w:ascii="Times New Roman" w:hAnsi="Times New Roman" w:cs="Times New Roman"/>
              </w:rPr>
              <w:t>（3）开卷:原纸运至生产车间内瓦楞生产线的上料轨道，人工开卷，并将外面几圈有破损的原纸撕掉。开卷过程中会产生S1边角料，主要为废纸。</w:t>
            </w:r>
          </w:p>
          <w:p w14:paraId="10F686B9">
            <w:pPr>
              <w:pStyle w:val="45"/>
              <w:ind w:firstLine="480"/>
              <w:rPr>
                <w:rFonts w:hint="default" w:ascii="Times New Roman" w:hAnsi="Times New Roman" w:cs="Times New Roman"/>
              </w:rPr>
            </w:pPr>
            <w:r>
              <w:rPr>
                <w:rFonts w:hint="default" w:ascii="Times New Roman" w:hAnsi="Times New Roman" w:cs="Times New Roman"/>
              </w:rPr>
              <w:t>（4）预热:将卷筒瓦楞芯纸固定在退纸架上，以一定的速度输送至预热板进行预热，预热板通过蒸汽间接加热，预热温度为140℃，预热时间约10min。</w:t>
            </w:r>
          </w:p>
          <w:p w14:paraId="5C9B1C8E">
            <w:pPr>
              <w:pStyle w:val="45"/>
              <w:ind w:firstLine="480"/>
              <w:rPr>
                <w:rFonts w:hint="default" w:ascii="Times New Roman" w:hAnsi="Times New Roman" w:cs="Times New Roman"/>
              </w:rPr>
            </w:pPr>
            <w:r>
              <w:rPr>
                <w:rFonts w:hint="default" w:ascii="Times New Roman" w:hAnsi="Times New Roman" w:cs="Times New Roman"/>
              </w:rPr>
              <w:t>（5）压楞：预热后的瓦楞原纸进入瓦楞机。瓦楞原纸通过瓦楞机的上、下两支瓦楞辊相互咬齿运转。压楞成型时必须在上瓦楞辊上施加一定压力，施压的同时，设备进行蒸汽间接加热，使瓦楞原纸在瓦楞辊的热压状态下压楞折叠，制成瓦楞芯纸的楞形（即波浪线）。</w:t>
            </w:r>
          </w:p>
          <w:p w14:paraId="45A35A03">
            <w:pPr>
              <w:pStyle w:val="45"/>
              <w:ind w:firstLine="480"/>
              <w:rPr>
                <w:rFonts w:hint="default" w:ascii="Times New Roman" w:hAnsi="Times New Roman" w:cs="Times New Roman"/>
              </w:rPr>
            </w:pPr>
            <w:r>
              <w:rPr>
                <w:rFonts w:hint="default" w:ascii="Times New Roman" w:hAnsi="Times New Roman" w:cs="Times New Roman"/>
              </w:rPr>
              <w:t>（6）粘合：产品外表面为牛皮箱板纸，中间为瓦楞芯纸，各瓦楞原纸层、牛卡纸之间的粘合采用淀粉胶，用多张瓦楞原纸在全自动瓦楞纸板生产线上生产厚纸板，经多次粘合后形成客户所要求的厚度。瓦楞原纸经过压楞折叠成型后，由传递装置将其送入上胶环节，由瓦楞机上的涂胶辊均匀对其涂上玉米淀粉胶，然后进行粘贴复合。两层复合时由下瓦楞辊与压力辊之间的运转，并通过相应压力，形成复合瓦楞纸板。根据产品需要进行粘合，三层纸板即一层牛皮箱板纸和两层瓦楞芯纸进行粘合，两层纸板即一层瓦楞芯纸和牛皮箱板纸进行粘合。</w:t>
            </w:r>
          </w:p>
          <w:p w14:paraId="26C10A8B">
            <w:pPr>
              <w:pStyle w:val="45"/>
              <w:ind w:firstLine="480"/>
              <w:rPr>
                <w:rFonts w:hint="default" w:ascii="Times New Roman" w:hAnsi="Times New Roman" w:cs="Times New Roman"/>
              </w:rPr>
            </w:pPr>
            <w:r>
              <w:rPr>
                <w:rFonts w:hint="default" w:ascii="Times New Roman" w:hAnsi="Times New Roman" w:cs="Times New Roman"/>
              </w:rPr>
              <w:t>（7）烘压、定型：经上胶粘合过后的纸板需在140°C下进行固化，使之复合成型，固化采用蒸汽间接加热。有利于纸板粘合成型。</w:t>
            </w:r>
          </w:p>
          <w:p w14:paraId="56BE4E16">
            <w:pPr>
              <w:pStyle w:val="45"/>
              <w:ind w:firstLine="480"/>
              <w:rPr>
                <w:rFonts w:hint="default" w:ascii="Times New Roman" w:hAnsi="Times New Roman" w:cs="Times New Roman"/>
              </w:rPr>
            </w:pPr>
            <w:r>
              <w:rPr>
                <w:rFonts w:hint="default" w:ascii="Times New Roman" w:hAnsi="Times New Roman" w:cs="Times New Roman"/>
              </w:rPr>
              <w:t>（8）切割：成型的纸板经冷却后进入纵横切机，根据客户订单的不同规格尺寸进行压线、裁切成片，该工序会产生废纸板S2。</w:t>
            </w:r>
          </w:p>
          <w:p w14:paraId="5DC688CB">
            <w:pPr>
              <w:pStyle w:val="45"/>
              <w:ind w:firstLine="480"/>
              <w:rPr>
                <w:rFonts w:hint="default" w:ascii="Times New Roman" w:hAnsi="Times New Roman" w:cs="Times New Roman"/>
              </w:rPr>
            </w:pPr>
            <w:r>
              <w:rPr>
                <w:rFonts w:hint="default" w:ascii="Times New Roman" w:hAnsi="Times New Roman" w:cs="Times New Roman"/>
              </w:rPr>
              <w:t>（9）印刷、开槽、模切:部分纸箱形状比较规整的通过印刷机、模切一体机进行印刷加工。项目水墨印刷使用的水性油墨为成品油墨，不需调配，只需要根据产品颜色的要求，在自动调墨机的控制系统输入颜色比例后自动完成油墨的配色工序。</w:t>
            </w:r>
          </w:p>
          <w:p w14:paraId="247AB5AE">
            <w:pPr>
              <w:pStyle w:val="45"/>
              <w:ind w:firstLine="480"/>
              <w:rPr>
                <w:rFonts w:hint="default" w:ascii="Times New Roman" w:hAnsi="Times New Roman" w:cs="Times New Roman"/>
              </w:rPr>
            </w:pPr>
            <w:r>
              <w:rPr>
                <w:rFonts w:hint="default" w:ascii="Times New Roman" w:hAnsi="Times New Roman" w:cs="Times New Roman"/>
              </w:rPr>
              <w:t>印刷原理为柔版印刷，通过网纹辊传递油墨，项目根据工艺要求，不需进行烘干工序，且印刷面积较小，即印即干。印刷使用的印版为外购的成品印版，项目不制版。在进入印刷工序前期，工人将配好色的水性油墨注入到印刷机内开展印刷工序。印刷机每天生产结束或者换色时需要对设备内网纹辊等沾有油墨的部位进行清洗。一批次的印刷完成后工人根据顾客的订单需要进行印版的更换。表面印刷好文字及图案的纸板随传送带到印刷开槽机末端进行自动压痕、开槽，将纸板上需要弯折的棱角处压痕便于弯折，将箱盖和箱底处需要重叠折叠的棱角处进行开槽，开槽尺寸宽度控制在6mm-14mm。印刷废气通过集气罩收集后通过二级活性炭吸附装置收集处理，该工序会产生印刷有机废气G2、印刷机清洗废液S3、废纸板S4、废印版S5。</w:t>
            </w:r>
          </w:p>
          <w:p w14:paraId="12989733">
            <w:pPr>
              <w:pStyle w:val="45"/>
              <w:ind w:firstLine="480"/>
              <w:rPr>
                <w:rFonts w:hint="default" w:ascii="Times New Roman" w:hAnsi="Times New Roman" w:cs="Times New Roman"/>
              </w:rPr>
            </w:pPr>
            <w:r>
              <w:rPr>
                <w:rFonts w:hint="default" w:ascii="Times New Roman" w:hAnsi="Times New Roman" w:cs="Times New Roman"/>
              </w:rPr>
              <w:t>（10）钉箱、粘合：根据订单要求，印刷后的纸箱通过钉箱机将纸箱钉线成型或采用玉米淀粉胶人工粘箱。</w:t>
            </w:r>
          </w:p>
          <w:p w14:paraId="02ED41D8">
            <w:pPr>
              <w:pStyle w:val="45"/>
              <w:ind w:firstLine="480"/>
              <w:rPr>
                <w:rFonts w:hint="default" w:ascii="Times New Roman" w:hAnsi="Times New Roman" w:cs="Times New Roman"/>
              </w:rPr>
            </w:pPr>
            <w:r>
              <w:rPr>
                <w:rFonts w:hint="default" w:ascii="Times New Roman" w:hAnsi="Times New Roman" w:cs="Times New Roman"/>
              </w:rPr>
              <w:t>钉箱：人工将纸板放进钉箱机内进行自动折叠钉箱，将需要固定的顶角及重叠的棱角处进行扁丝固定，形成4面固定，顶面和底面可开合的水印纸箱。该过程会产生废扁丝S5。</w:t>
            </w:r>
          </w:p>
          <w:p w14:paraId="6303A56D">
            <w:pPr>
              <w:pStyle w:val="45"/>
              <w:ind w:firstLine="480"/>
              <w:rPr>
                <w:rFonts w:hint="default" w:ascii="Times New Roman" w:hAnsi="Times New Roman" w:cs="Times New Roman"/>
              </w:rPr>
            </w:pPr>
            <w:r>
              <w:rPr>
                <w:rFonts w:hint="default" w:ascii="Times New Roman" w:hAnsi="Times New Roman" w:cs="Times New Roman"/>
              </w:rPr>
              <w:t>粘合：通过人工将纸箱放进粘箱机用玉米淀粉胶进行粘合。</w:t>
            </w:r>
          </w:p>
          <w:p w14:paraId="1DEE3C04">
            <w:pPr>
              <w:pStyle w:val="45"/>
              <w:ind w:firstLine="480"/>
              <w:rPr>
                <w:rFonts w:hint="default" w:ascii="Times New Roman" w:hAnsi="Times New Roman" w:cs="Times New Roman"/>
              </w:rPr>
            </w:pPr>
            <w:r>
              <w:rPr>
                <w:rFonts w:hint="default" w:ascii="Times New Roman" w:hAnsi="Times New Roman" w:cs="Times New Roman"/>
              </w:rPr>
              <w:t>（11）检验：采用人工目视对产品进行检验，该过程会产生不合格次品S6。</w:t>
            </w:r>
          </w:p>
          <w:p w14:paraId="578121C5">
            <w:pPr>
              <w:pStyle w:val="45"/>
              <w:ind w:firstLine="480"/>
              <w:rPr>
                <w:rFonts w:hint="default" w:ascii="Times New Roman" w:hAnsi="Times New Roman" w:cs="Times New Roman"/>
              </w:rPr>
            </w:pPr>
            <w:r>
              <w:rPr>
                <w:rFonts w:hint="default" w:ascii="Times New Roman" w:hAnsi="Times New Roman" w:cs="Times New Roman"/>
              </w:rPr>
              <w:t>（12）打包入库：将检验合格的产品进行打包、入库。</w:t>
            </w:r>
          </w:p>
          <w:p w14:paraId="0FF964E0">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2.3.3本项目污染工序及污染因子</w:t>
            </w:r>
          </w:p>
          <w:p w14:paraId="6D9FA4D6">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2-</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表 \* ARABIC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13</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产排污节点、污染物及污染物治理设施信息表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8"/>
              <w:gridCol w:w="1081"/>
              <w:gridCol w:w="968"/>
              <w:gridCol w:w="1069"/>
              <w:gridCol w:w="746"/>
              <w:gridCol w:w="1567"/>
              <w:gridCol w:w="1815"/>
            </w:tblGrid>
            <w:tr w14:paraId="52F2F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tcBorders>
                    <w:tl2br w:val="nil"/>
                    <w:tr2bl w:val="nil"/>
                  </w:tcBorders>
                  <w:vAlign w:val="center"/>
                </w:tcPr>
                <w:p w14:paraId="2083A02D">
                  <w:pPr>
                    <w:pStyle w:val="46"/>
                    <w:rPr>
                      <w:rFonts w:hint="default"/>
                      <w:b/>
                      <w:bCs w:val="0"/>
                    </w:rPr>
                  </w:pPr>
                  <w:r>
                    <w:rPr>
                      <w:rFonts w:hint="default"/>
                      <w:b/>
                      <w:bCs w:val="0"/>
                    </w:rPr>
                    <w:t>项目</w:t>
                  </w:r>
                </w:p>
              </w:tc>
              <w:tc>
                <w:tcPr>
                  <w:tcW w:w="688" w:type="pct"/>
                  <w:tcBorders>
                    <w:tl2br w:val="nil"/>
                    <w:tr2bl w:val="nil"/>
                  </w:tcBorders>
                  <w:vAlign w:val="center"/>
                </w:tcPr>
                <w:p w14:paraId="74A4B0B1">
                  <w:pPr>
                    <w:pStyle w:val="46"/>
                    <w:rPr>
                      <w:rFonts w:hint="default"/>
                      <w:b/>
                      <w:bCs w:val="0"/>
                    </w:rPr>
                  </w:pPr>
                  <w:r>
                    <w:rPr>
                      <w:rFonts w:hint="default"/>
                      <w:b/>
                      <w:bCs w:val="0"/>
                    </w:rPr>
                    <w:t>产污环节</w:t>
                  </w:r>
                </w:p>
              </w:tc>
              <w:tc>
                <w:tcPr>
                  <w:tcW w:w="616" w:type="pct"/>
                  <w:tcBorders>
                    <w:tl2br w:val="nil"/>
                    <w:tr2bl w:val="nil"/>
                  </w:tcBorders>
                  <w:vAlign w:val="center"/>
                </w:tcPr>
                <w:p w14:paraId="6D1B680A">
                  <w:pPr>
                    <w:pStyle w:val="46"/>
                    <w:rPr>
                      <w:rFonts w:hint="default"/>
                      <w:b/>
                      <w:bCs w:val="0"/>
                    </w:rPr>
                  </w:pPr>
                  <w:r>
                    <w:rPr>
                      <w:rFonts w:hint="default"/>
                      <w:b/>
                      <w:bCs w:val="0"/>
                    </w:rPr>
                    <w:t>污染源</w:t>
                  </w:r>
                </w:p>
              </w:tc>
              <w:tc>
                <w:tcPr>
                  <w:tcW w:w="680" w:type="pct"/>
                  <w:tcBorders>
                    <w:tl2br w:val="nil"/>
                    <w:tr2bl w:val="nil"/>
                  </w:tcBorders>
                  <w:vAlign w:val="center"/>
                </w:tcPr>
                <w:p w14:paraId="4F733DA5">
                  <w:pPr>
                    <w:pStyle w:val="46"/>
                    <w:rPr>
                      <w:rFonts w:hint="default"/>
                      <w:b/>
                      <w:bCs w:val="0"/>
                    </w:rPr>
                  </w:pPr>
                  <w:r>
                    <w:rPr>
                      <w:rFonts w:hint="default"/>
                      <w:b/>
                      <w:bCs w:val="0"/>
                    </w:rPr>
                    <w:t>污染物</w:t>
                  </w:r>
                </w:p>
              </w:tc>
              <w:tc>
                <w:tcPr>
                  <w:tcW w:w="475" w:type="pct"/>
                  <w:tcBorders>
                    <w:tl2br w:val="nil"/>
                    <w:tr2bl w:val="nil"/>
                  </w:tcBorders>
                  <w:vAlign w:val="center"/>
                </w:tcPr>
                <w:p w14:paraId="1310C015">
                  <w:pPr>
                    <w:pStyle w:val="46"/>
                    <w:rPr>
                      <w:rFonts w:hint="default"/>
                      <w:b/>
                      <w:bCs w:val="0"/>
                    </w:rPr>
                  </w:pPr>
                  <w:r>
                    <w:rPr>
                      <w:rFonts w:hint="default"/>
                      <w:b/>
                      <w:bCs w:val="0"/>
                    </w:rPr>
                    <w:t>排放方式</w:t>
                  </w:r>
                </w:p>
              </w:tc>
              <w:tc>
                <w:tcPr>
                  <w:tcW w:w="997" w:type="pct"/>
                  <w:tcBorders>
                    <w:tl2br w:val="nil"/>
                    <w:tr2bl w:val="nil"/>
                  </w:tcBorders>
                  <w:vAlign w:val="center"/>
                </w:tcPr>
                <w:p w14:paraId="04A590A4">
                  <w:pPr>
                    <w:pStyle w:val="46"/>
                    <w:rPr>
                      <w:rFonts w:hint="default"/>
                      <w:b/>
                      <w:bCs w:val="0"/>
                    </w:rPr>
                  </w:pPr>
                  <w:r>
                    <w:rPr>
                      <w:rFonts w:hint="default"/>
                      <w:b/>
                      <w:bCs w:val="0"/>
                    </w:rPr>
                    <w:t>治理措施</w:t>
                  </w:r>
                </w:p>
              </w:tc>
              <w:tc>
                <w:tcPr>
                  <w:tcW w:w="1154" w:type="pct"/>
                  <w:tcBorders>
                    <w:tl2br w:val="nil"/>
                    <w:tr2bl w:val="nil"/>
                  </w:tcBorders>
                  <w:vAlign w:val="center"/>
                </w:tcPr>
                <w:p w14:paraId="5EAAA118">
                  <w:pPr>
                    <w:pStyle w:val="46"/>
                    <w:rPr>
                      <w:rFonts w:hint="default"/>
                      <w:b/>
                      <w:bCs w:val="0"/>
                    </w:rPr>
                  </w:pPr>
                  <w:r>
                    <w:rPr>
                      <w:rFonts w:hint="default"/>
                      <w:b/>
                      <w:bCs w:val="0"/>
                    </w:rPr>
                    <w:t>污染物去向</w:t>
                  </w:r>
                </w:p>
              </w:tc>
            </w:tr>
            <w:tr w14:paraId="5C416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restart"/>
                  <w:tcBorders>
                    <w:tl2br w:val="nil"/>
                    <w:tr2bl w:val="nil"/>
                  </w:tcBorders>
                  <w:vAlign w:val="center"/>
                </w:tcPr>
                <w:p w14:paraId="4D97EA37">
                  <w:pPr>
                    <w:pStyle w:val="46"/>
                    <w:rPr>
                      <w:rFonts w:hint="default"/>
                    </w:rPr>
                  </w:pPr>
                  <w:r>
                    <w:rPr>
                      <w:rFonts w:hint="default"/>
                    </w:rPr>
                    <w:t>废气</w:t>
                  </w:r>
                </w:p>
              </w:tc>
              <w:tc>
                <w:tcPr>
                  <w:tcW w:w="688" w:type="pct"/>
                  <w:tcBorders>
                    <w:tl2br w:val="nil"/>
                    <w:tr2bl w:val="nil"/>
                  </w:tcBorders>
                  <w:vAlign w:val="center"/>
                </w:tcPr>
                <w:p w14:paraId="58011A0B">
                  <w:pPr>
                    <w:pStyle w:val="46"/>
                    <w:rPr>
                      <w:rFonts w:hint="default"/>
                    </w:rPr>
                  </w:pPr>
                  <w:r>
                    <w:rPr>
                      <w:rFonts w:hint="default"/>
                    </w:rPr>
                    <w:t>锅炉燃烧</w:t>
                  </w:r>
                </w:p>
              </w:tc>
              <w:tc>
                <w:tcPr>
                  <w:tcW w:w="616" w:type="pct"/>
                  <w:tcBorders>
                    <w:tl2br w:val="nil"/>
                    <w:tr2bl w:val="nil"/>
                  </w:tcBorders>
                  <w:vAlign w:val="center"/>
                </w:tcPr>
                <w:p w14:paraId="3D50FE93">
                  <w:pPr>
                    <w:pStyle w:val="46"/>
                    <w:rPr>
                      <w:rFonts w:hint="default"/>
                    </w:rPr>
                  </w:pPr>
                  <w:r>
                    <w:rPr>
                      <w:rFonts w:hint="default"/>
                    </w:rPr>
                    <w:t>锅炉废气</w:t>
                  </w:r>
                </w:p>
              </w:tc>
              <w:tc>
                <w:tcPr>
                  <w:tcW w:w="680" w:type="pct"/>
                  <w:tcBorders>
                    <w:tl2br w:val="nil"/>
                    <w:tr2bl w:val="nil"/>
                  </w:tcBorders>
                  <w:vAlign w:val="center"/>
                </w:tcPr>
                <w:p w14:paraId="67431A6D">
                  <w:pPr>
                    <w:pStyle w:val="46"/>
                    <w:rPr>
                      <w:rFonts w:hint="default"/>
                    </w:rPr>
                  </w:pPr>
                  <w:r>
                    <w:rPr>
                      <w:rFonts w:hint="default"/>
                    </w:rPr>
                    <w:t>颗粒物、SO</w:t>
                  </w:r>
                  <w:r>
                    <w:rPr>
                      <w:rFonts w:hint="default"/>
                      <w:vertAlign w:val="subscript"/>
                    </w:rPr>
                    <w:t>2</w:t>
                  </w:r>
                  <w:r>
                    <w:rPr>
                      <w:rFonts w:hint="default"/>
                    </w:rPr>
                    <w:t>、NOx、林格曼黑度</w:t>
                  </w:r>
                </w:p>
              </w:tc>
              <w:tc>
                <w:tcPr>
                  <w:tcW w:w="475" w:type="pct"/>
                  <w:vMerge w:val="restart"/>
                  <w:tcBorders>
                    <w:tl2br w:val="nil"/>
                    <w:tr2bl w:val="nil"/>
                  </w:tcBorders>
                  <w:vAlign w:val="center"/>
                </w:tcPr>
                <w:p w14:paraId="1459BD50">
                  <w:pPr>
                    <w:pStyle w:val="46"/>
                    <w:rPr>
                      <w:rFonts w:hint="default"/>
                    </w:rPr>
                  </w:pPr>
                  <w:r>
                    <w:rPr>
                      <w:rFonts w:hint="default"/>
                    </w:rPr>
                    <w:t>连续</w:t>
                  </w:r>
                </w:p>
              </w:tc>
              <w:tc>
                <w:tcPr>
                  <w:tcW w:w="997" w:type="pct"/>
                  <w:tcBorders>
                    <w:tl2br w:val="nil"/>
                    <w:tr2bl w:val="nil"/>
                  </w:tcBorders>
                  <w:vAlign w:val="center"/>
                </w:tcPr>
                <w:p w14:paraId="51C06740">
                  <w:pPr>
                    <w:pStyle w:val="46"/>
                    <w:rPr>
                      <w:rFonts w:hint="default"/>
                    </w:rPr>
                  </w:pPr>
                  <w:r>
                    <w:rPr>
                      <w:rFonts w:hint="default"/>
                    </w:rPr>
                    <w:t>低氮燃烧</w:t>
                  </w:r>
                </w:p>
              </w:tc>
              <w:tc>
                <w:tcPr>
                  <w:tcW w:w="1154" w:type="pct"/>
                  <w:tcBorders>
                    <w:tl2br w:val="nil"/>
                    <w:tr2bl w:val="nil"/>
                  </w:tcBorders>
                  <w:vAlign w:val="center"/>
                </w:tcPr>
                <w:p w14:paraId="5D45DD23">
                  <w:pPr>
                    <w:pStyle w:val="46"/>
                    <w:rPr>
                      <w:rFonts w:hint="default"/>
                    </w:rPr>
                  </w:pPr>
                  <w:r>
                    <w:rPr>
                      <w:rFonts w:hint="default"/>
                    </w:rPr>
                    <w:t>15m排气筒排放</w:t>
                  </w:r>
                </w:p>
              </w:tc>
            </w:tr>
            <w:tr w14:paraId="4F30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552E2067">
                  <w:pPr>
                    <w:pStyle w:val="46"/>
                    <w:rPr>
                      <w:rFonts w:hint="default"/>
                    </w:rPr>
                  </w:pPr>
                </w:p>
              </w:tc>
              <w:tc>
                <w:tcPr>
                  <w:tcW w:w="688" w:type="pct"/>
                  <w:tcBorders>
                    <w:tl2br w:val="nil"/>
                    <w:tr2bl w:val="nil"/>
                  </w:tcBorders>
                  <w:vAlign w:val="center"/>
                </w:tcPr>
                <w:p w14:paraId="659DE2E3">
                  <w:pPr>
                    <w:pStyle w:val="46"/>
                    <w:rPr>
                      <w:rFonts w:hint="default"/>
                    </w:rPr>
                  </w:pPr>
                  <w:r>
                    <w:rPr>
                      <w:rFonts w:hint="default"/>
                    </w:rPr>
                    <w:t>印刷工序</w:t>
                  </w:r>
                </w:p>
              </w:tc>
              <w:tc>
                <w:tcPr>
                  <w:tcW w:w="616" w:type="pct"/>
                  <w:tcBorders>
                    <w:tl2br w:val="nil"/>
                    <w:tr2bl w:val="nil"/>
                  </w:tcBorders>
                  <w:vAlign w:val="center"/>
                </w:tcPr>
                <w:p w14:paraId="751605A3">
                  <w:pPr>
                    <w:pStyle w:val="46"/>
                    <w:rPr>
                      <w:rFonts w:hint="default"/>
                    </w:rPr>
                  </w:pPr>
                  <w:r>
                    <w:rPr>
                      <w:rFonts w:hint="default"/>
                    </w:rPr>
                    <w:t>印刷废气</w:t>
                  </w:r>
                  <w:r>
                    <w:rPr>
                      <w:rFonts w:hint="default"/>
                      <w:sz w:val="21"/>
                      <w:szCs w:val="21"/>
                      <w:lang w:val="en-US" w:eastAsia="zh-CN"/>
                    </w:rPr>
                    <w:t>G2</w:t>
                  </w:r>
                </w:p>
              </w:tc>
              <w:tc>
                <w:tcPr>
                  <w:tcW w:w="680" w:type="pct"/>
                  <w:tcBorders>
                    <w:tl2br w:val="nil"/>
                    <w:tr2bl w:val="nil"/>
                  </w:tcBorders>
                  <w:vAlign w:val="center"/>
                </w:tcPr>
                <w:p w14:paraId="68E342FC">
                  <w:pPr>
                    <w:pStyle w:val="46"/>
                    <w:rPr>
                      <w:rFonts w:hint="default"/>
                    </w:rPr>
                  </w:pPr>
                  <w:r>
                    <w:rPr>
                      <w:rFonts w:hint="default"/>
                    </w:rPr>
                    <w:t>非甲烷总烃</w:t>
                  </w:r>
                </w:p>
              </w:tc>
              <w:tc>
                <w:tcPr>
                  <w:tcW w:w="475" w:type="pct"/>
                  <w:vMerge w:val="continue"/>
                  <w:tcBorders>
                    <w:tl2br w:val="nil"/>
                    <w:tr2bl w:val="nil"/>
                  </w:tcBorders>
                  <w:vAlign w:val="center"/>
                </w:tcPr>
                <w:p w14:paraId="718DB8A7">
                  <w:pPr>
                    <w:pStyle w:val="46"/>
                    <w:rPr>
                      <w:rFonts w:hint="default"/>
                    </w:rPr>
                  </w:pPr>
                </w:p>
              </w:tc>
              <w:tc>
                <w:tcPr>
                  <w:tcW w:w="997" w:type="pct"/>
                  <w:tcBorders>
                    <w:tl2br w:val="nil"/>
                    <w:tr2bl w:val="nil"/>
                  </w:tcBorders>
                  <w:vAlign w:val="center"/>
                </w:tcPr>
                <w:p w14:paraId="64F1C937">
                  <w:pPr>
                    <w:pStyle w:val="46"/>
                    <w:rPr>
                      <w:rFonts w:hint="default"/>
                    </w:rPr>
                  </w:pPr>
                  <w:r>
                    <w:rPr>
                      <w:rFonts w:hint="default"/>
                    </w:rPr>
                    <w:t>集气罩收集+二级活性炭吸附</w:t>
                  </w:r>
                </w:p>
              </w:tc>
              <w:tc>
                <w:tcPr>
                  <w:tcW w:w="1154" w:type="pct"/>
                  <w:tcBorders>
                    <w:tl2br w:val="nil"/>
                    <w:tr2bl w:val="nil"/>
                  </w:tcBorders>
                  <w:vAlign w:val="center"/>
                </w:tcPr>
                <w:p w14:paraId="2AC12836">
                  <w:pPr>
                    <w:pStyle w:val="46"/>
                    <w:rPr>
                      <w:rFonts w:hint="default"/>
                    </w:rPr>
                  </w:pPr>
                  <w:r>
                    <w:rPr>
                      <w:rFonts w:hint="default"/>
                    </w:rPr>
                    <w:t>15m排气筒排放</w:t>
                  </w:r>
                </w:p>
              </w:tc>
            </w:tr>
            <w:tr w14:paraId="1E8D7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0E381724">
                  <w:pPr>
                    <w:pStyle w:val="46"/>
                    <w:rPr>
                      <w:rFonts w:hint="default"/>
                    </w:rPr>
                  </w:pPr>
                </w:p>
              </w:tc>
              <w:tc>
                <w:tcPr>
                  <w:tcW w:w="688" w:type="pct"/>
                  <w:tcBorders>
                    <w:tl2br w:val="nil"/>
                    <w:tr2bl w:val="nil"/>
                  </w:tcBorders>
                  <w:vAlign w:val="center"/>
                </w:tcPr>
                <w:p w14:paraId="18DC7A86">
                  <w:pPr>
                    <w:pStyle w:val="46"/>
                    <w:rPr>
                      <w:rFonts w:hint="default"/>
                    </w:rPr>
                  </w:pPr>
                  <w:r>
                    <w:rPr>
                      <w:rFonts w:hint="default"/>
                    </w:rPr>
                    <w:t>制胶工序</w:t>
                  </w:r>
                </w:p>
              </w:tc>
              <w:tc>
                <w:tcPr>
                  <w:tcW w:w="616" w:type="pct"/>
                  <w:tcBorders>
                    <w:tl2br w:val="nil"/>
                    <w:tr2bl w:val="nil"/>
                  </w:tcBorders>
                  <w:vAlign w:val="center"/>
                </w:tcPr>
                <w:p w14:paraId="5D55343B">
                  <w:pPr>
                    <w:pStyle w:val="46"/>
                    <w:rPr>
                      <w:rFonts w:hint="default"/>
                    </w:rPr>
                  </w:pPr>
                  <w:r>
                    <w:rPr>
                      <w:rFonts w:hint="default"/>
                    </w:rPr>
                    <w:t>调胶粉尘</w:t>
                  </w:r>
                  <w:r>
                    <w:rPr>
                      <w:rFonts w:hint="default"/>
                      <w:sz w:val="21"/>
                      <w:szCs w:val="21"/>
                      <w:lang w:val="en-US" w:eastAsia="zh-CN"/>
                    </w:rPr>
                    <w:t>G1</w:t>
                  </w:r>
                </w:p>
              </w:tc>
              <w:tc>
                <w:tcPr>
                  <w:tcW w:w="680" w:type="pct"/>
                  <w:tcBorders>
                    <w:tl2br w:val="nil"/>
                    <w:tr2bl w:val="nil"/>
                  </w:tcBorders>
                  <w:vAlign w:val="center"/>
                </w:tcPr>
                <w:p w14:paraId="28C19533">
                  <w:pPr>
                    <w:pStyle w:val="46"/>
                    <w:rPr>
                      <w:rFonts w:hint="default"/>
                    </w:rPr>
                  </w:pPr>
                  <w:r>
                    <w:rPr>
                      <w:rFonts w:hint="default"/>
                    </w:rPr>
                    <w:t>颗粒物</w:t>
                  </w:r>
                </w:p>
              </w:tc>
              <w:tc>
                <w:tcPr>
                  <w:tcW w:w="475" w:type="pct"/>
                  <w:vMerge w:val="continue"/>
                  <w:tcBorders>
                    <w:tl2br w:val="nil"/>
                    <w:tr2bl w:val="nil"/>
                  </w:tcBorders>
                  <w:vAlign w:val="center"/>
                </w:tcPr>
                <w:p w14:paraId="2585903C">
                  <w:pPr>
                    <w:pStyle w:val="46"/>
                    <w:rPr>
                      <w:rFonts w:hint="default"/>
                    </w:rPr>
                  </w:pPr>
                </w:p>
              </w:tc>
              <w:tc>
                <w:tcPr>
                  <w:tcW w:w="997" w:type="pct"/>
                  <w:tcBorders>
                    <w:tl2br w:val="nil"/>
                    <w:tr2bl w:val="nil"/>
                  </w:tcBorders>
                  <w:vAlign w:val="center"/>
                </w:tcPr>
                <w:p w14:paraId="0FFB04F3">
                  <w:pPr>
                    <w:pStyle w:val="46"/>
                    <w:rPr>
                      <w:rFonts w:hint="default"/>
                    </w:rPr>
                  </w:pPr>
                  <w:r>
                    <w:rPr>
                      <w:rFonts w:hint="default"/>
                    </w:rPr>
                    <w:t>/</w:t>
                  </w:r>
                </w:p>
              </w:tc>
              <w:tc>
                <w:tcPr>
                  <w:tcW w:w="1154" w:type="pct"/>
                  <w:tcBorders>
                    <w:tl2br w:val="nil"/>
                    <w:tr2bl w:val="nil"/>
                  </w:tcBorders>
                  <w:vAlign w:val="center"/>
                </w:tcPr>
                <w:p w14:paraId="2BF985C4">
                  <w:pPr>
                    <w:pStyle w:val="46"/>
                    <w:rPr>
                      <w:rFonts w:hint="default"/>
                    </w:rPr>
                  </w:pPr>
                  <w:r>
                    <w:rPr>
                      <w:rFonts w:hint="default"/>
                    </w:rPr>
                    <w:t>加强车间通排风，无组织排放至车间</w:t>
                  </w:r>
                </w:p>
              </w:tc>
            </w:tr>
            <w:tr w14:paraId="7FC8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35604BE7">
                  <w:pPr>
                    <w:pStyle w:val="46"/>
                    <w:rPr>
                      <w:rFonts w:hint="default"/>
                    </w:rPr>
                  </w:pPr>
                </w:p>
              </w:tc>
              <w:tc>
                <w:tcPr>
                  <w:tcW w:w="688" w:type="pct"/>
                  <w:tcBorders>
                    <w:tl2br w:val="nil"/>
                    <w:tr2bl w:val="nil"/>
                  </w:tcBorders>
                  <w:vAlign w:val="center"/>
                </w:tcPr>
                <w:p w14:paraId="4A4CBBED">
                  <w:pPr>
                    <w:pStyle w:val="46"/>
                    <w:rPr>
                      <w:rFonts w:hint="default"/>
                    </w:rPr>
                  </w:pPr>
                  <w:r>
                    <w:rPr>
                      <w:rFonts w:hint="default"/>
                    </w:rPr>
                    <w:t>食堂油烟</w:t>
                  </w:r>
                </w:p>
              </w:tc>
              <w:tc>
                <w:tcPr>
                  <w:tcW w:w="616" w:type="pct"/>
                  <w:tcBorders>
                    <w:tl2br w:val="nil"/>
                    <w:tr2bl w:val="nil"/>
                  </w:tcBorders>
                  <w:vAlign w:val="center"/>
                </w:tcPr>
                <w:p w14:paraId="7CD25939">
                  <w:pPr>
                    <w:pStyle w:val="46"/>
                    <w:rPr>
                      <w:rFonts w:hint="default"/>
                    </w:rPr>
                  </w:pPr>
                  <w:r>
                    <w:rPr>
                      <w:rFonts w:hint="default"/>
                    </w:rPr>
                    <w:t>食堂油烟</w:t>
                  </w:r>
                </w:p>
              </w:tc>
              <w:tc>
                <w:tcPr>
                  <w:tcW w:w="680" w:type="pct"/>
                  <w:tcBorders>
                    <w:tl2br w:val="nil"/>
                    <w:tr2bl w:val="nil"/>
                  </w:tcBorders>
                  <w:vAlign w:val="center"/>
                </w:tcPr>
                <w:p w14:paraId="2CB5CFA7">
                  <w:pPr>
                    <w:pStyle w:val="46"/>
                    <w:rPr>
                      <w:rFonts w:hint="default"/>
                    </w:rPr>
                  </w:pPr>
                  <w:r>
                    <w:rPr>
                      <w:rFonts w:hint="default"/>
                    </w:rPr>
                    <w:t>食堂油烟</w:t>
                  </w:r>
                </w:p>
              </w:tc>
              <w:tc>
                <w:tcPr>
                  <w:tcW w:w="475" w:type="pct"/>
                  <w:vMerge w:val="continue"/>
                  <w:tcBorders>
                    <w:tl2br w:val="nil"/>
                    <w:tr2bl w:val="nil"/>
                  </w:tcBorders>
                  <w:vAlign w:val="center"/>
                </w:tcPr>
                <w:p w14:paraId="55EBFB87">
                  <w:pPr>
                    <w:pStyle w:val="46"/>
                    <w:rPr>
                      <w:rFonts w:hint="default"/>
                    </w:rPr>
                  </w:pPr>
                </w:p>
              </w:tc>
              <w:tc>
                <w:tcPr>
                  <w:tcW w:w="997" w:type="pct"/>
                  <w:tcBorders>
                    <w:tl2br w:val="nil"/>
                    <w:tr2bl w:val="nil"/>
                  </w:tcBorders>
                  <w:vAlign w:val="center"/>
                </w:tcPr>
                <w:p w14:paraId="591D5D48">
                  <w:pPr>
                    <w:pStyle w:val="46"/>
                    <w:rPr>
                      <w:rFonts w:hint="default"/>
                    </w:rPr>
                  </w:pPr>
                  <w:r>
                    <w:rPr>
                      <w:rFonts w:hint="default"/>
                    </w:rPr>
                    <w:t>油烟净化器</w:t>
                  </w:r>
                </w:p>
              </w:tc>
              <w:tc>
                <w:tcPr>
                  <w:tcW w:w="1154" w:type="pct"/>
                  <w:tcBorders>
                    <w:tl2br w:val="nil"/>
                    <w:tr2bl w:val="nil"/>
                  </w:tcBorders>
                  <w:vAlign w:val="center"/>
                </w:tcPr>
                <w:p w14:paraId="56907AEE">
                  <w:pPr>
                    <w:pStyle w:val="46"/>
                    <w:rPr>
                      <w:rFonts w:hint="default"/>
                    </w:rPr>
                  </w:pPr>
                  <w:r>
                    <w:rPr>
                      <w:rFonts w:hint="default"/>
                    </w:rPr>
                    <w:t>食堂油烟通过集气+油烟净化器处理后引至屋顶排放</w:t>
                  </w:r>
                </w:p>
              </w:tc>
            </w:tr>
            <w:tr w14:paraId="7157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restart"/>
                  <w:tcBorders>
                    <w:tl2br w:val="nil"/>
                    <w:tr2bl w:val="nil"/>
                  </w:tcBorders>
                  <w:vAlign w:val="center"/>
                </w:tcPr>
                <w:p w14:paraId="5A1C53C0">
                  <w:pPr>
                    <w:pStyle w:val="46"/>
                    <w:rPr>
                      <w:rFonts w:hint="default"/>
                    </w:rPr>
                  </w:pPr>
                  <w:r>
                    <w:rPr>
                      <w:rFonts w:hint="default"/>
                    </w:rPr>
                    <w:t>废水</w:t>
                  </w:r>
                </w:p>
              </w:tc>
              <w:tc>
                <w:tcPr>
                  <w:tcW w:w="688" w:type="pct"/>
                  <w:tcBorders>
                    <w:tl2br w:val="nil"/>
                    <w:tr2bl w:val="nil"/>
                  </w:tcBorders>
                  <w:vAlign w:val="center"/>
                </w:tcPr>
                <w:p w14:paraId="0BC5DA60">
                  <w:pPr>
                    <w:pStyle w:val="46"/>
                    <w:rPr>
                      <w:rFonts w:hint="default"/>
                    </w:rPr>
                  </w:pPr>
                  <w:r>
                    <w:rPr>
                      <w:rFonts w:hint="default"/>
                    </w:rPr>
                    <w:t>制胶设备冲洗</w:t>
                  </w:r>
                </w:p>
              </w:tc>
              <w:tc>
                <w:tcPr>
                  <w:tcW w:w="616" w:type="pct"/>
                  <w:tcBorders>
                    <w:tl2br w:val="nil"/>
                    <w:tr2bl w:val="nil"/>
                  </w:tcBorders>
                  <w:vAlign w:val="center"/>
                </w:tcPr>
                <w:p w14:paraId="40573E63">
                  <w:pPr>
                    <w:pStyle w:val="46"/>
                    <w:rPr>
                      <w:rFonts w:hint="default"/>
                    </w:rPr>
                  </w:pPr>
                  <w:r>
                    <w:rPr>
                      <w:rFonts w:hint="default"/>
                    </w:rPr>
                    <w:t>制胶设备清洗水</w:t>
                  </w:r>
                </w:p>
              </w:tc>
              <w:tc>
                <w:tcPr>
                  <w:tcW w:w="680" w:type="pct"/>
                  <w:tcBorders>
                    <w:tl2br w:val="nil"/>
                    <w:tr2bl w:val="nil"/>
                  </w:tcBorders>
                  <w:vAlign w:val="center"/>
                </w:tcPr>
                <w:p w14:paraId="6E012791">
                  <w:pPr>
                    <w:pStyle w:val="46"/>
                    <w:rPr>
                      <w:rFonts w:hint="default"/>
                    </w:rPr>
                  </w:pPr>
                  <w:r>
                    <w:rPr>
                      <w:rFonts w:hint="default"/>
                    </w:rPr>
                    <w:t>COD、SS</w:t>
                  </w:r>
                </w:p>
              </w:tc>
              <w:tc>
                <w:tcPr>
                  <w:tcW w:w="475" w:type="pct"/>
                  <w:tcBorders>
                    <w:tl2br w:val="nil"/>
                    <w:tr2bl w:val="nil"/>
                  </w:tcBorders>
                  <w:vAlign w:val="center"/>
                </w:tcPr>
                <w:p w14:paraId="3D57CA15">
                  <w:pPr>
                    <w:pStyle w:val="46"/>
                    <w:rPr>
                      <w:rFonts w:hint="default"/>
                    </w:rPr>
                  </w:pPr>
                  <w:r>
                    <w:rPr>
                      <w:rFonts w:hint="default"/>
                    </w:rPr>
                    <w:t>连续</w:t>
                  </w:r>
                </w:p>
              </w:tc>
              <w:tc>
                <w:tcPr>
                  <w:tcW w:w="997" w:type="pct"/>
                  <w:tcBorders>
                    <w:tl2br w:val="nil"/>
                    <w:tr2bl w:val="nil"/>
                  </w:tcBorders>
                  <w:vAlign w:val="center"/>
                </w:tcPr>
                <w:p w14:paraId="6BF04A63">
                  <w:pPr>
                    <w:pStyle w:val="46"/>
                    <w:rPr>
                      <w:rFonts w:hint="default"/>
                    </w:rPr>
                  </w:pPr>
                  <w:r>
                    <w:rPr>
                      <w:rFonts w:hint="default"/>
                    </w:rPr>
                    <w:t>收集后回用</w:t>
                  </w:r>
                </w:p>
              </w:tc>
              <w:tc>
                <w:tcPr>
                  <w:tcW w:w="1154" w:type="pct"/>
                  <w:tcBorders>
                    <w:tl2br w:val="nil"/>
                    <w:tr2bl w:val="nil"/>
                  </w:tcBorders>
                  <w:vAlign w:val="center"/>
                </w:tcPr>
                <w:p w14:paraId="7C62B218">
                  <w:pPr>
                    <w:pStyle w:val="46"/>
                    <w:rPr>
                      <w:rFonts w:hint="default"/>
                    </w:rPr>
                  </w:pPr>
                  <w:r>
                    <w:rPr>
                      <w:rFonts w:hint="default"/>
                    </w:rPr>
                    <w:t>回用于制胶工序</w:t>
                  </w:r>
                </w:p>
              </w:tc>
            </w:tr>
            <w:tr w14:paraId="43174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3C22244F">
                  <w:pPr>
                    <w:pStyle w:val="46"/>
                    <w:rPr>
                      <w:rFonts w:hint="default"/>
                    </w:rPr>
                  </w:pPr>
                </w:p>
              </w:tc>
              <w:tc>
                <w:tcPr>
                  <w:tcW w:w="688" w:type="pct"/>
                  <w:tcBorders>
                    <w:tl2br w:val="nil"/>
                    <w:tr2bl w:val="nil"/>
                  </w:tcBorders>
                  <w:vAlign w:val="center"/>
                </w:tcPr>
                <w:p w14:paraId="04D7BFBF">
                  <w:pPr>
                    <w:pStyle w:val="46"/>
                    <w:rPr>
                      <w:rFonts w:hint="default"/>
                    </w:rPr>
                  </w:pPr>
                  <w:r>
                    <w:rPr>
                      <w:rFonts w:hint="default"/>
                    </w:rPr>
                    <w:t>锅炉废水</w:t>
                  </w:r>
                </w:p>
              </w:tc>
              <w:tc>
                <w:tcPr>
                  <w:tcW w:w="616" w:type="pct"/>
                  <w:tcBorders>
                    <w:tl2br w:val="nil"/>
                    <w:tr2bl w:val="nil"/>
                  </w:tcBorders>
                  <w:vAlign w:val="center"/>
                </w:tcPr>
                <w:p w14:paraId="63E3BC14">
                  <w:pPr>
                    <w:pStyle w:val="46"/>
                    <w:rPr>
                      <w:rFonts w:hint="default"/>
                    </w:rPr>
                  </w:pPr>
                  <w:r>
                    <w:rPr>
                      <w:rFonts w:hint="default"/>
                    </w:rPr>
                    <w:t>锅炉废水</w:t>
                  </w:r>
                </w:p>
              </w:tc>
              <w:tc>
                <w:tcPr>
                  <w:tcW w:w="680" w:type="pct"/>
                  <w:tcBorders>
                    <w:tl2br w:val="nil"/>
                    <w:tr2bl w:val="nil"/>
                  </w:tcBorders>
                  <w:vAlign w:val="center"/>
                </w:tcPr>
                <w:p w14:paraId="32B34639">
                  <w:pPr>
                    <w:pStyle w:val="46"/>
                    <w:rPr>
                      <w:rFonts w:hint="default"/>
                    </w:rPr>
                  </w:pPr>
                  <w:r>
                    <w:rPr>
                      <w:rFonts w:hint="default"/>
                    </w:rPr>
                    <w:t>COD、SS</w:t>
                  </w:r>
                </w:p>
              </w:tc>
              <w:tc>
                <w:tcPr>
                  <w:tcW w:w="475" w:type="pct"/>
                  <w:tcBorders>
                    <w:tl2br w:val="nil"/>
                    <w:tr2bl w:val="nil"/>
                  </w:tcBorders>
                  <w:vAlign w:val="center"/>
                </w:tcPr>
                <w:p w14:paraId="2299D552">
                  <w:pPr>
                    <w:pStyle w:val="46"/>
                    <w:rPr>
                      <w:rFonts w:hint="default"/>
                    </w:rPr>
                  </w:pPr>
                  <w:r>
                    <w:rPr>
                      <w:rFonts w:hint="default"/>
                    </w:rPr>
                    <w:t>连续</w:t>
                  </w:r>
                </w:p>
              </w:tc>
              <w:tc>
                <w:tcPr>
                  <w:tcW w:w="997" w:type="pct"/>
                  <w:tcBorders>
                    <w:tl2br w:val="nil"/>
                    <w:tr2bl w:val="nil"/>
                  </w:tcBorders>
                  <w:vAlign w:val="center"/>
                </w:tcPr>
                <w:p w14:paraId="029971C0">
                  <w:pPr>
                    <w:pStyle w:val="46"/>
                    <w:rPr>
                      <w:rFonts w:hint="default"/>
                    </w:rPr>
                  </w:pPr>
                  <w:r>
                    <w:rPr>
                      <w:rFonts w:hint="default"/>
                    </w:rPr>
                    <w:t>/</w:t>
                  </w:r>
                </w:p>
              </w:tc>
              <w:tc>
                <w:tcPr>
                  <w:tcW w:w="1154" w:type="pct"/>
                  <w:tcBorders>
                    <w:tl2br w:val="nil"/>
                    <w:tr2bl w:val="nil"/>
                  </w:tcBorders>
                  <w:vAlign w:val="center"/>
                </w:tcPr>
                <w:p w14:paraId="53AD86C0">
                  <w:pPr>
                    <w:pStyle w:val="46"/>
                    <w:rPr>
                      <w:rFonts w:hint="default"/>
                    </w:rPr>
                  </w:pPr>
                  <w:r>
                    <w:rPr>
                      <w:rFonts w:hint="default"/>
                    </w:rPr>
                    <w:t>排入</w:t>
                  </w:r>
                  <w:r>
                    <w:rPr>
                      <w:rFonts w:hint="default" w:ascii="Times New Roman" w:hAnsi="Times New Roman" w:cs="Times New Roman"/>
                      <w:lang w:eastAsia="zh-CN"/>
                    </w:rPr>
                    <w:t>淮南首创八公山污水处理厂</w:t>
                  </w:r>
                </w:p>
              </w:tc>
            </w:tr>
            <w:tr w14:paraId="40369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705EBEA6">
                  <w:pPr>
                    <w:pStyle w:val="46"/>
                    <w:rPr>
                      <w:rFonts w:hint="default"/>
                    </w:rPr>
                  </w:pPr>
                </w:p>
              </w:tc>
              <w:tc>
                <w:tcPr>
                  <w:tcW w:w="688" w:type="pct"/>
                  <w:tcBorders>
                    <w:tl2br w:val="nil"/>
                    <w:tr2bl w:val="nil"/>
                  </w:tcBorders>
                  <w:vAlign w:val="center"/>
                </w:tcPr>
                <w:p w14:paraId="7DC4D472">
                  <w:pPr>
                    <w:pStyle w:val="46"/>
                    <w:rPr>
                      <w:rFonts w:hint="default"/>
                    </w:rPr>
                  </w:pPr>
                  <w:r>
                    <w:rPr>
                      <w:rFonts w:hint="default"/>
                    </w:rPr>
                    <w:t>蒸汽冷凝水</w:t>
                  </w:r>
                </w:p>
              </w:tc>
              <w:tc>
                <w:tcPr>
                  <w:tcW w:w="616" w:type="pct"/>
                  <w:tcBorders>
                    <w:tl2br w:val="nil"/>
                    <w:tr2bl w:val="nil"/>
                  </w:tcBorders>
                  <w:vAlign w:val="center"/>
                </w:tcPr>
                <w:p w14:paraId="03171A38">
                  <w:pPr>
                    <w:pStyle w:val="46"/>
                    <w:rPr>
                      <w:rFonts w:hint="default"/>
                    </w:rPr>
                  </w:pPr>
                  <w:r>
                    <w:rPr>
                      <w:rFonts w:hint="default"/>
                    </w:rPr>
                    <w:t>冷凝水</w:t>
                  </w:r>
                </w:p>
              </w:tc>
              <w:tc>
                <w:tcPr>
                  <w:tcW w:w="680" w:type="pct"/>
                  <w:tcBorders>
                    <w:tl2br w:val="nil"/>
                    <w:tr2bl w:val="nil"/>
                  </w:tcBorders>
                  <w:vAlign w:val="center"/>
                </w:tcPr>
                <w:p w14:paraId="2855931D">
                  <w:pPr>
                    <w:pStyle w:val="46"/>
                    <w:rPr>
                      <w:rFonts w:hint="default"/>
                    </w:rPr>
                  </w:pPr>
                  <w:r>
                    <w:rPr>
                      <w:rFonts w:hint="default"/>
                    </w:rPr>
                    <w:t>COD、SS</w:t>
                  </w:r>
                </w:p>
              </w:tc>
              <w:tc>
                <w:tcPr>
                  <w:tcW w:w="475" w:type="pct"/>
                  <w:tcBorders>
                    <w:tl2br w:val="nil"/>
                    <w:tr2bl w:val="nil"/>
                  </w:tcBorders>
                  <w:vAlign w:val="center"/>
                </w:tcPr>
                <w:p w14:paraId="75F97EED">
                  <w:pPr>
                    <w:pStyle w:val="46"/>
                    <w:rPr>
                      <w:rFonts w:hint="default"/>
                    </w:rPr>
                  </w:pPr>
                  <w:r>
                    <w:rPr>
                      <w:rFonts w:hint="default"/>
                    </w:rPr>
                    <w:t>连续</w:t>
                  </w:r>
                </w:p>
              </w:tc>
              <w:tc>
                <w:tcPr>
                  <w:tcW w:w="997" w:type="pct"/>
                  <w:tcBorders>
                    <w:tl2br w:val="nil"/>
                    <w:tr2bl w:val="nil"/>
                  </w:tcBorders>
                  <w:vAlign w:val="center"/>
                </w:tcPr>
                <w:p w14:paraId="7F872E33">
                  <w:pPr>
                    <w:pStyle w:val="46"/>
                    <w:rPr>
                      <w:rFonts w:hint="default"/>
                    </w:rPr>
                  </w:pPr>
                  <w:r>
                    <w:rPr>
                      <w:rFonts w:hint="default"/>
                    </w:rPr>
                    <w:t>/</w:t>
                  </w:r>
                </w:p>
              </w:tc>
              <w:tc>
                <w:tcPr>
                  <w:tcW w:w="1154" w:type="pct"/>
                  <w:tcBorders>
                    <w:tl2br w:val="nil"/>
                    <w:tr2bl w:val="nil"/>
                  </w:tcBorders>
                  <w:vAlign w:val="center"/>
                </w:tcPr>
                <w:p w14:paraId="00044E25">
                  <w:pPr>
                    <w:pStyle w:val="46"/>
                    <w:rPr>
                      <w:rFonts w:hint="default"/>
                    </w:rPr>
                  </w:pPr>
                  <w:r>
                    <w:rPr>
                      <w:rFonts w:hint="default"/>
                    </w:rPr>
                    <w:t>回用于锅炉补水</w:t>
                  </w:r>
                </w:p>
              </w:tc>
            </w:tr>
            <w:tr w14:paraId="4BCAA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0A8E3AF1">
                  <w:pPr>
                    <w:pStyle w:val="46"/>
                    <w:rPr>
                      <w:rFonts w:hint="default"/>
                    </w:rPr>
                  </w:pPr>
                </w:p>
              </w:tc>
              <w:tc>
                <w:tcPr>
                  <w:tcW w:w="688" w:type="pct"/>
                  <w:tcBorders>
                    <w:tl2br w:val="nil"/>
                    <w:tr2bl w:val="nil"/>
                  </w:tcBorders>
                  <w:vAlign w:val="center"/>
                </w:tcPr>
                <w:p w14:paraId="0D77EEF2">
                  <w:pPr>
                    <w:pStyle w:val="46"/>
                    <w:rPr>
                      <w:rFonts w:hint="default"/>
                    </w:rPr>
                  </w:pPr>
                  <w:r>
                    <w:rPr>
                      <w:rFonts w:hint="default"/>
                    </w:rPr>
                    <w:t>员工生活</w:t>
                  </w:r>
                </w:p>
              </w:tc>
              <w:tc>
                <w:tcPr>
                  <w:tcW w:w="616" w:type="pct"/>
                  <w:tcBorders>
                    <w:tl2br w:val="nil"/>
                    <w:tr2bl w:val="nil"/>
                  </w:tcBorders>
                  <w:vAlign w:val="center"/>
                </w:tcPr>
                <w:p w14:paraId="4D1660A7">
                  <w:pPr>
                    <w:pStyle w:val="46"/>
                    <w:rPr>
                      <w:rFonts w:hint="default"/>
                    </w:rPr>
                  </w:pPr>
                  <w:r>
                    <w:rPr>
                      <w:rFonts w:hint="default"/>
                    </w:rPr>
                    <w:t>生活污水</w:t>
                  </w:r>
                </w:p>
              </w:tc>
              <w:tc>
                <w:tcPr>
                  <w:tcW w:w="680" w:type="pct"/>
                  <w:tcBorders>
                    <w:tl2br w:val="nil"/>
                    <w:tr2bl w:val="nil"/>
                  </w:tcBorders>
                  <w:vAlign w:val="center"/>
                </w:tcPr>
                <w:p w14:paraId="6E86BCFC">
                  <w:pPr>
                    <w:pStyle w:val="46"/>
                    <w:rPr>
                      <w:rFonts w:hint="default"/>
                    </w:rPr>
                  </w:pPr>
                  <w:r>
                    <w:rPr>
                      <w:rFonts w:hint="default"/>
                    </w:rPr>
                    <w:t>COD、BOD</w:t>
                  </w:r>
                  <w:r>
                    <w:rPr>
                      <w:rFonts w:hint="default"/>
                      <w:vertAlign w:val="subscript"/>
                    </w:rPr>
                    <w:t>5</w:t>
                  </w:r>
                  <w:r>
                    <w:rPr>
                      <w:rFonts w:hint="default"/>
                    </w:rPr>
                    <w:t>、SS、NH</w:t>
                  </w:r>
                  <w:r>
                    <w:rPr>
                      <w:rFonts w:hint="default"/>
                      <w:vertAlign w:val="subscript"/>
                    </w:rPr>
                    <w:t>3</w:t>
                  </w:r>
                  <w:r>
                    <w:rPr>
                      <w:rFonts w:hint="default"/>
                    </w:rPr>
                    <w:t>-N、TP</w:t>
                  </w:r>
                </w:p>
              </w:tc>
              <w:tc>
                <w:tcPr>
                  <w:tcW w:w="475" w:type="pct"/>
                  <w:tcBorders>
                    <w:tl2br w:val="nil"/>
                    <w:tr2bl w:val="nil"/>
                  </w:tcBorders>
                  <w:vAlign w:val="center"/>
                </w:tcPr>
                <w:p w14:paraId="420CF2FA">
                  <w:pPr>
                    <w:pStyle w:val="46"/>
                    <w:rPr>
                      <w:rFonts w:hint="default"/>
                    </w:rPr>
                  </w:pPr>
                  <w:r>
                    <w:rPr>
                      <w:rFonts w:hint="default"/>
                    </w:rPr>
                    <w:t>间歇</w:t>
                  </w:r>
                </w:p>
              </w:tc>
              <w:tc>
                <w:tcPr>
                  <w:tcW w:w="997" w:type="pct"/>
                  <w:tcBorders>
                    <w:tl2br w:val="nil"/>
                    <w:tr2bl w:val="nil"/>
                  </w:tcBorders>
                  <w:vAlign w:val="center"/>
                </w:tcPr>
                <w:p w14:paraId="05D23C29">
                  <w:pPr>
                    <w:pStyle w:val="46"/>
                    <w:rPr>
                      <w:rFonts w:hint="default"/>
                    </w:rPr>
                  </w:pPr>
                  <w:r>
                    <w:rPr>
                      <w:rFonts w:hint="default"/>
                    </w:rPr>
                    <w:t>化粪池</w:t>
                  </w:r>
                </w:p>
              </w:tc>
              <w:tc>
                <w:tcPr>
                  <w:tcW w:w="1154" w:type="pct"/>
                  <w:tcBorders>
                    <w:tl2br w:val="nil"/>
                    <w:tr2bl w:val="nil"/>
                  </w:tcBorders>
                  <w:vAlign w:val="center"/>
                </w:tcPr>
                <w:p w14:paraId="6D5AB47A">
                  <w:pPr>
                    <w:pStyle w:val="46"/>
                    <w:rPr>
                      <w:rFonts w:hint="default"/>
                    </w:rPr>
                  </w:pPr>
                  <w:r>
                    <w:rPr>
                      <w:rFonts w:hint="default"/>
                    </w:rPr>
                    <w:t>经化粪池处理后排入</w:t>
                  </w:r>
                  <w:r>
                    <w:rPr>
                      <w:rFonts w:hint="default" w:ascii="Times New Roman" w:hAnsi="Times New Roman" w:cs="Times New Roman"/>
                      <w:lang w:eastAsia="zh-CN"/>
                    </w:rPr>
                    <w:t>淮南首创八公山污水处理厂</w:t>
                  </w:r>
                </w:p>
              </w:tc>
            </w:tr>
            <w:tr w14:paraId="4C9BD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restart"/>
                  <w:tcBorders>
                    <w:tl2br w:val="nil"/>
                    <w:tr2bl w:val="nil"/>
                  </w:tcBorders>
                  <w:vAlign w:val="center"/>
                </w:tcPr>
                <w:p w14:paraId="385DAD08">
                  <w:pPr>
                    <w:pStyle w:val="46"/>
                    <w:rPr>
                      <w:rFonts w:hint="default"/>
                    </w:rPr>
                  </w:pPr>
                  <w:r>
                    <w:rPr>
                      <w:rFonts w:hint="default"/>
                    </w:rPr>
                    <w:t>固废</w:t>
                  </w:r>
                </w:p>
              </w:tc>
              <w:tc>
                <w:tcPr>
                  <w:tcW w:w="688" w:type="pct"/>
                  <w:vMerge w:val="restart"/>
                  <w:tcBorders>
                    <w:tl2br w:val="nil"/>
                    <w:tr2bl w:val="nil"/>
                  </w:tcBorders>
                  <w:vAlign w:val="center"/>
                </w:tcPr>
                <w:p w14:paraId="7CC3E4EB">
                  <w:pPr>
                    <w:pStyle w:val="46"/>
                    <w:rPr>
                      <w:rFonts w:hint="default"/>
                    </w:rPr>
                  </w:pPr>
                  <w:r>
                    <w:rPr>
                      <w:rFonts w:hint="default"/>
                    </w:rPr>
                    <w:t>设备维护</w:t>
                  </w:r>
                </w:p>
              </w:tc>
              <w:tc>
                <w:tcPr>
                  <w:tcW w:w="616" w:type="pct"/>
                  <w:tcBorders>
                    <w:tl2br w:val="nil"/>
                    <w:tr2bl w:val="nil"/>
                  </w:tcBorders>
                  <w:vAlign w:val="center"/>
                </w:tcPr>
                <w:p w14:paraId="0232037C">
                  <w:pPr>
                    <w:pStyle w:val="46"/>
                    <w:rPr>
                      <w:rFonts w:hint="default"/>
                    </w:rPr>
                  </w:pPr>
                  <w:r>
                    <w:rPr>
                      <w:rFonts w:hint="default"/>
                    </w:rPr>
                    <w:t>废矿物油</w:t>
                  </w:r>
                </w:p>
              </w:tc>
              <w:tc>
                <w:tcPr>
                  <w:tcW w:w="680" w:type="pct"/>
                  <w:tcBorders>
                    <w:tl2br w:val="nil"/>
                    <w:tr2bl w:val="nil"/>
                  </w:tcBorders>
                  <w:vAlign w:val="center"/>
                </w:tcPr>
                <w:p w14:paraId="53BC661E">
                  <w:pPr>
                    <w:pStyle w:val="46"/>
                    <w:rPr>
                      <w:rFonts w:hint="default"/>
                    </w:rPr>
                  </w:pPr>
                  <w:r>
                    <w:rPr>
                      <w:rFonts w:hint="default"/>
                    </w:rPr>
                    <w:t>废矿物油</w:t>
                  </w:r>
                </w:p>
              </w:tc>
              <w:tc>
                <w:tcPr>
                  <w:tcW w:w="475" w:type="pct"/>
                  <w:vMerge w:val="restart"/>
                  <w:tcBorders>
                    <w:tl2br w:val="nil"/>
                    <w:tr2bl w:val="nil"/>
                  </w:tcBorders>
                  <w:vAlign w:val="center"/>
                </w:tcPr>
                <w:p w14:paraId="7DA65DF8">
                  <w:pPr>
                    <w:pStyle w:val="46"/>
                    <w:rPr>
                      <w:rFonts w:hint="default"/>
                    </w:rPr>
                  </w:pPr>
                  <w:r>
                    <w:rPr>
                      <w:rFonts w:hint="default"/>
                    </w:rPr>
                    <w:t>间歇</w:t>
                  </w:r>
                </w:p>
              </w:tc>
              <w:tc>
                <w:tcPr>
                  <w:tcW w:w="2152" w:type="pct"/>
                  <w:gridSpan w:val="2"/>
                  <w:vMerge w:val="restart"/>
                  <w:tcBorders>
                    <w:tl2br w:val="nil"/>
                    <w:tr2bl w:val="nil"/>
                  </w:tcBorders>
                  <w:vAlign w:val="center"/>
                </w:tcPr>
                <w:p w14:paraId="726FF877">
                  <w:pPr>
                    <w:pStyle w:val="46"/>
                    <w:rPr>
                      <w:rFonts w:hint="default"/>
                    </w:rPr>
                  </w:pPr>
                  <w:r>
                    <w:rPr>
                      <w:rFonts w:hint="default"/>
                    </w:rPr>
                    <w:t>收集危废间暂存后委托有资质单位处理</w:t>
                  </w:r>
                </w:p>
              </w:tc>
            </w:tr>
            <w:tr w14:paraId="31459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11083A14">
                  <w:pPr>
                    <w:pStyle w:val="46"/>
                    <w:rPr>
                      <w:rFonts w:hint="default"/>
                    </w:rPr>
                  </w:pPr>
                </w:p>
              </w:tc>
              <w:tc>
                <w:tcPr>
                  <w:tcW w:w="688" w:type="pct"/>
                  <w:vMerge w:val="continue"/>
                  <w:tcBorders>
                    <w:tl2br w:val="nil"/>
                    <w:tr2bl w:val="nil"/>
                  </w:tcBorders>
                  <w:vAlign w:val="center"/>
                </w:tcPr>
                <w:p w14:paraId="03A8D9F3">
                  <w:pPr>
                    <w:pStyle w:val="46"/>
                    <w:rPr>
                      <w:rFonts w:hint="default"/>
                    </w:rPr>
                  </w:pPr>
                </w:p>
              </w:tc>
              <w:tc>
                <w:tcPr>
                  <w:tcW w:w="616" w:type="pct"/>
                  <w:tcBorders>
                    <w:tl2br w:val="nil"/>
                    <w:tr2bl w:val="nil"/>
                  </w:tcBorders>
                  <w:vAlign w:val="center"/>
                </w:tcPr>
                <w:p w14:paraId="7FBDFA18">
                  <w:pPr>
                    <w:pStyle w:val="46"/>
                    <w:rPr>
                      <w:rFonts w:hint="default"/>
                    </w:rPr>
                  </w:pPr>
                  <w:r>
                    <w:rPr>
                      <w:rFonts w:hint="default"/>
                    </w:rPr>
                    <w:t>废矿物油</w:t>
                  </w:r>
                </w:p>
              </w:tc>
              <w:tc>
                <w:tcPr>
                  <w:tcW w:w="680" w:type="pct"/>
                  <w:tcBorders>
                    <w:tl2br w:val="nil"/>
                    <w:tr2bl w:val="nil"/>
                  </w:tcBorders>
                  <w:vAlign w:val="center"/>
                </w:tcPr>
                <w:p w14:paraId="36305B1D">
                  <w:pPr>
                    <w:pStyle w:val="46"/>
                    <w:rPr>
                      <w:rFonts w:hint="default"/>
                    </w:rPr>
                  </w:pPr>
                  <w:r>
                    <w:rPr>
                      <w:rFonts w:hint="default"/>
                    </w:rPr>
                    <w:t>废矿物油桶</w:t>
                  </w:r>
                </w:p>
              </w:tc>
              <w:tc>
                <w:tcPr>
                  <w:tcW w:w="475" w:type="pct"/>
                  <w:vMerge w:val="continue"/>
                  <w:tcBorders>
                    <w:tl2br w:val="nil"/>
                    <w:tr2bl w:val="nil"/>
                  </w:tcBorders>
                  <w:vAlign w:val="center"/>
                </w:tcPr>
                <w:p w14:paraId="78242CB1">
                  <w:pPr>
                    <w:pStyle w:val="46"/>
                    <w:rPr>
                      <w:rFonts w:hint="default"/>
                    </w:rPr>
                  </w:pPr>
                </w:p>
              </w:tc>
              <w:tc>
                <w:tcPr>
                  <w:tcW w:w="2152" w:type="pct"/>
                  <w:gridSpan w:val="2"/>
                  <w:vMerge w:val="continue"/>
                  <w:tcBorders>
                    <w:tl2br w:val="nil"/>
                    <w:tr2bl w:val="nil"/>
                  </w:tcBorders>
                  <w:vAlign w:val="center"/>
                </w:tcPr>
                <w:p w14:paraId="1ED3753E">
                  <w:pPr>
                    <w:pStyle w:val="46"/>
                    <w:rPr>
                      <w:rFonts w:hint="default"/>
                    </w:rPr>
                  </w:pPr>
                </w:p>
              </w:tc>
            </w:tr>
            <w:tr w14:paraId="71309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55D4CA40">
                  <w:pPr>
                    <w:pStyle w:val="46"/>
                    <w:rPr>
                      <w:rFonts w:hint="default"/>
                    </w:rPr>
                  </w:pPr>
                </w:p>
              </w:tc>
              <w:tc>
                <w:tcPr>
                  <w:tcW w:w="688" w:type="pct"/>
                  <w:vMerge w:val="continue"/>
                  <w:tcBorders>
                    <w:tl2br w:val="nil"/>
                    <w:tr2bl w:val="nil"/>
                  </w:tcBorders>
                  <w:vAlign w:val="center"/>
                </w:tcPr>
                <w:p w14:paraId="5F5FF002">
                  <w:pPr>
                    <w:pStyle w:val="46"/>
                    <w:rPr>
                      <w:rFonts w:hint="default"/>
                    </w:rPr>
                  </w:pPr>
                </w:p>
              </w:tc>
              <w:tc>
                <w:tcPr>
                  <w:tcW w:w="616" w:type="pct"/>
                  <w:tcBorders>
                    <w:tl2br w:val="nil"/>
                    <w:tr2bl w:val="nil"/>
                  </w:tcBorders>
                  <w:vAlign w:val="center"/>
                </w:tcPr>
                <w:p w14:paraId="7E87791B">
                  <w:pPr>
                    <w:pStyle w:val="46"/>
                    <w:rPr>
                      <w:rFonts w:hint="default"/>
                    </w:rPr>
                  </w:pPr>
                  <w:r>
                    <w:rPr>
                      <w:rFonts w:hint="default"/>
                    </w:rPr>
                    <w:t>含油手套</w:t>
                  </w:r>
                </w:p>
              </w:tc>
              <w:tc>
                <w:tcPr>
                  <w:tcW w:w="680" w:type="pct"/>
                  <w:tcBorders>
                    <w:tl2br w:val="nil"/>
                    <w:tr2bl w:val="nil"/>
                  </w:tcBorders>
                  <w:vAlign w:val="center"/>
                </w:tcPr>
                <w:p w14:paraId="2E3DEEBB">
                  <w:pPr>
                    <w:pStyle w:val="46"/>
                    <w:rPr>
                      <w:rFonts w:hint="default"/>
                    </w:rPr>
                  </w:pPr>
                  <w:r>
                    <w:rPr>
                      <w:rFonts w:hint="default"/>
                    </w:rPr>
                    <w:t>含油手套</w:t>
                  </w:r>
                </w:p>
              </w:tc>
              <w:tc>
                <w:tcPr>
                  <w:tcW w:w="475" w:type="pct"/>
                  <w:vMerge w:val="continue"/>
                  <w:tcBorders>
                    <w:tl2br w:val="nil"/>
                    <w:tr2bl w:val="nil"/>
                  </w:tcBorders>
                  <w:vAlign w:val="center"/>
                </w:tcPr>
                <w:p w14:paraId="18FC4165">
                  <w:pPr>
                    <w:pStyle w:val="46"/>
                    <w:rPr>
                      <w:rFonts w:hint="default"/>
                    </w:rPr>
                  </w:pPr>
                </w:p>
              </w:tc>
              <w:tc>
                <w:tcPr>
                  <w:tcW w:w="2152" w:type="pct"/>
                  <w:gridSpan w:val="2"/>
                  <w:vMerge w:val="continue"/>
                  <w:tcBorders>
                    <w:tl2br w:val="nil"/>
                    <w:tr2bl w:val="nil"/>
                  </w:tcBorders>
                  <w:vAlign w:val="center"/>
                </w:tcPr>
                <w:p w14:paraId="206581C8">
                  <w:pPr>
                    <w:pStyle w:val="46"/>
                    <w:rPr>
                      <w:rFonts w:hint="default"/>
                    </w:rPr>
                  </w:pPr>
                </w:p>
              </w:tc>
            </w:tr>
            <w:tr w14:paraId="17E83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6F3A6150">
                  <w:pPr>
                    <w:pStyle w:val="46"/>
                    <w:rPr>
                      <w:rFonts w:hint="default"/>
                    </w:rPr>
                  </w:pPr>
                </w:p>
              </w:tc>
              <w:tc>
                <w:tcPr>
                  <w:tcW w:w="688" w:type="pct"/>
                  <w:tcBorders>
                    <w:tl2br w:val="nil"/>
                    <w:tr2bl w:val="nil"/>
                  </w:tcBorders>
                  <w:vAlign w:val="center"/>
                </w:tcPr>
                <w:p w14:paraId="2DB42AFB">
                  <w:pPr>
                    <w:pStyle w:val="46"/>
                    <w:rPr>
                      <w:rFonts w:hint="default"/>
                    </w:rPr>
                  </w:pPr>
                  <w:r>
                    <w:rPr>
                      <w:rFonts w:hint="default"/>
                    </w:rPr>
                    <w:t>废气处理</w:t>
                  </w:r>
                </w:p>
              </w:tc>
              <w:tc>
                <w:tcPr>
                  <w:tcW w:w="616" w:type="pct"/>
                  <w:tcBorders>
                    <w:tl2br w:val="nil"/>
                    <w:tr2bl w:val="nil"/>
                  </w:tcBorders>
                  <w:vAlign w:val="center"/>
                </w:tcPr>
                <w:p w14:paraId="73E1AED4">
                  <w:pPr>
                    <w:pStyle w:val="46"/>
                    <w:rPr>
                      <w:rFonts w:hint="default"/>
                    </w:rPr>
                  </w:pPr>
                  <w:r>
                    <w:rPr>
                      <w:rFonts w:hint="default"/>
                    </w:rPr>
                    <w:t>废活性炭</w:t>
                  </w:r>
                </w:p>
              </w:tc>
              <w:tc>
                <w:tcPr>
                  <w:tcW w:w="680" w:type="pct"/>
                  <w:tcBorders>
                    <w:tl2br w:val="nil"/>
                    <w:tr2bl w:val="nil"/>
                  </w:tcBorders>
                  <w:vAlign w:val="center"/>
                </w:tcPr>
                <w:p w14:paraId="33FCFE71">
                  <w:pPr>
                    <w:pStyle w:val="46"/>
                    <w:rPr>
                      <w:rFonts w:hint="default"/>
                    </w:rPr>
                  </w:pPr>
                  <w:r>
                    <w:rPr>
                      <w:rFonts w:hint="default"/>
                    </w:rPr>
                    <w:t>废活性炭</w:t>
                  </w:r>
                </w:p>
              </w:tc>
              <w:tc>
                <w:tcPr>
                  <w:tcW w:w="475" w:type="pct"/>
                  <w:tcBorders>
                    <w:tl2br w:val="nil"/>
                    <w:tr2bl w:val="nil"/>
                  </w:tcBorders>
                  <w:vAlign w:val="center"/>
                </w:tcPr>
                <w:p w14:paraId="0BB9FF9C">
                  <w:pPr>
                    <w:pStyle w:val="46"/>
                    <w:rPr>
                      <w:rFonts w:hint="default"/>
                    </w:rPr>
                  </w:pPr>
                  <w:r>
                    <w:rPr>
                      <w:rFonts w:hint="default"/>
                    </w:rPr>
                    <w:t>间歇</w:t>
                  </w:r>
                </w:p>
              </w:tc>
              <w:tc>
                <w:tcPr>
                  <w:tcW w:w="2152" w:type="pct"/>
                  <w:gridSpan w:val="2"/>
                  <w:vMerge w:val="continue"/>
                  <w:tcBorders>
                    <w:tl2br w:val="nil"/>
                    <w:tr2bl w:val="nil"/>
                  </w:tcBorders>
                  <w:vAlign w:val="center"/>
                </w:tcPr>
                <w:p w14:paraId="798FACE1">
                  <w:pPr>
                    <w:pStyle w:val="46"/>
                    <w:rPr>
                      <w:rFonts w:hint="default"/>
                    </w:rPr>
                  </w:pPr>
                </w:p>
              </w:tc>
            </w:tr>
            <w:tr w14:paraId="5ED51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418DBCC4">
                  <w:pPr>
                    <w:pStyle w:val="46"/>
                    <w:rPr>
                      <w:rFonts w:hint="default"/>
                    </w:rPr>
                  </w:pPr>
                </w:p>
              </w:tc>
              <w:tc>
                <w:tcPr>
                  <w:tcW w:w="688" w:type="pct"/>
                  <w:tcBorders>
                    <w:tl2br w:val="nil"/>
                    <w:tr2bl w:val="nil"/>
                  </w:tcBorders>
                  <w:vAlign w:val="center"/>
                </w:tcPr>
                <w:p w14:paraId="758F736E">
                  <w:pPr>
                    <w:pStyle w:val="46"/>
                    <w:rPr>
                      <w:rFonts w:hint="default"/>
                    </w:rPr>
                  </w:pPr>
                  <w:r>
                    <w:rPr>
                      <w:rFonts w:hint="default"/>
                    </w:rPr>
                    <w:t>废水处理</w:t>
                  </w:r>
                </w:p>
              </w:tc>
              <w:tc>
                <w:tcPr>
                  <w:tcW w:w="616" w:type="pct"/>
                  <w:tcBorders>
                    <w:tl2br w:val="nil"/>
                    <w:tr2bl w:val="nil"/>
                  </w:tcBorders>
                  <w:vAlign w:val="center"/>
                </w:tcPr>
                <w:p w14:paraId="1B4C4710">
                  <w:pPr>
                    <w:pStyle w:val="46"/>
                    <w:rPr>
                      <w:rFonts w:hint="default"/>
                    </w:rPr>
                  </w:pPr>
                  <w:r>
                    <w:rPr>
                      <w:rFonts w:hint="default"/>
                    </w:rPr>
                    <w:t>废防渗透膜</w:t>
                  </w:r>
                </w:p>
              </w:tc>
              <w:tc>
                <w:tcPr>
                  <w:tcW w:w="680" w:type="pct"/>
                  <w:tcBorders>
                    <w:tl2br w:val="nil"/>
                    <w:tr2bl w:val="nil"/>
                  </w:tcBorders>
                  <w:vAlign w:val="center"/>
                </w:tcPr>
                <w:p w14:paraId="584EED47">
                  <w:pPr>
                    <w:pStyle w:val="46"/>
                    <w:rPr>
                      <w:rFonts w:hint="default"/>
                    </w:rPr>
                  </w:pPr>
                  <w:r>
                    <w:rPr>
                      <w:rFonts w:hint="default"/>
                    </w:rPr>
                    <w:t>废防渗透膜</w:t>
                  </w:r>
                </w:p>
              </w:tc>
              <w:tc>
                <w:tcPr>
                  <w:tcW w:w="475" w:type="pct"/>
                  <w:tcBorders>
                    <w:tl2br w:val="nil"/>
                    <w:tr2bl w:val="nil"/>
                  </w:tcBorders>
                  <w:vAlign w:val="center"/>
                </w:tcPr>
                <w:p w14:paraId="66F1AD09">
                  <w:pPr>
                    <w:pStyle w:val="46"/>
                    <w:rPr>
                      <w:rFonts w:hint="default"/>
                    </w:rPr>
                  </w:pPr>
                  <w:r>
                    <w:rPr>
                      <w:rFonts w:hint="default"/>
                    </w:rPr>
                    <w:t>间歇</w:t>
                  </w:r>
                </w:p>
              </w:tc>
              <w:tc>
                <w:tcPr>
                  <w:tcW w:w="2152" w:type="pct"/>
                  <w:gridSpan w:val="2"/>
                  <w:vMerge w:val="continue"/>
                  <w:tcBorders>
                    <w:tl2br w:val="nil"/>
                    <w:tr2bl w:val="nil"/>
                  </w:tcBorders>
                  <w:vAlign w:val="center"/>
                </w:tcPr>
                <w:p w14:paraId="60880FDA">
                  <w:pPr>
                    <w:pStyle w:val="46"/>
                    <w:rPr>
                      <w:rFonts w:hint="default"/>
                    </w:rPr>
                  </w:pPr>
                </w:p>
              </w:tc>
            </w:tr>
            <w:tr w14:paraId="4CFF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303B6965">
                  <w:pPr>
                    <w:pStyle w:val="46"/>
                    <w:rPr>
                      <w:rFonts w:hint="default"/>
                    </w:rPr>
                  </w:pPr>
                </w:p>
              </w:tc>
              <w:tc>
                <w:tcPr>
                  <w:tcW w:w="688" w:type="pct"/>
                  <w:vMerge w:val="restart"/>
                  <w:tcBorders>
                    <w:tl2br w:val="nil"/>
                    <w:tr2bl w:val="nil"/>
                  </w:tcBorders>
                  <w:vAlign w:val="center"/>
                </w:tcPr>
                <w:p w14:paraId="72470248">
                  <w:pPr>
                    <w:pStyle w:val="46"/>
                    <w:rPr>
                      <w:rFonts w:hint="default"/>
                    </w:rPr>
                  </w:pPr>
                  <w:r>
                    <w:rPr>
                      <w:rFonts w:hint="default"/>
                    </w:rPr>
                    <w:t>原料包装材料</w:t>
                  </w:r>
                </w:p>
              </w:tc>
              <w:tc>
                <w:tcPr>
                  <w:tcW w:w="616" w:type="pct"/>
                  <w:tcBorders>
                    <w:tl2br w:val="nil"/>
                    <w:tr2bl w:val="nil"/>
                  </w:tcBorders>
                  <w:vAlign w:val="center"/>
                </w:tcPr>
                <w:p w14:paraId="292F8602">
                  <w:pPr>
                    <w:pStyle w:val="46"/>
                    <w:rPr>
                      <w:rFonts w:hint="default"/>
                    </w:rPr>
                  </w:pPr>
                  <w:r>
                    <w:rPr>
                      <w:rFonts w:hint="default"/>
                    </w:rPr>
                    <w:t>废烧碱包装袋</w:t>
                  </w:r>
                </w:p>
              </w:tc>
              <w:tc>
                <w:tcPr>
                  <w:tcW w:w="680" w:type="pct"/>
                  <w:tcBorders>
                    <w:tl2br w:val="nil"/>
                    <w:tr2bl w:val="nil"/>
                  </w:tcBorders>
                  <w:vAlign w:val="center"/>
                </w:tcPr>
                <w:p w14:paraId="1F34CC53">
                  <w:pPr>
                    <w:pStyle w:val="46"/>
                    <w:rPr>
                      <w:rFonts w:hint="default"/>
                    </w:rPr>
                  </w:pPr>
                  <w:r>
                    <w:rPr>
                      <w:rFonts w:hint="default"/>
                    </w:rPr>
                    <w:t>废烧碱包装袋</w:t>
                  </w:r>
                </w:p>
              </w:tc>
              <w:tc>
                <w:tcPr>
                  <w:tcW w:w="475" w:type="pct"/>
                  <w:tcBorders>
                    <w:tl2br w:val="nil"/>
                    <w:tr2bl w:val="nil"/>
                  </w:tcBorders>
                  <w:vAlign w:val="center"/>
                </w:tcPr>
                <w:p w14:paraId="478F5E93">
                  <w:pPr>
                    <w:pStyle w:val="46"/>
                    <w:rPr>
                      <w:rFonts w:hint="default"/>
                    </w:rPr>
                  </w:pPr>
                  <w:r>
                    <w:rPr>
                      <w:rFonts w:hint="default"/>
                    </w:rPr>
                    <w:t>间歇</w:t>
                  </w:r>
                </w:p>
              </w:tc>
              <w:tc>
                <w:tcPr>
                  <w:tcW w:w="2152" w:type="pct"/>
                  <w:gridSpan w:val="2"/>
                  <w:vMerge w:val="continue"/>
                  <w:tcBorders>
                    <w:tl2br w:val="nil"/>
                    <w:tr2bl w:val="nil"/>
                  </w:tcBorders>
                  <w:vAlign w:val="center"/>
                </w:tcPr>
                <w:p w14:paraId="622BFFBF">
                  <w:pPr>
                    <w:pStyle w:val="46"/>
                    <w:rPr>
                      <w:rFonts w:hint="default"/>
                    </w:rPr>
                  </w:pPr>
                </w:p>
              </w:tc>
            </w:tr>
            <w:tr w14:paraId="541EB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757FA57C">
                  <w:pPr>
                    <w:pStyle w:val="46"/>
                    <w:rPr>
                      <w:rFonts w:hint="default"/>
                    </w:rPr>
                  </w:pPr>
                </w:p>
              </w:tc>
              <w:tc>
                <w:tcPr>
                  <w:tcW w:w="688" w:type="pct"/>
                  <w:vMerge w:val="continue"/>
                  <w:tcBorders>
                    <w:tl2br w:val="nil"/>
                    <w:tr2bl w:val="nil"/>
                  </w:tcBorders>
                  <w:vAlign w:val="center"/>
                </w:tcPr>
                <w:p w14:paraId="3CFC7B89">
                  <w:pPr>
                    <w:pStyle w:val="46"/>
                    <w:rPr>
                      <w:rFonts w:hint="default"/>
                    </w:rPr>
                  </w:pPr>
                </w:p>
              </w:tc>
              <w:tc>
                <w:tcPr>
                  <w:tcW w:w="616" w:type="pct"/>
                  <w:tcBorders>
                    <w:tl2br w:val="nil"/>
                    <w:tr2bl w:val="nil"/>
                  </w:tcBorders>
                  <w:vAlign w:val="center"/>
                </w:tcPr>
                <w:p w14:paraId="3D1C096A">
                  <w:pPr>
                    <w:pStyle w:val="46"/>
                    <w:rPr>
                      <w:rFonts w:hint="default"/>
                    </w:rPr>
                  </w:pPr>
                  <w:r>
                    <w:rPr>
                      <w:rFonts w:hint="default"/>
                    </w:rPr>
                    <w:t>废硼砂包装袋</w:t>
                  </w:r>
                </w:p>
              </w:tc>
              <w:tc>
                <w:tcPr>
                  <w:tcW w:w="680" w:type="pct"/>
                  <w:tcBorders>
                    <w:tl2br w:val="nil"/>
                    <w:tr2bl w:val="nil"/>
                  </w:tcBorders>
                  <w:vAlign w:val="center"/>
                </w:tcPr>
                <w:p w14:paraId="77A20EC2">
                  <w:pPr>
                    <w:pStyle w:val="46"/>
                    <w:rPr>
                      <w:rFonts w:hint="default"/>
                    </w:rPr>
                  </w:pPr>
                  <w:r>
                    <w:rPr>
                      <w:rFonts w:hint="default"/>
                    </w:rPr>
                    <w:t>废硼砂包装袋</w:t>
                  </w:r>
                </w:p>
              </w:tc>
              <w:tc>
                <w:tcPr>
                  <w:tcW w:w="475" w:type="pct"/>
                  <w:tcBorders>
                    <w:tl2br w:val="nil"/>
                    <w:tr2bl w:val="nil"/>
                  </w:tcBorders>
                  <w:vAlign w:val="center"/>
                </w:tcPr>
                <w:p w14:paraId="1F1D0DDB">
                  <w:pPr>
                    <w:pStyle w:val="46"/>
                    <w:rPr>
                      <w:rFonts w:hint="default"/>
                    </w:rPr>
                  </w:pPr>
                  <w:r>
                    <w:rPr>
                      <w:rFonts w:hint="default"/>
                    </w:rPr>
                    <w:t>间歇</w:t>
                  </w:r>
                </w:p>
              </w:tc>
              <w:tc>
                <w:tcPr>
                  <w:tcW w:w="2152" w:type="pct"/>
                  <w:gridSpan w:val="2"/>
                  <w:vMerge w:val="continue"/>
                  <w:tcBorders>
                    <w:tl2br w:val="nil"/>
                    <w:tr2bl w:val="nil"/>
                  </w:tcBorders>
                  <w:vAlign w:val="center"/>
                </w:tcPr>
                <w:p w14:paraId="38A95B42">
                  <w:pPr>
                    <w:pStyle w:val="46"/>
                    <w:rPr>
                      <w:rFonts w:hint="default"/>
                    </w:rPr>
                  </w:pPr>
                </w:p>
              </w:tc>
            </w:tr>
            <w:tr w14:paraId="22797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3A7F384D">
                  <w:pPr>
                    <w:pStyle w:val="46"/>
                    <w:rPr>
                      <w:rFonts w:hint="default"/>
                    </w:rPr>
                  </w:pPr>
                </w:p>
              </w:tc>
              <w:tc>
                <w:tcPr>
                  <w:tcW w:w="688" w:type="pct"/>
                  <w:vMerge w:val="continue"/>
                  <w:tcBorders>
                    <w:tl2br w:val="nil"/>
                    <w:tr2bl w:val="nil"/>
                  </w:tcBorders>
                  <w:vAlign w:val="center"/>
                </w:tcPr>
                <w:p w14:paraId="3D9FA8DB">
                  <w:pPr>
                    <w:pStyle w:val="46"/>
                    <w:rPr>
                      <w:rFonts w:hint="default"/>
                    </w:rPr>
                  </w:pPr>
                </w:p>
              </w:tc>
              <w:tc>
                <w:tcPr>
                  <w:tcW w:w="616" w:type="pct"/>
                  <w:tcBorders>
                    <w:tl2br w:val="nil"/>
                    <w:tr2bl w:val="nil"/>
                  </w:tcBorders>
                  <w:vAlign w:val="center"/>
                </w:tcPr>
                <w:p w14:paraId="311DACF4">
                  <w:pPr>
                    <w:pStyle w:val="46"/>
                    <w:rPr>
                      <w:rFonts w:hint="default"/>
                    </w:rPr>
                  </w:pPr>
                  <w:r>
                    <w:rPr>
                      <w:rFonts w:hint="default"/>
                    </w:rPr>
                    <w:t>废原料桶（废水性油墨）</w:t>
                  </w:r>
                </w:p>
              </w:tc>
              <w:tc>
                <w:tcPr>
                  <w:tcW w:w="680" w:type="pct"/>
                  <w:tcBorders>
                    <w:tl2br w:val="nil"/>
                    <w:tr2bl w:val="nil"/>
                  </w:tcBorders>
                  <w:vAlign w:val="center"/>
                </w:tcPr>
                <w:p w14:paraId="5A80ECD9">
                  <w:pPr>
                    <w:pStyle w:val="46"/>
                    <w:rPr>
                      <w:rFonts w:hint="default"/>
                    </w:rPr>
                  </w:pPr>
                  <w:r>
                    <w:rPr>
                      <w:rFonts w:hint="default"/>
                    </w:rPr>
                    <w:t>废原料桶（废水性油墨）</w:t>
                  </w:r>
                </w:p>
              </w:tc>
              <w:tc>
                <w:tcPr>
                  <w:tcW w:w="475" w:type="pct"/>
                  <w:tcBorders>
                    <w:tl2br w:val="nil"/>
                    <w:tr2bl w:val="nil"/>
                  </w:tcBorders>
                  <w:vAlign w:val="center"/>
                </w:tcPr>
                <w:p w14:paraId="1F0B235D">
                  <w:pPr>
                    <w:pStyle w:val="46"/>
                    <w:rPr>
                      <w:rFonts w:hint="default"/>
                    </w:rPr>
                  </w:pPr>
                  <w:r>
                    <w:rPr>
                      <w:rFonts w:hint="default"/>
                    </w:rPr>
                    <w:t>间歇</w:t>
                  </w:r>
                </w:p>
              </w:tc>
              <w:tc>
                <w:tcPr>
                  <w:tcW w:w="2152" w:type="pct"/>
                  <w:gridSpan w:val="2"/>
                  <w:vMerge w:val="continue"/>
                  <w:tcBorders>
                    <w:tl2br w:val="nil"/>
                    <w:tr2bl w:val="nil"/>
                  </w:tcBorders>
                  <w:vAlign w:val="center"/>
                </w:tcPr>
                <w:p w14:paraId="09587B28">
                  <w:pPr>
                    <w:pStyle w:val="46"/>
                    <w:rPr>
                      <w:rFonts w:hint="default"/>
                    </w:rPr>
                  </w:pPr>
                </w:p>
              </w:tc>
            </w:tr>
            <w:tr w14:paraId="205D2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2893787B">
                  <w:pPr>
                    <w:pStyle w:val="46"/>
                    <w:rPr>
                      <w:rFonts w:hint="default"/>
                    </w:rPr>
                  </w:pPr>
                </w:p>
              </w:tc>
              <w:tc>
                <w:tcPr>
                  <w:tcW w:w="688" w:type="pct"/>
                  <w:vMerge w:val="restart"/>
                  <w:tcBorders>
                    <w:tl2br w:val="nil"/>
                    <w:tr2bl w:val="nil"/>
                  </w:tcBorders>
                  <w:vAlign w:val="center"/>
                </w:tcPr>
                <w:p w14:paraId="3C81DFEC">
                  <w:pPr>
                    <w:pStyle w:val="46"/>
                    <w:rPr>
                      <w:rFonts w:hint="default"/>
                    </w:rPr>
                  </w:pPr>
                  <w:r>
                    <w:rPr>
                      <w:rFonts w:hint="default"/>
                    </w:rPr>
                    <w:t>生产线</w:t>
                  </w:r>
                </w:p>
              </w:tc>
              <w:tc>
                <w:tcPr>
                  <w:tcW w:w="616" w:type="pct"/>
                  <w:tcBorders>
                    <w:tl2br w:val="nil"/>
                    <w:tr2bl w:val="nil"/>
                  </w:tcBorders>
                  <w:vAlign w:val="center"/>
                </w:tcPr>
                <w:p w14:paraId="5D784762">
                  <w:pPr>
                    <w:pStyle w:val="46"/>
                    <w:rPr>
                      <w:rFonts w:hint="default"/>
                    </w:rPr>
                  </w:pPr>
                  <w:r>
                    <w:rPr>
                      <w:rFonts w:hint="default"/>
                    </w:rPr>
                    <w:t>废玉米粉包装袋</w:t>
                  </w:r>
                </w:p>
              </w:tc>
              <w:tc>
                <w:tcPr>
                  <w:tcW w:w="680" w:type="pct"/>
                  <w:tcBorders>
                    <w:tl2br w:val="nil"/>
                    <w:tr2bl w:val="nil"/>
                  </w:tcBorders>
                  <w:vAlign w:val="center"/>
                </w:tcPr>
                <w:p w14:paraId="6A5774F5">
                  <w:pPr>
                    <w:pStyle w:val="46"/>
                    <w:rPr>
                      <w:rFonts w:hint="default"/>
                    </w:rPr>
                  </w:pPr>
                  <w:r>
                    <w:rPr>
                      <w:rFonts w:hint="default"/>
                    </w:rPr>
                    <w:t>废玉米粉包装袋</w:t>
                  </w:r>
                </w:p>
              </w:tc>
              <w:tc>
                <w:tcPr>
                  <w:tcW w:w="475" w:type="pct"/>
                  <w:tcBorders>
                    <w:tl2br w:val="nil"/>
                    <w:tr2bl w:val="nil"/>
                  </w:tcBorders>
                  <w:vAlign w:val="center"/>
                </w:tcPr>
                <w:p w14:paraId="382ECC99">
                  <w:pPr>
                    <w:pStyle w:val="46"/>
                    <w:rPr>
                      <w:rFonts w:hint="default"/>
                    </w:rPr>
                  </w:pPr>
                  <w:r>
                    <w:rPr>
                      <w:rFonts w:hint="default"/>
                    </w:rPr>
                    <w:t>间歇</w:t>
                  </w:r>
                </w:p>
              </w:tc>
              <w:tc>
                <w:tcPr>
                  <w:tcW w:w="2152" w:type="pct"/>
                  <w:gridSpan w:val="2"/>
                  <w:vMerge w:val="restart"/>
                  <w:tcBorders>
                    <w:tl2br w:val="nil"/>
                    <w:tr2bl w:val="nil"/>
                  </w:tcBorders>
                  <w:vAlign w:val="center"/>
                </w:tcPr>
                <w:p w14:paraId="766BCB24">
                  <w:pPr>
                    <w:pStyle w:val="46"/>
                    <w:rPr>
                      <w:rFonts w:hint="default"/>
                    </w:rPr>
                  </w:pPr>
                  <w:r>
                    <w:rPr>
                      <w:rFonts w:hint="default"/>
                    </w:rPr>
                    <w:t>收集后一般固废间暂存由物资公司回收</w:t>
                  </w:r>
                </w:p>
              </w:tc>
            </w:tr>
            <w:tr w14:paraId="34EA9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2FE6D43F">
                  <w:pPr>
                    <w:pStyle w:val="46"/>
                    <w:rPr>
                      <w:rFonts w:hint="default"/>
                    </w:rPr>
                  </w:pPr>
                </w:p>
              </w:tc>
              <w:tc>
                <w:tcPr>
                  <w:tcW w:w="688" w:type="pct"/>
                  <w:vMerge w:val="continue"/>
                  <w:tcBorders>
                    <w:tl2br w:val="nil"/>
                    <w:tr2bl w:val="nil"/>
                  </w:tcBorders>
                  <w:vAlign w:val="center"/>
                </w:tcPr>
                <w:p w14:paraId="45694AC1">
                  <w:pPr>
                    <w:pStyle w:val="46"/>
                    <w:rPr>
                      <w:rFonts w:hint="default"/>
                    </w:rPr>
                  </w:pPr>
                </w:p>
              </w:tc>
              <w:tc>
                <w:tcPr>
                  <w:tcW w:w="616" w:type="pct"/>
                  <w:tcBorders>
                    <w:tl2br w:val="nil"/>
                    <w:tr2bl w:val="nil"/>
                  </w:tcBorders>
                  <w:vAlign w:val="center"/>
                </w:tcPr>
                <w:p w14:paraId="7365AE18">
                  <w:pPr>
                    <w:pStyle w:val="46"/>
                    <w:rPr>
                      <w:rFonts w:hint="default"/>
                    </w:rPr>
                  </w:pPr>
                  <w:r>
                    <w:rPr>
                      <w:rFonts w:hint="default"/>
                    </w:rPr>
                    <w:t>废扁丝</w:t>
                  </w:r>
                </w:p>
              </w:tc>
              <w:tc>
                <w:tcPr>
                  <w:tcW w:w="680" w:type="pct"/>
                  <w:tcBorders>
                    <w:tl2br w:val="nil"/>
                    <w:tr2bl w:val="nil"/>
                  </w:tcBorders>
                  <w:vAlign w:val="center"/>
                </w:tcPr>
                <w:p w14:paraId="1ED4C2B6">
                  <w:pPr>
                    <w:pStyle w:val="46"/>
                    <w:rPr>
                      <w:rFonts w:hint="default"/>
                    </w:rPr>
                  </w:pPr>
                  <w:r>
                    <w:rPr>
                      <w:rFonts w:hint="default"/>
                    </w:rPr>
                    <w:t>废扁丝</w:t>
                  </w:r>
                </w:p>
              </w:tc>
              <w:tc>
                <w:tcPr>
                  <w:tcW w:w="475" w:type="pct"/>
                  <w:tcBorders>
                    <w:tl2br w:val="nil"/>
                    <w:tr2bl w:val="nil"/>
                  </w:tcBorders>
                  <w:vAlign w:val="center"/>
                </w:tcPr>
                <w:p w14:paraId="633E7A7C">
                  <w:pPr>
                    <w:pStyle w:val="46"/>
                    <w:rPr>
                      <w:rFonts w:hint="default"/>
                    </w:rPr>
                  </w:pPr>
                  <w:r>
                    <w:rPr>
                      <w:rFonts w:hint="default"/>
                    </w:rPr>
                    <w:t>间歇</w:t>
                  </w:r>
                </w:p>
              </w:tc>
              <w:tc>
                <w:tcPr>
                  <w:tcW w:w="2152" w:type="pct"/>
                  <w:gridSpan w:val="2"/>
                  <w:vMerge w:val="continue"/>
                  <w:tcBorders>
                    <w:tl2br w:val="nil"/>
                    <w:tr2bl w:val="nil"/>
                  </w:tcBorders>
                  <w:vAlign w:val="center"/>
                </w:tcPr>
                <w:p w14:paraId="6EEDD3FD">
                  <w:pPr>
                    <w:pStyle w:val="46"/>
                    <w:rPr>
                      <w:rFonts w:hint="default"/>
                    </w:rPr>
                  </w:pPr>
                </w:p>
              </w:tc>
            </w:tr>
            <w:tr w14:paraId="17D94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2669104D">
                  <w:pPr>
                    <w:pStyle w:val="46"/>
                    <w:rPr>
                      <w:rFonts w:hint="default"/>
                    </w:rPr>
                  </w:pPr>
                </w:p>
              </w:tc>
              <w:tc>
                <w:tcPr>
                  <w:tcW w:w="688" w:type="pct"/>
                  <w:vMerge w:val="continue"/>
                  <w:tcBorders>
                    <w:tl2br w:val="nil"/>
                    <w:tr2bl w:val="nil"/>
                  </w:tcBorders>
                  <w:vAlign w:val="center"/>
                </w:tcPr>
                <w:p w14:paraId="27A31B9D">
                  <w:pPr>
                    <w:pStyle w:val="46"/>
                    <w:rPr>
                      <w:rFonts w:hint="default"/>
                    </w:rPr>
                  </w:pPr>
                </w:p>
              </w:tc>
              <w:tc>
                <w:tcPr>
                  <w:tcW w:w="616" w:type="pct"/>
                  <w:tcBorders>
                    <w:tl2br w:val="nil"/>
                    <w:tr2bl w:val="nil"/>
                  </w:tcBorders>
                  <w:vAlign w:val="center"/>
                </w:tcPr>
                <w:p w14:paraId="37670E02">
                  <w:pPr>
                    <w:pStyle w:val="46"/>
                    <w:rPr>
                      <w:rFonts w:hint="default"/>
                    </w:rPr>
                  </w:pPr>
                  <w:r>
                    <w:rPr>
                      <w:rFonts w:hint="default"/>
                    </w:rPr>
                    <w:t>印刷工序</w:t>
                  </w:r>
                </w:p>
              </w:tc>
              <w:tc>
                <w:tcPr>
                  <w:tcW w:w="680" w:type="pct"/>
                  <w:tcBorders>
                    <w:tl2br w:val="nil"/>
                    <w:tr2bl w:val="nil"/>
                  </w:tcBorders>
                  <w:vAlign w:val="center"/>
                </w:tcPr>
                <w:p w14:paraId="07913082">
                  <w:pPr>
                    <w:pStyle w:val="46"/>
                    <w:rPr>
                      <w:rFonts w:hint="default"/>
                    </w:rPr>
                  </w:pPr>
                  <w:r>
                    <w:rPr>
                      <w:rFonts w:hint="default"/>
                    </w:rPr>
                    <w:t xml:space="preserve">废印版 </w:t>
                  </w:r>
                </w:p>
              </w:tc>
              <w:tc>
                <w:tcPr>
                  <w:tcW w:w="475" w:type="pct"/>
                  <w:tcBorders>
                    <w:tl2br w:val="nil"/>
                    <w:tr2bl w:val="nil"/>
                  </w:tcBorders>
                  <w:vAlign w:val="center"/>
                </w:tcPr>
                <w:p w14:paraId="67FE8D2B">
                  <w:pPr>
                    <w:pStyle w:val="46"/>
                    <w:rPr>
                      <w:rFonts w:hint="default"/>
                    </w:rPr>
                  </w:pPr>
                  <w:r>
                    <w:rPr>
                      <w:rFonts w:hint="default"/>
                    </w:rPr>
                    <w:t>间歇</w:t>
                  </w:r>
                </w:p>
              </w:tc>
              <w:tc>
                <w:tcPr>
                  <w:tcW w:w="2152" w:type="pct"/>
                  <w:gridSpan w:val="2"/>
                  <w:vMerge w:val="continue"/>
                  <w:tcBorders>
                    <w:tl2br w:val="nil"/>
                    <w:tr2bl w:val="nil"/>
                  </w:tcBorders>
                  <w:vAlign w:val="center"/>
                </w:tcPr>
                <w:p w14:paraId="2B7A8F54">
                  <w:pPr>
                    <w:pStyle w:val="46"/>
                    <w:rPr>
                      <w:rFonts w:hint="default"/>
                    </w:rPr>
                  </w:pPr>
                </w:p>
              </w:tc>
            </w:tr>
            <w:tr w14:paraId="497FC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04BDA5AC">
                  <w:pPr>
                    <w:pStyle w:val="46"/>
                    <w:rPr>
                      <w:rFonts w:hint="default"/>
                    </w:rPr>
                  </w:pPr>
                </w:p>
              </w:tc>
              <w:tc>
                <w:tcPr>
                  <w:tcW w:w="688" w:type="pct"/>
                  <w:vMerge w:val="continue"/>
                  <w:tcBorders>
                    <w:tl2br w:val="nil"/>
                    <w:tr2bl w:val="nil"/>
                  </w:tcBorders>
                  <w:vAlign w:val="center"/>
                </w:tcPr>
                <w:p w14:paraId="7A896F4D">
                  <w:pPr>
                    <w:pStyle w:val="46"/>
                    <w:rPr>
                      <w:rFonts w:hint="default"/>
                    </w:rPr>
                  </w:pPr>
                </w:p>
              </w:tc>
              <w:tc>
                <w:tcPr>
                  <w:tcW w:w="616" w:type="pct"/>
                  <w:tcBorders>
                    <w:tl2br w:val="nil"/>
                    <w:tr2bl w:val="nil"/>
                  </w:tcBorders>
                  <w:vAlign w:val="center"/>
                </w:tcPr>
                <w:p w14:paraId="057FE98B">
                  <w:pPr>
                    <w:pStyle w:val="46"/>
                    <w:rPr>
                      <w:rFonts w:hint="default"/>
                    </w:rPr>
                  </w:pPr>
                  <w:r>
                    <w:rPr>
                      <w:rFonts w:hint="default"/>
                    </w:rPr>
                    <w:t>生产过程</w:t>
                  </w:r>
                </w:p>
              </w:tc>
              <w:tc>
                <w:tcPr>
                  <w:tcW w:w="680" w:type="pct"/>
                  <w:tcBorders>
                    <w:tl2br w:val="nil"/>
                    <w:tr2bl w:val="nil"/>
                  </w:tcBorders>
                  <w:vAlign w:val="center"/>
                </w:tcPr>
                <w:p w14:paraId="172F23AF">
                  <w:pPr>
                    <w:pStyle w:val="46"/>
                    <w:rPr>
                      <w:rFonts w:hint="default"/>
                    </w:rPr>
                  </w:pPr>
                  <w:r>
                    <w:rPr>
                      <w:rFonts w:hint="default"/>
                    </w:rPr>
                    <w:t>废边角料、不合格品</w:t>
                  </w:r>
                </w:p>
              </w:tc>
              <w:tc>
                <w:tcPr>
                  <w:tcW w:w="475" w:type="pct"/>
                  <w:tcBorders>
                    <w:tl2br w:val="nil"/>
                    <w:tr2bl w:val="nil"/>
                  </w:tcBorders>
                  <w:vAlign w:val="center"/>
                </w:tcPr>
                <w:p w14:paraId="0678AE2B">
                  <w:pPr>
                    <w:pStyle w:val="46"/>
                    <w:rPr>
                      <w:rFonts w:hint="default"/>
                    </w:rPr>
                  </w:pPr>
                  <w:r>
                    <w:rPr>
                      <w:rFonts w:hint="default"/>
                    </w:rPr>
                    <w:t>间歇</w:t>
                  </w:r>
                </w:p>
              </w:tc>
              <w:tc>
                <w:tcPr>
                  <w:tcW w:w="2152" w:type="pct"/>
                  <w:gridSpan w:val="2"/>
                  <w:vMerge w:val="continue"/>
                  <w:tcBorders>
                    <w:tl2br w:val="nil"/>
                    <w:tr2bl w:val="nil"/>
                  </w:tcBorders>
                  <w:vAlign w:val="center"/>
                </w:tcPr>
                <w:p w14:paraId="5EBE66EF">
                  <w:pPr>
                    <w:pStyle w:val="46"/>
                    <w:rPr>
                      <w:rFonts w:hint="default"/>
                    </w:rPr>
                  </w:pPr>
                </w:p>
              </w:tc>
            </w:tr>
            <w:tr w14:paraId="5CA5F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vMerge w:val="continue"/>
                  <w:tcBorders>
                    <w:tl2br w:val="nil"/>
                    <w:tr2bl w:val="nil"/>
                  </w:tcBorders>
                  <w:vAlign w:val="center"/>
                </w:tcPr>
                <w:p w14:paraId="46A7E33A">
                  <w:pPr>
                    <w:pStyle w:val="46"/>
                    <w:rPr>
                      <w:rFonts w:hint="default"/>
                    </w:rPr>
                  </w:pPr>
                </w:p>
              </w:tc>
              <w:tc>
                <w:tcPr>
                  <w:tcW w:w="688" w:type="pct"/>
                  <w:tcBorders>
                    <w:tl2br w:val="nil"/>
                    <w:tr2bl w:val="nil"/>
                  </w:tcBorders>
                  <w:vAlign w:val="center"/>
                </w:tcPr>
                <w:p w14:paraId="31C50B20">
                  <w:pPr>
                    <w:pStyle w:val="46"/>
                    <w:rPr>
                      <w:rFonts w:hint="default"/>
                    </w:rPr>
                  </w:pPr>
                  <w:r>
                    <w:rPr>
                      <w:rFonts w:hint="default"/>
                    </w:rPr>
                    <w:t>员工生活</w:t>
                  </w:r>
                </w:p>
              </w:tc>
              <w:tc>
                <w:tcPr>
                  <w:tcW w:w="616" w:type="pct"/>
                  <w:tcBorders>
                    <w:tl2br w:val="nil"/>
                    <w:tr2bl w:val="nil"/>
                  </w:tcBorders>
                  <w:vAlign w:val="center"/>
                </w:tcPr>
                <w:p w14:paraId="6F48A968">
                  <w:pPr>
                    <w:pStyle w:val="46"/>
                    <w:rPr>
                      <w:rFonts w:hint="default"/>
                    </w:rPr>
                  </w:pPr>
                  <w:r>
                    <w:rPr>
                      <w:rFonts w:hint="default"/>
                    </w:rPr>
                    <w:t>员工生活</w:t>
                  </w:r>
                </w:p>
              </w:tc>
              <w:tc>
                <w:tcPr>
                  <w:tcW w:w="680" w:type="pct"/>
                  <w:tcBorders>
                    <w:tl2br w:val="nil"/>
                    <w:tr2bl w:val="nil"/>
                  </w:tcBorders>
                  <w:vAlign w:val="center"/>
                </w:tcPr>
                <w:p w14:paraId="5197F25E">
                  <w:pPr>
                    <w:pStyle w:val="46"/>
                    <w:rPr>
                      <w:rFonts w:hint="default"/>
                    </w:rPr>
                  </w:pPr>
                  <w:r>
                    <w:rPr>
                      <w:rFonts w:hint="default"/>
                    </w:rPr>
                    <w:t>生活垃圾</w:t>
                  </w:r>
                </w:p>
              </w:tc>
              <w:tc>
                <w:tcPr>
                  <w:tcW w:w="475" w:type="pct"/>
                  <w:tcBorders>
                    <w:tl2br w:val="nil"/>
                    <w:tr2bl w:val="nil"/>
                  </w:tcBorders>
                  <w:vAlign w:val="center"/>
                </w:tcPr>
                <w:p w14:paraId="4D39D617">
                  <w:pPr>
                    <w:pStyle w:val="46"/>
                    <w:rPr>
                      <w:rFonts w:hint="default"/>
                    </w:rPr>
                  </w:pPr>
                  <w:r>
                    <w:rPr>
                      <w:rFonts w:hint="default"/>
                    </w:rPr>
                    <w:t>间歇</w:t>
                  </w:r>
                </w:p>
              </w:tc>
              <w:tc>
                <w:tcPr>
                  <w:tcW w:w="2152" w:type="pct"/>
                  <w:gridSpan w:val="2"/>
                  <w:tcBorders>
                    <w:tl2br w:val="nil"/>
                    <w:tr2bl w:val="nil"/>
                  </w:tcBorders>
                  <w:vAlign w:val="center"/>
                </w:tcPr>
                <w:p w14:paraId="3ED7174F">
                  <w:pPr>
                    <w:pStyle w:val="46"/>
                    <w:rPr>
                      <w:rFonts w:hint="default"/>
                    </w:rPr>
                  </w:pPr>
                  <w:r>
                    <w:rPr>
                      <w:rFonts w:hint="default"/>
                    </w:rPr>
                    <w:t>环卫部门定期清运处理</w:t>
                  </w:r>
                </w:p>
              </w:tc>
            </w:tr>
            <w:tr w14:paraId="24C57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87" w:type="pct"/>
                  <w:tcBorders>
                    <w:tl2br w:val="nil"/>
                    <w:tr2bl w:val="nil"/>
                  </w:tcBorders>
                  <w:vAlign w:val="center"/>
                </w:tcPr>
                <w:p w14:paraId="66A2DAFF">
                  <w:pPr>
                    <w:pStyle w:val="46"/>
                    <w:rPr>
                      <w:rFonts w:hint="default"/>
                    </w:rPr>
                  </w:pPr>
                  <w:r>
                    <w:rPr>
                      <w:rFonts w:hint="default"/>
                    </w:rPr>
                    <w:t>噪声</w:t>
                  </w:r>
                </w:p>
              </w:tc>
              <w:tc>
                <w:tcPr>
                  <w:tcW w:w="688" w:type="pct"/>
                  <w:tcBorders>
                    <w:tl2br w:val="nil"/>
                    <w:tr2bl w:val="nil"/>
                  </w:tcBorders>
                  <w:vAlign w:val="center"/>
                </w:tcPr>
                <w:p w14:paraId="10B85210">
                  <w:pPr>
                    <w:pStyle w:val="46"/>
                    <w:rPr>
                      <w:rFonts w:hint="default"/>
                    </w:rPr>
                  </w:pPr>
                  <w:r>
                    <w:rPr>
                      <w:rFonts w:hint="default"/>
                    </w:rPr>
                    <w:t>生产线</w:t>
                  </w:r>
                </w:p>
              </w:tc>
              <w:tc>
                <w:tcPr>
                  <w:tcW w:w="616" w:type="pct"/>
                  <w:tcBorders>
                    <w:tl2br w:val="nil"/>
                    <w:tr2bl w:val="nil"/>
                  </w:tcBorders>
                  <w:vAlign w:val="center"/>
                </w:tcPr>
                <w:p w14:paraId="0A30F919">
                  <w:pPr>
                    <w:pStyle w:val="46"/>
                    <w:rPr>
                      <w:rFonts w:hint="default"/>
                    </w:rPr>
                  </w:pPr>
                  <w:r>
                    <w:rPr>
                      <w:rFonts w:hint="default"/>
                    </w:rPr>
                    <w:t>生产设备</w:t>
                  </w:r>
                </w:p>
              </w:tc>
              <w:tc>
                <w:tcPr>
                  <w:tcW w:w="680" w:type="pct"/>
                  <w:tcBorders>
                    <w:tl2br w:val="nil"/>
                    <w:tr2bl w:val="nil"/>
                  </w:tcBorders>
                  <w:vAlign w:val="center"/>
                </w:tcPr>
                <w:p w14:paraId="13D0D9ED">
                  <w:pPr>
                    <w:pStyle w:val="46"/>
                    <w:rPr>
                      <w:rFonts w:hint="default"/>
                    </w:rPr>
                  </w:pPr>
                  <w:r>
                    <w:rPr>
                      <w:rFonts w:hint="default"/>
                    </w:rPr>
                    <w:t>动力性噪声</w:t>
                  </w:r>
                </w:p>
              </w:tc>
              <w:tc>
                <w:tcPr>
                  <w:tcW w:w="475" w:type="pct"/>
                  <w:tcBorders>
                    <w:tl2br w:val="nil"/>
                    <w:tr2bl w:val="nil"/>
                  </w:tcBorders>
                  <w:vAlign w:val="center"/>
                </w:tcPr>
                <w:p w14:paraId="4E450228">
                  <w:pPr>
                    <w:pStyle w:val="46"/>
                    <w:rPr>
                      <w:rFonts w:hint="default"/>
                    </w:rPr>
                  </w:pPr>
                  <w:r>
                    <w:rPr>
                      <w:rFonts w:hint="default"/>
                    </w:rPr>
                    <w:t>连续</w:t>
                  </w:r>
                </w:p>
              </w:tc>
              <w:tc>
                <w:tcPr>
                  <w:tcW w:w="2152" w:type="pct"/>
                  <w:gridSpan w:val="2"/>
                  <w:tcBorders>
                    <w:tl2br w:val="nil"/>
                    <w:tr2bl w:val="nil"/>
                  </w:tcBorders>
                  <w:vAlign w:val="center"/>
                </w:tcPr>
                <w:p w14:paraId="4870A70D">
                  <w:pPr>
                    <w:pStyle w:val="46"/>
                    <w:rPr>
                      <w:rFonts w:hint="default"/>
                    </w:rPr>
                  </w:pPr>
                  <w:r>
                    <w:rPr>
                      <w:rFonts w:hint="default"/>
                    </w:rPr>
                    <w:t>选用低噪声设备、设置减震基础、设备间隔声</w:t>
                  </w:r>
                </w:p>
              </w:tc>
            </w:tr>
          </w:tbl>
          <w:p w14:paraId="4612C649">
            <w:pPr>
              <w:rPr>
                <w:rFonts w:hint="default" w:ascii="Times New Roman" w:hAnsi="Times New Roman" w:cs="Times New Roman"/>
              </w:rPr>
            </w:pPr>
          </w:p>
        </w:tc>
      </w:tr>
      <w:tr w14:paraId="2085B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4" w:hRule="atLeast"/>
          <w:jc w:val="center"/>
        </w:trPr>
        <w:tc>
          <w:tcPr>
            <w:tcW w:w="442" w:type="dxa"/>
            <w:vAlign w:val="center"/>
          </w:tcPr>
          <w:p w14:paraId="17E8391A">
            <w:pPr>
              <w:overflowPunct w:val="0"/>
              <w:autoSpaceDE w:val="0"/>
              <w:autoSpaceDN w:val="0"/>
              <w:spacing w:line="240" w:lineRule="auto"/>
              <w:jc w:val="center"/>
              <w:rPr>
                <w:rFonts w:hint="default" w:ascii="Times New Roman" w:hAnsi="Times New Roman" w:cs="Times New Roman"/>
              </w:rPr>
            </w:pPr>
            <w:r>
              <w:rPr>
                <w:rFonts w:hint="default" w:ascii="Times New Roman" w:hAnsi="Times New Roman" w:cs="Times New Roman"/>
              </w:rPr>
              <w:t>与</w:t>
            </w:r>
            <w:r>
              <w:rPr>
                <w:rFonts w:hint="default" w:ascii="Times New Roman" w:hAnsi="Times New Roman" w:cs="Times New Roman"/>
                <w:bCs/>
              </w:rPr>
              <w:t>项目有关的现有环境污染</w:t>
            </w:r>
          </w:p>
        </w:tc>
        <w:tc>
          <w:tcPr>
            <w:tcW w:w="8080" w:type="dxa"/>
            <w:vAlign w:val="center"/>
          </w:tcPr>
          <w:p w14:paraId="42E35D22">
            <w:pPr>
              <w:adjustRightInd w:val="0"/>
              <w:snapToGrid w:val="0"/>
              <w:spacing w:line="460" w:lineRule="exact"/>
              <w:ind w:firstLine="480" w:firstLineChars="200"/>
              <w:jc w:val="left"/>
              <w:rPr>
                <w:rFonts w:hint="default" w:ascii="Times New Roman" w:hAnsi="Times New Roman" w:eastAsia="宋体" w:cs="Times New Roman"/>
                <w:lang w:eastAsia="zh-CN"/>
              </w:rPr>
            </w:pPr>
            <w:r>
              <w:rPr>
                <w:rFonts w:hint="default"/>
                <w:kern w:val="0"/>
                <w:szCs w:val="20"/>
              </w:rPr>
              <w:t>本项目为新建项目，项目租赁空置厂房，根据现场踏勘，目前为空置状态，无生产设备及设施，未投入生产使用，未发生过环境污染事件，不存在与原有项目有关的环境问题。</w:t>
            </w:r>
          </w:p>
          <w:p w14:paraId="2778AE28">
            <w:pPr>
              <w:pStyle w:val="30"/>
              <w:ind w:firstLine="0" w:firstLineChars="0"/>
              <w:rPr>
                <w:rFonts w:hint="default" w:ascii="Times New Roman" w:hAnsi="Times New Roman" w:cs="Times New Roman"/>
              </w:rPr>
            </w:pPr>
            <w:r>
              <w:rPr>
                <w:rFonts w:hint="default" w:ascii="Times New Roman" w:hAnsi="Times New Roman" w:eastAsia="宋体" w:cs="Times New Roman"/>
                <w:lang w:eastAsia="zh-CN"/>
              </w:rPr>
              <w:drawing>
                <wp:anchor distT="0" distB="0" distL="114300" distR="114300" simplePos="0" relativeHeight="251664384" behindDoc="0" locked="0" layoutInCell="1" allowOverlap="1">
                  <wp:simplePos x="0" y="0"/>
                  <wp:positionH relativeFrom="column">
                    <wp:posOffset>2536825</wp:posOffset>
                  </wp:positionH>
                  <wp:positionV relativeFrom="paragraph">
                    <wp:posOffset>17145</wp:posOffset>
                  </wp:positionV>
                  <wp:extent cx="2332990" cy="1750060"/>
                  <wp:effectExtent l="0" t="0" r="10160" b="2540"/>
                  <wp:wrapNone/>
                  <wp:docPr id="24" name="图片 24" descr="114e0aba6d40febac93fb8e76ecc29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14e0aba6d40febac93fb8e76ecc29ee"/>
                          <pic:cNvPicPr>
                            <a:picLocks noChangeAspect="1"/>
                          </pic:cNvPicPr>
                        </pic:nvPicPr>
                        <pic:blipFill>
                          <a:blip r:embed="rId30"/>
                          <a:stretch>
                            <a:fillRect/>
                          </a:stretch>
                        </pic:blipFill>
                        <pic:spPr>
                          <a:xfrm>
                            <a:off x="0" y="0"/>
                            <a:ext cx="2332990" cy="1750060"/>
                          </a:xfrm>
                          <a:prstGeom prst="rect">
                            <a:avLst/>
                          </a:prstGeom>
                        </pic:spPr>
                      </pic:pic>
                    </a:graphicData>
                  </a:graphic>
                </wp:anchor>
              </w:drawing>
            </w:r>
            <w:r>
              <w:rPr>
                <w:rFonts w:hint="default" w:ascii="Times New Roman" w:hAnsi="Times New Roman" w:eastAsia="宋体" w:cs="Times New Roman"/>
                <w:sz w:val="28"/>
                <w:vertAlign w:val="baseline"/>
                <w:lang w:eastAsia="zh-CN"/>
              </w:rPr>
              <w:drawing>
                <wp:inline distT="0" distB="0" distL="114300" distR="114300">
                  <wp:extent cx="2282190" cy="1711325"/>
                  <wp:effectExtent l="0" t="0" r="3810" b="3175"/>
                  <wp:docPr id="17" name="图片 17" descr="95d4c7a3be5d2e74ee36393b9e76c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5d4c7a3be5d2e74ee36393b9e76c0a"/>
                          <pic:cNvPicPr>
                            <a:picLocks noChangeAspect="1"/>
                          </pic:cNvPicPr>
                        </pic:nvPicPr>
                        <pic:blipFill>
                          <a:blip r:embed="rId31"/>
                          <a:stretch>
                            <a:fillRect/>
                          </a:stretch>
                        </pic:blipFill>
                        <pic:spPr>
                          <a:xfrm>
                            <a:off x="0" y="0"/>
                            <a:ext cx="2282190" cy="1711325"/>
                          </a:xfrm>
                          <a:prstGeom prst="rect">
                            <a:avLst/>
                          </a:prstGeom>
                        </pic:spPr>
                      </pic:pic>
                    </a:graphicData>
                  </a:graphic>
                </wp:inline>
              </w:drawing>
            </w:r>
          </w:p>
          <w:p w14:paraId="5BBDEEF9">
            <w:pPr>
              <w:pStyle w:val="30"/>
              <w:ind w:firstLine="0" w:firstLineChars="0"/>
              <w:jc w:val="center"/>
              <w:rPr>
                <w:rFonts w:hint="default" w:ascii="Times New Roman" w:hAnsi="Times New Roman" w:cs="Times New Roman"/>
              </w:rPr>
            </w:pPr>
            <w:r>
              <w:rPr>
                <w:rFonts w:hint="default" w:ascii="Times New Roman" w:hAnsi="Times New Roman" w:cs="Times New Roman"/>
              </w:rPr>
              <w:t>工程师现场踏勘照片</w:t>
            </w:r>
          </w:p>
        </w:tc>
      </w:tr>
    </w:tbl>
    <w:p w14:paraId="454BA847">
      <w:pPr>
        <w:rPr>
          <w:rFonts w:hint="default" w:ascii="Times New Roman" w:hAnsi="Times New Roman" w:cs="Times New Roman"/>
        </w:rPr>
        <w:sectPr>
          <w:headerReference r:id="rId8" w:type="default"/>
          <w:pgSz w:w="11906" w:h="16838"/>
          <w:pgMar w:top="1440" w:right="1800" w:bottom="1440" w:left="1800" w:header="851" w:footer="567" w:gutter="0"/>
          <w:cols w:space="425" w:num="1"/>
          <w:docGrid w:type="lines" w:linePitch="312" w:charSpace="0"/>
        </w:sectPr>
      </w:pPr>
      <w:r>
        <w:rPr>
          <w:rFonts w:hint="default" w:ascii="Times New Roman" w:hAnsi="Times New Roman" w:cs="Times New Roman"/>
        </w:rPr>
        <w:t xml:space="preserve"> </w:t>
      </w:r>
    </w:p>
    <w:p w14:paraId="02837680">
      <w:pPr>
        <w:pStyle w:val="3"/>
        <w:rPr>
          <w:rFonts w:hint="default" w:ascii="Times New Roman" w:hAnsi="Times New Roman" w:cs="Times New Roman"/>
        </w:rPr>
      </w:pPr>
      <w:bookmarkStart w:id="6" w:name="_Toc14244"/>
      <w:r>
        <w:rPr>
          <w:rFonts w:hint="default" w:ascii="Times New Roman" w:hAnsi="Times New Roman" w:cs="Times New Roman"/>
        </w:rPr>
        <w:t>三、区域环境质量现状、环境保护目标及评价标准</w:t>
      </w:r>
      <w:bookmarkEnd w:id="6"/>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1"/>
        <w:gridCol w:w="8021"/>
      </w:tblGrid>
      <w:tr w14:paraId="32B13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4" w:hRule="atLeast"/>
        </w:trPr>
        <w:tc>
          <w:tcPr>
            <w:tcW w:w="501" w:type="dxa"/>
            <w:vAlign w:val="center"/>
          </w:tcPr>
          <w:p w14:paraId="0865C3A7">
            <w:pPr>
              <w:rPr>
                <w:rFonts w:hint="default" w:ascii="Times New Roman" w:hAnsi="Times New Roman" w:cs="Times New Roman"/>
              </w:rPr>
            </w:pPr>
            <w:r>
              <w:rPr>
                <w:rFonts w:hint="default" w:ascii="Times New Roman" w:hAnsi="Times New Roman" w:cs="Times New Roman"/>
              </w:rPr>
              <w:t>区域环境质量现状</w:t>
            </w:r>
          </w:p>
        </w:tc>
        <w:tc>
          <w:tcPr>
            <w:tcW w:w="8021" w:type="dxa"/>
          </w:tcPr>
          <w:p w14:paraId="1882D64A">
            <w:pPr>
              <w:pStyle w:val="61"/>
              <w:rPr>
                <w:rFonts w:hint="default"/>
                <w:kern w:val="0"/>
              </w:rPr>
            </w:pPr>
            <w:r>
              <w:rPr>
                <w:rFonts w:hint="default"/>
                <w:kern w:val="0"/>
              </w:rPr>
              <w:t>3.1环境质量现状</w:t>
            </w:r>
          </w:p>
          <w:p w14:paraId="2F023734">
            <w:pPr>
              <w:pStyle w:val="61"/>
              <w:rPr>
                <w:rFonts w:hint="default"/>
                <w:kern w:val="0"/>
              </w:rPr>
            </w:pPr>
            <w:r>
              <w:rPr>
                <w:rFonts w:hint="default"/>
                <w:kern w:val="0"/>
              </w:rPr>
              <w:t>3.1.1环境空气质量现状</w:t>
            </w:r>
          </w:p>
          <w:p w14:paraId="0AAB8D39">
            <w:pPr>
              <w:pStyle w:val="45"/>
              <w:rPr>
                <w:rFonts w:hint="default" w:ascii="Times New Roman" w:hAnsi="Times New Roman" w:cs="Times New Roman"/>
              </w:rPr>
            </w:pPr>
            <w:r>
              <w:rPr>
                <w:rFonts w:hint="default" w:ascii="Times New Roman" w:hAnsi="Times New Roman" w:cs="Times New Roman"/>
              </w:rPr>
              <w:t>1、基本污染物</w:t>
            </w:r>
          </w:p>
          <w:p w14:paraId="62F1B704">
            <w:pPr>
              <w:pStyle w:val="45"/>
              <w:rPr>
                <w:rFonts w:hint="default" w:ascii="Times New Roman" w:hAnsi="Times New Roman" w:cs="Times New Roman"/>
              </w:rPr>
            </w:pPr>
            <w:r>
              <w:rPr>
                <w:rFonts w:hint="default" w:ascii="Times New Roman" w:hAnsi="Times New Roman" w:cs="Times New Roman"/>
              </w:rPr>
              <w:t>本项目所在区域为环境空气二类功能区，环境空气中的基本污染物引用淮南市生态环境局发布的《2024年淮南市生态环境质量状况公报》中的内容，具体如下：</w:t>
            </w:r>
          </w:p>
          <w:p w14:paraId="6AC2F2AA">
            <w:pPr>
              <w:pStyle w:val="45"/>
              <w:rPr>
                <w:rFonts w:hint="default" w:ascii="Times New Roman" w:hAnsi="Times New Roman" w:cs="Times New Roman"/>
              </w:rPr>
            </w:pPr>
            <w:r>
              <w:rPr>
                <w:rFonts w:hint="default" w:ascii="Times New Roman" w:hAnsi="Times New Roman" w:cs="Times New Roman"/>
              </w:rPr>
              <w:t>2024年，全市环境空气质量一级（优）65天，二级（良）218天，三级（轻度污染）69天，四级（中度污染）13天，五级（重度污染）1天；全市年度环境空气达标天数比例为77.3%，与上年相比下降了3.2个百分点；全市环境空气综合指数为3.87，首要污染物为细颗粒物。</w:t>
            </w:r>
          </w:p>
          <w:p w14:paraId="56DBDD66">
            <w:pPr>
              <w:pStyle w:val="45"/>
              <w:rPr>
                <w:rFonts w:hint="default" w:ascii="Times New Roman" w:hAnsi="Times New Roman" w:cs="Times New Roman"/>
              </w:rPr>
            </w:pPr>
            <w:r>
              <w:rPr>
                <w:rFonts w:hint="default" w:ascii="Times New Roman" w:hAnsi="Times New Roman" w:cs="Times New Roman"/>
              </w:rPr>
              <w:t>细颗粒物（PM</w:t>
            </w:r>
            <w:r>
              <w:rPr>
                <w:rFonts w:hint="default" w:ascii="Times New Roman" w:hAnsi="Times New Roman" w:cs="Times New Roman"/>
                <w:vertAlign w:val="subscript"/>
              </w:rPr>
              <w:t>2.5</w:t>
            </w:r>
            <w:r>
              <w:rPr>
                <w:rFonts w:hint="default" w:ascii="Times New Roman" w:hAnsi="Times New Roman" w:cs="Times New Roman"/>
              </w:rPr>
              <w:t>）日均浓度范围为7～156微克/立方米，日均值达标率为87.6%。年均值为40.0微克/立方米，与上年相比上升了3.4个百分点。</w:t>
            </w:r>
          </w:p>
          <w:p w14:paraId="32B6F86F">
            <w:pPr>
              <w:pStyle w:val="45"/>
              <w:rPr>
                <w:rFonts w:hint="default" w:ascii="Times New Roman" w:hAnsi="Times New Roman" w:cs="Times New Roman"/>
              </w:rPr>
            </w:pPr>
            <w:r>
              <w:rPr>
                <w:rFonts w:hint="default" w:ascii="Times New Roman" w:hAnsi="Times New Roman" w:cs="Times New Roman"/>
              </w:rPr>
              <w:t>可吸入颗粒物（PM</w:t>
            </w:r>
            <w:r>
              <w:rPr>
                <w:rFonts w:hint="default" w:ascii="Times New Roman" w:hAnsi="Times New Roman" w:cs="Times New Roman"/>
                <w:vertAlign w:val="subscript"/>
              </w:rPr>
              <w:t>10</w:t>
            </w:r>
            <w:r>
              <w:rPr>
                <w:rFonts w:hint="default" w:ascii="Times New Roman" w:hAnsi="Times New Roman" w:cs="Times New Roman"/>
              </w:rPr>
              <w:t>）日均浓度范围为10～262微克/立方米，日均值达标率为96.0%。年均值为65.0微克/立方米，与上年相比下降了1.4个百分点。</w:t>
            </w:r>
          </w:p>
          <w:p w14:paraId="38B762C6">
            <w:pPr>
              <w:pStyle w:val="45"/>
              <w:rPr>
                <w:rFonts w:hint="default" w:ascii="Times New Roman" w:hAnsi="Times New Roman" w:cs="Times New Roman"/>
              </w:rPr>
            </w:pPr>
            <w:r>
              <w:rPr>
                <w:rFonts w:hint="default" w:ascii="Times New Roman" w:hAnsi="Times New Roman" w:cs="Times New Roman"/>
              </w:rPr>
              <w:t>二氧化氮（NO</w:t>
            </w:r>
            <w:r>
              <w:rPr>
                <w:rFonts w:hint="default" w:ascii="Times New Roman" w:hAnsi="Times New Roman" w:cs="Times New Roman"/>
                <w:vertAlign w:val="subscript"/>
              </w:rPr>
              <w:t>2</w:t>
            </w:r>
            <w:r>
              <w:rPr>
                <w:rFonts w:hint="default" w:ascii="Times New Roman" w:hAnsi="Times New Roman" w:cs="Times New Roman"/>
              </w:rPr>
              <w:t>）日均浓度范围为5～47微克/立方米，日均值达标率为100%。年均浓度为19微克/立方米，与上年相比下降了9.5个百分点。</w:t>
            </w:r>
          </w:p>
          <w:p w14:paraId="30299705">
            <w:pPr>
              <w:pStyle w:val="45"/>
              <w:rPr>
                <w:rFonts w:hint="default" w:ascii="Times New Roman" w:hAnsi="Times New Roman" w:cs="Times New Roman"/>
              </w:rPr>
            </w:pPr>
            <w:r>
              <w:rPr>
                <w:rFonts w:hint="default" w:ascii="Times New Roman" w:hAnsi="Times New Roman" w:cs="Times New Roman"/>
              </w:rPr>
              <w:t>二氧化硫（SO</w:t>
            </w:r>
            <w:r>
              <w:rPr>
                <w:rFonts w:hint="default" w:ascii="Times New Roman" w:hAnsi="Times New Roman" w:cs="Times New Roman"/>
                <w:vertAlign w:val="subscript"/>
              </w:rPr>
              <w:t>2</w:t>
            </w:r>
            <w:r>
              <w:rPr>
                <w:rFonts w:hint="default" w:ascii="Times New Roman" w:hAnsi="Times New Roman" w:cs="Times New Roman"/>
              </w:rPr>
              <w:t>）日均浓度范围为2～13微克/立方米，日均值达标率为100%。年均浓度为7微克/立方米，与上年相比下降了12.5个百分点。</w:t>
            </w:r>
          </w:p>
          <w:p w14:paraId="51F3079B">
            <w:pPr>
              <w:pStyle w:val="45"/>
              <w:rPr>
                <w:rFonts w:hint="default" w:ascii="Times New Roman" w:hAnsi="Times New Roman" w:cs="Times New Roman"/>
              </w:rPr>
            </w:pPr>
            <w:r>
              <w:rPr>
                <w:rFonts w:hint="default" w:ascii="Times New Roman" w:hAnsi="Times New Roman" w:cs="Times New Roman"/>
              </w:rPr>
              <w:t>一氧化碳（CO）日均浓度范围为0.2～1.1毫克/立方米，日均值达标率为100%。日均值第95百分位数为0.8毫克/立方米，与上年相比上升了14.3个百分点。</w:t>
            </w:r>
          </w:p>
          <w:p w14:paraId="7C12C55F">
            <w:pPr>
              <w:pStyle w:val="45"/>
              <w:rPr>
                <w:rFonts w:hint="default" w:ascii="Times New Roman" w:hAnsi="Times New Roman" w:cs="Times New Roman"/>
              </w:rPr>
            </w:pPr>
            <w:r>
              <w:rPr>
                <w:rFonts w:hint="default" w:ascii="Times New Roman" w:hAnsi="Times New Roman" w:cs="Times New Roman"/>
              </w:rPr>
              <w:t>臭氧日最大8小时（O</w:t>
            </w:r>
            <w:r>
              <w:rPr>
                <w:rFonts w:hint="default" w:ascii="Times New Roman" w:hAnsi="Times New Roman" w:cs="Times New Roman"/>
                <w:vertAlign w:val="subscript"/>
              </w:rPr>
              <w:t>3</w:t>
            </w:r>
            <w:r>
              <w:rPr>
                <w:rFonts w:hint="default" w:ascii="Times New Roman" w:hAnsi="Times New Roman" w:cs="Times New Roman"/>
              </w:rPr>
              <w:t>-8h）滑动平均值范围为16～227微克/立方米，达标率为90.4%。日最大8小时滑动平均值第90百分位数为160微克/立方米，与上年相比上升了1.9个百分点。</w:t>
            </w:r>
          </w:p>
          <w:p w14:paraId="0A3270BA">
            <w:pPr>
              <w:pStyle w:val="45"/>
              <w:rPr>
                <w:rFonts w:hint="default" w:ascii="Times New Roman" w:hAnsi="Times New Roman" w:cs="Times New Roman"/>
              </w:rPr>
            </w:pPr>
            <w:r>
              <w:rPr>
                <w:rFonts w:hint="default" w:ascii="Times New Roman" w:hAnsi="Times New Roman" w:cs="Times New Roman"/>
              </w:rPr>
              <w:t>依据《2024年淮南市生态环境质量状况公报》，区域空气质量现状如下表所示。</w:t>
            </w:r>
          </w:p>
          <w:p w14:paraId="2FF7DA52">
            <w:pPr>
              <w:jc w:val="center"/>
              <w:rPr>
                <w:rFonts w:hint="default" w:ascii="Times New Roman" w:hAnsi="Times New Roman" w:eastAsia="宋体" w:cs="Times New Roman"/>
                <w:b/>
                <w:kern w:val="0"/>
                <w:sz w:val="21"/>
                <w:szCs w:val="22"/>
              </w:rPr>
            </w:pPr>
          </w:p>
          <w:p w14:paraId="05731DC4">
            <w:pPr>
              <w:jc w:val="center"/>
              <w:rPr>
                <w:rFonts w:hint="default" w:ascii="Times New Roman" w:hAnsi="Times New Roman" w:cs="Times New Roman"/>
                <w:kern w:val="0"/>
                <w:sz w:val="21"/>
                <w:szCs w:val="22"/>
              </w:rPr>
            </w:pPr>
            <w:r>
              <w:rPr>
                <w:rFonts w:hint="default" w:ascii="Times New Roman" w:hAnsi="Times New Roman" w:eastAsia="宋体" w:cs="Times New Roman"/>
                <w:b/>
                <w:kern w:val="0"/>
                <w:sz w:val="21"/>
                <w:szCs w:val="22"/>
              </w:rPr>
              <w:t>表 3-</w:t>
            </w:r>
            <w:r>
              <w:rPr>
                <w:rFonts w:hint="default" w:ascii="Times New Roman" w:hAnsi="Times New Roman" w:eastAsia="宋体" w:cs="Times New Roman"/>
                <w:b/>
                <w:kern w:val="0"/>
                <w:sz w:val="21"/>
                <w:szCs w:val="22"/>
              </w:rPr>
              <w:fldChar w:fldCharType="begin"/>
            </w:r>
            <w:r>
              <w:rPr>
                <w:rFonts w:hint="default" w:ascii="Times New Roman" w:hAnsi="Times New Roman" w:eastAsia="宋体" w:cs="Times New Roman"/>
                <w:b/>
                <w:kern w:val="0"/>
                <w:sz w:val="21"/>
                <w:szCs w:val="22"/>
              </w:rPr>
              <w:instrText xml:space="preserve"> SEQ 表 \* ARABIC \s 1 </w:instrText>
            </w:r>
            <w:r>
              <w:rPr>
                <w:rFonts w:hint="default" w:ascii="Times New Roman" w:hAnsi="Times New Roman" w:eastAsia="宋体" w:cs="Times New Roman"/>
                <w:b/>
                <w:kern w:val="0"/>
                <w:sz w:val="21"/>
                <w:szCs w:val="22"/>
              </w:rPr>
              <w:fldChar w:fldCharType="separate"/>
            </w:r>
            <w:r>
              <w:rPr>
                <w:rFonts w:hint="default" w:ascii="Times New Roman" w:hAnsi="Times New Roman" w:eastAsia="宋体" w:cs="Times New Roman"/>
                <w:b/>
                <w:kern w:val="0"/>
                <w:sz w:val="21"/>
                <w:szCs w:val="22"/>
              </w:rPr>
              <w:t>1</w:t>
            </w:r>
            <w:r>
              <w:rPr>
                <w:rFonts w:hint="default" w:ascii="Times New Roman" w:hAnsi="Times New Roman" w:eastAsia="宋体" w:cs="Times New Roman"/>
                <w:b/>
                <w:kern w:val="0"/>
                <w:sz w:val="21"/>
                <w:szCs w:val="22"/>
              </w:rPr>
              <w:fldChar w:fldCharType="end"/>
            </w:r>
            <w:r>
              <w:rPr>
                <w:rFonts w:hint="default" w:ascii="Times New Roman" w:hAnsi="Times New Roman" w:eastAsia="宋体" w:cs="Times New Roman"/>
                <w:b/>
                <w:kern w:val="0"/>
                <w:sz w:val="21"/>
                <w:szCs w:val="22"/>
              </w:rPr>
              <w:t xml:space="preserve"> 区域空气质量现状评价表</w:t>
            </w:r>
          </w:p>
          <w:tbl>
            <w:tblPr>
              <w:tblStyle w:val="21"/>
              <w:tblW w:w="10697963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51"/>
              <w:gridCol w:w="2367"/>
              <w:gridCol w:w="1420"/>
              <w:gridCol w:w="1420"/>
              <w:gridCol w:w="944"/>
              <w:gridCol w:w="693"/>
            </w:tblGrid>
            <w:tr w14:paraId="6E205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17188C31">
                  <w:pPr>
                    <w:pStyle w:val="46"/>
                    <w:rPr>
                      <w:b/>
                      <w:bCs/>
                    </w:rPr>
                  </w:pPr>
                  <w:r>
                    <w:rPr>
                      <w:b/>
                      <w:bCs/>
                    </w:rPr>
                    <w:t>污染物</w:t>
                  </w:r>
                </w:p>
              </w:tc>
              <w:tc>
                <w:tcPr>
                  <w:tcW w:w="1518" w:type="pct"/>
                  <w:vAlign w:val="center"/>
                </w:tcPr>
                <w:p w14:paraId="2048EB63">
                  <w:pPr>
                    <w:pStyle w:val="46"/>
                    <w:rPr>
                      <w:b/>
                      <w:bCs/>
                    </w:rPr>
                  </w:pPr>
                  <w:r>
                    <w:rPr>
                      <w:b/>
                      <w:bCs/>
                    </w:rPr>
                    <w:t>年评价指标</w:t>
                  </w:r>
                </w:p>
              </w:tc>
              <w:tc>
                <w:tcPr>
                  <w:tcW w:w="910" w:type="pct"/>
                  <w:vAlign w:val="center"/>
                </w:tcPr>
                <w:p w14:paraId="50D4C34F">
                  <w:pPr>
                    <w:pStyle w:val="46"/>
                    <w:rPr>
                      <w:b/>
                      <w:bCs/>
                    </w:rPr>
                  </w:pPr>
                  <w:r>
                    <w:rPr>
                      <w:b/>
                      <w:bCs/>
                    </w:rPr>
                    <w:t>现状浓度</w:t>
                  </w:r>
                </w:p>
                <w:p w14:paraId="3E70C8F0">
                  <w:pPr>
                    <w:pStyle w:val="46"/>
                    <w:rPr>
                      <w:b/>
                      <w:bCs/>
                    </w:rPr>
                  </w:pPr>
                  <w:r>
                    <w:rPr>
                      <w:b/>
                      <w:bCs/>
                    </w:rPr>
                    <w:t>（μg/m</w:t>
                  </w:r>
                  <w:r>
                    <w:rPr>
                      <w:b/>
                      <w:bCs/>
                      <w:vertAlign w:val="superscript"/>
                    </w:rPr>
                    <w:t>3</w:t>
                  </w:r>
                  <w:r>
                    <w:rPr>
                      <w:b/>
                      <w:bCs/>
                    </w:rPr>
                    <w:t>）</w:t>
                  </w:r>
                </w:p>
              </w:tc>
              <w:tc>
                <w:tcPr>
                  <w:tcW w:w="910" w:type="pct"/>
                  <w:vAlign w:val="center"/>
                </w:tcPr>
                <w:p w14:paraId="6D4B00BC">
                  <w:pPr>
                    <w:pStyle w:val="46"/>
                    <w:rPr>
                      <w:b/>
                      <w:bCs/>
                    </w:rPr>
                  </w:pPr>
                  <w:r>
                    <w:rPr>
                      <w:b/>
                      <w:bCs/>
                    </w:rPr>
                    <w:t>标准值</w:t>
                  </w:r>
                </w:p>
                <w:p w14:paraId="2C98D232">
                  <w:pPr>
                    <w:pStyle w:val="46"/>
                    <w:rPr>
                      <w:b/>
                      <w:bCs/>
                    </w:rPr>
                  </w:pPr>
                  <w:r>
                    <w:rPr>
                      <w:b/>
                      <w:bCs/>
                    </w:rPr>
                    <w:t>（μg/m</w:t>
                  </w:r>
                  <w:r>
                    <w:rPr>
                      <w:b/>
                      <w:bCs/>
                      <w:vertAlign w:val="superscript"/>
                    </w:rPr>
                    <w:t>3</w:t>
                  </w:r>
                  <w:r>
                    <w:rPr>
                      <w:b/>
                      <w:bCs/>
                    </w:rPr>
                    <w:t>）</w:t>
                  </w:r>
                </w:p>
              </w:tc>
              <w:tc>
                <w:tcPr>
                  <w:tcW w:w="605" w:type="pct"/>
                  <w:vAlign w:val="center"/>
                </w:tcPr>
                <w:p w14:paraId="053C1CC1">
                  <w:pPr>
                    <w:pStyle w:val="46"/>
                    <w:rPr>
                      <w:b/>
                      <w:bCs/>
                    </w:rPr>
                  </w:pPr>
                  <w:r>
                    <w:rPr>
                      <w:b/>
                      <w:bCs/>
                    </w:rPr>
                    <w:t>占标率（%）</w:t>
                  </w:r>
                </w:p>
              </w:tc>
              <w:tc>
                <w:tcPr>
                  <w:tcW w:w="444" w:type="pct"/>
                  <w:vAlign w:val="center"/>
                </w:tcPr>
                <w:p w14:paraId="5B6AA406">
                  <w:pPr>
                    <w:pStyle w:val="46"/>
                    <w:rPr>
                      <w:b/>
                      <w:bCs/>
                    </w:rPr>
                  </w:pPr>
                  <w:r>
                    <w:rPr>
                      <w:b/>
                      <w:bCs/>
                    </w:rPr>
                    <w:t>达标情况</w:t>
                  </w:r>
                </w:p>
              </w:tc>
            </w:tr>
            <w:tr w14:paraId="61885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7B8C921D">
                  <w:pPr>
                    <w:pStyle w:val="46"/>
                  </w:pPr>
                  <w:r>
                    <w:t>SO</w:t>
                  </w:r>
                  <w:r>
                    <w:rPr>
                      <w:vertAlign w:val="subscript"/>
                    </w:rPr>
                    <w:t>2</w:t>
                  </w:r>
                </w:p>
              </w:tc>
              <w:tc>
                <w:tcPr>
                  <w:tcW w:w="1518" w:type="pct"/>
                  <w:vAlign w:val="center"/>
                </w:tcPr>
                <w:p w14:paraId="60A8358A">
                  <w:pPr>
                    <w:pStyle w:val="46"/>
                  </w:pPr>
                  <w:r>
                    <w:t>年平均质量浓度</w:t>
                  </w:r>
                </w:p>
              </w:tc>
              <w:tc>
                <w:tcPr>
                  <w:tcW w:w="910" w:type="pct"/>
                  <w:vAlign w:val="center"/>
                </w:tcPr>
                <w:p w14:paraId="571482E6">
                  <w:pPr>
                    <w:pStyle w:val="46"/>
                  </w:pPr>
                  <w:r>
                    <w:t>7</w:t>
                  </w:r>
                </w:p>
              </w:tc>
              <w:tc>
                <w:tcPr>
                  <w:tcW w:w="910" w:type="pct"/>
                  <w:vAlign w:val="center"/>
                </w:tcPr>
                <w:p w14:paraId="3D9CD4B3">
                  <w:pPr>
                    <w:pStyle w:val="46"/>
                  </w:pPr>
                  <w:r>
                    <w:t>60</w:t>
                  </w:r>
                </w:p>
              </w:tc>
              <w:tc>
                <w:tcPr>
                  <w:tcW w:w="605" w:type="pct"/>
                  <w:vAlign w:val="center"/>
                </w:tcPr>
                <w:p w14:paraId="3DF67A4A">
                  <w:pPr>
                    <w:pStyle w:val="46"/>
                  </w:pPr>
                  <w:r>
                    <w:t>11.7</w:t>
                  </w:r>
                </w:p>
              </w:tc>
              <w:tc>
                <w:tcPr>
                  <w:tcW w:w="444" w:type="pct"/>
                  <w:vAlign w:val="center"/>
                </w:tcPr>
                <w:p w14:paraId="6D236D30">
                  <w:pPr>
                    <w:pStyle w:val="46"/>
                  </w:pPr>
                  <w:r>
                    <w:t>达标</w:t>
                  </w:r>
                </w:p>
              </w:tc>
            </w:tr>
            <w:tr w14:paraId="259EB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1AA9301B">
                  <w:pPr>
                    <w:pStyle w:val="46"/>
                  </w:pPr>
                  <w:r>
                    <w:t>NO</w:t>
                  </w:r>
                  <w:r>
                    <w:rPr>
                      <w:vertAlign w:val="subscript"/>
                    </w:rPr>
                    <w:t>2</w:t>
                  </w:r>
                </w:p>
              </w:tc>
              <w:tc>
                <w:tcPr>
                  <w:tcW w:w="1518" w:type="pct"/>
                  <w:vAlign w:val="center"/>
                </w:tcPr>
                <w:p w14:paraId="5EEFF33D">
                  <w:pPr>
                    <w:pStyle w:val="46"/>
                  </w:pPr>
                  <w:r>
                    <w:t>年平均质量浓度</w:t>
                  </w:r>
                </w:p>
              </w:tc>
              <w:tc>
                <w:tcPr>
                  <w:tcW w:w="910" w:type="pct"/>
                  <w:vAlign w:val="center"/>
                </w:tcPr>
                <w:p w14:paraId="2831F519">
                  <w:pPr>
                    <w:pStyle w:val="46"/>
                  </w:pPr>
                  <w:r>
                    <w:t>19</w:t>
                  </w:r>
                </w:p>
              </w:tc>
              <w:tc>
                <w:tcPr>
                  <w:tcW w:w="910" w:type="pct"/>
                  <w:vAlign w:val="center"/>
                </w:tcPr>
                <w:p w14:paraId="788510E4">
                  <w:pPr>
                    <w:pStyle w:val="46"/>
                  </w:pPr>
                  <w:r>
                    <w:t>40</w:t>
                  </w:r>
                </w:p>
              </w:tc>
              <w:tc>
                <w:tcPr>
                  <w:tcW w:w="605" w:type="pct"/>
                  <w:vAlign w:val="center"/>
                </w:tcPr>
                <w:p w14:paraId="4B5E7F61">
                  <w:pPr>
                    <w:pStyle w:val="46"/>
                  </w:pPr>
                  <w:r>
                    <w:t>47.5</w:t>
                  </w:r>
                </w:p>
              </w:tc>
              <w:tc>
                <w:tcPr>
                  <w:tcW w:w="444" w:type="pct"/>
                  <w:vAlign w:val="center"/>
                </w:tcPr>
                <w:p w14:paraId="550CE35D">
                  <w:pPr>
                    <w:pStyle w:val="46"/>
                  </w:pPr>
                  <w:r>
                    <w:t>达标</w:t>
                  </w:r>
                </w:p>
              </w:tc>
            </w:tr>
            <w:tr w14:paraId="46FF1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27B3708D">
                  <w:pPr>
                    <w:pStyle w:val="46"/>
                  </w:pPr>
                  <w:r>
                    <w:t>PM</w:t>
                  </w:r>
                  <w:r>
                    <w:rPr>
                      <w:vertAlign w:val="subscript"/>
                    </w:rPr>
                    <w:t>10</w:t>
                  </w:r>
                </w:p>
              </w:tc>
              <w:tc>
                <w:tcPr>
                  <w:tcW w:w="1518" w:type="pct"/>
                  <w:vAlign w:val="center"/>
                </w:tcPr>
                <w:p w14:paraId="7587A257">
                  <w:pPr>
                    <w:pStyle w:val="46"/>
                  </w:pPr>
                  <w:r>
                    <w:t>年平均质量浓度</w:t>
                  </w:r>
                </w:p>
              </w:tc>
              <w:tc>
                <w:tcPr>
                  <w:tcW w:w="910" w:type="pct"/>
                  <w:vAlign w:val="center"/>
                </w:tcPr>
                <w:p w14:paraId="11F49DD8">
                  <w:pPr>
                    <w:pStyle w:val="46"/>
                  </w:pPr>
                  <w:r>
                    <w:t>65.0</w:t>
                  </w:r>
                </w:p>
              </w:tc>
              <w:tc>
                <w:tcPr>
                  <w:tcW w:w="910" w:type="pct"/>
                  <w:vAlign w:val="center"/>
                </w:tcPr>
                <w:p w14:paraId="6E90EDB0">
                  <w:pPr>
                    <w:pStyle w:val="46"/>
                  </w:pPr>
                  <w:r>
                    <w:t>70</w:t>
                  </w:r>
                </w:p>
              </w:tc>
              <w:tc>
                <w:tcPr>
                  <w:tcW w:w="605" w:type="pct"/>
                  <w:vAlign w:val="center"/>
                </w:tcPr>
                <w:p w14:paraId="117E5300">
                  <w:pPr>
                    <w:pStyle w:val="46"/>
                  </w:pPr>
                  <w:r>
                    <w:t>92.9</w:t>
                  </w:r>
                </w:p>
              </w:tc>
              <w:tc>
                <w:tcPr>
                  <w:tcW w:w="444" w:type="pct"/>
                  <w:vAlign w:val="center"/>
                </w:tcPr>
                <w:p w14:paraId="006A2226">
                  <w:pPr>
                    <w:pStyle w:val="46"/>
                  </w:pPr>
                  <w:r>
                    <w:t>达标</w:t>
                  </w:r>
                </w:p>
              </w:tc>
            </w:tr>
            <w:tr w14:paraId="77297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76D9BD28">
                  <w:pPr>
                    <w:pStyle w:val="46"/>
                  </w:pPr>
                  <w:r>
                    <w:t>PM</w:t>
                  </w:r>
                  <w:r>
                    <w:rPr>
                      <w:vertAlign w:val="subscript"/>
                    </w:rPr>
                    <w:t>2.5</w:t>
                  </w:r>
                </w:p>
              </w:tc>
              <w:tc>
                <w:tcPr>
                  <w:tcW w:w="1518" w:type="pct"/>
                  <w:vAlign w:val="center"/>
                </w:tcPr>
                <w:p w14:paraId="2B84FDC1">
                  <w:pPr>
                    <w:pStyle w:val="46"/>
                  </w:pPr>
                  <w:r>
                    <w:t>年平均质量浓度</w:t>
                  </w:r>
                </w:p>
              </w:tc>
              <w:tc>
                <w:tcPr>
                  <w:tcW w:w="910" w:type="pct"/>
                  <w:vAlign w:val="center"/>
                </w:tcPr>
                <w:p w14:paraId="5EFDC644">
                  <w:pPr>
                    <w:pStyle w:val="46"/>
                  </w:pPr>
                  <w:r>
                    <w:t>40</w:t>
                  </w:r>
                </w:p>
              </w:tc>
              <w:tc>
                <w:tcPr>
                  <w:tcW w:w="910" w:type="pct"/>
                  <w:vAlign w:val="center"/>
                </w:tcPr>
                <w:p w14:paraId="2DE717E3">
                  <w:pPr>
                    <w:pStyle w:val="46"/>
                  </w:pPr>
                  <w:r>
                    <w:t>35</w:t>
                  </w:r>
                </w:p>
              </w:tc>
              <w:tc>
                <w:tcPr>
                  <w:tcW w:w="605" w:type="pct"/>
                  <w:vAlign w:val="center"/>
                </w:tcPr>
                <w:p w14:paraId="450F86A7">
                  <w:pPr>
                    <w:pStyle w:val="46"/>
                  </w:pPr>
                  <w:r>
                    <w:t>114.3</w:t>
                  </w:r>
                </w:p>
              </w:tc>
              <w:tc>
                <w:tcPr>
                  <w:tcW w:w="444" w:type="pct"/>
                  <w:vAlign w:val="center"/>
                </w:tcPr>
                <w:p w14:paraId="43588E3A">
                  <w:pPr>
                    <w:pStyle w:val="46"/>
                  </w:pPr>
                  <w:r>
                    <w:t>超标</w:t>
                  </w:r>
                </w:p>
              </w:tc>
            </w:tr>
            <w:tr w14:paraId="1799F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24EB97CF">
                  <w:pPr>
                    <w:pStyle w:val="46"/>
                  </w:pPr>
                  <w:r>
                    <w:t>CO</w:t>
                  </w:r>
                </w:p>
              </w:tc>
              <w:tc>
                <w:tcPr>
                  <w:tcW w:w="1518" w:type="pct"/>
                  <w:vAlign w:val="center"/>
                </w:tcPr>
                <w:p w14:paraId="1ACAEE04">
                  <w:pPr>
                    <w:pStyle w:val="46"/>
                  </w:pPr>
                  <w:r>
                    <w:t>第95百分位数日平均质量浓度</w:t>
                  </w:r>
                </w:p>
              </w:tc>
              <w:tc>
                <w:tcPr>
                  <w:tcW w:w="910" w:type="pct"/>
                  <w:vAlign w:val="center"/>
                </w:tcPr>
                <w:p w14:paraId="4C98661D">
                  <w:pPr>
                    <w:pStyle w:val="46"/>
                  </w:pPr>
                  <w:r>
                    <w:t>800</w:t>
                  </w:r>
                </w:p>
              </w:tc>
              <w:tc>
                <w:tcPr>
                  <w:tcW w:w="910" w:type="pct"/>
                  <w:vAlign w:val="center"/>
                </w:tcPr>
                <w:p w14:paraId="5107068F">
                  <w:pPr>
                    <w:pStyle w:val="46"/>
                  </w:pPr>
                  <w:r>
                    <w:t>4000</w:t>
                  </w:r>
                </w:p>
              </w:tc>
              <w:tc>
                <w:tcPr>
                  <w:tcW w:w="605" w:type="pct"/>
                  <w:vAlign w:val="center"/>
                </w:tcPr>
                <w:p w14:paraId="4A7F9AB1">
                  <w:pPr>
                    <w:pStyle w:val="46"/>
                  </w:pPr>
                  <w:r>
                    <w:t>20</w:t>
                  </w:r>
                </w:p>
              </w:tc>
              <w:tc>
                <w:tcPr>
                  <w:tcW w:w="444" w:type="pct"/>
                  <w:vAlign w:val="center"/>
                </w:tcPr>
                <w:p w14:paraId="642666D4">
                  <w:pPr>
                    <w:pStyle w:val="46"/>
                  </w:pPr>
                  <w:r>
                    <w:t>达标</w:t>
                  </w:r>
                </w:p>
              </w:tc>
            </w:tr>
            <w:tr w14:paraId="35529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10" w:type="pct"/>
                  <w:vAlign w:val="center"/>
                </w:tcPr>
                <w:p w14:paraId="02F223F8">
                  <w:pPr>
                    <w:pStyle w:val="46"/>
                  </w:pPr>
                  <w:r>
                    <w:t>O</w:t>
                  </w:r>
                  <w:r>
                    <w:rPr>
                      <w:vertAlign w:val="subscript"/>
                    </w:rPr>
                    <w:t>3</w:t>
                  </w:r>
                </w:p>
              </w:tc>
              <w:tc>
                <w:tcPr>
                  <w:tcW w:w="1518" w:type="pct"/>
                  <w:vAlign w:val="center"/>
                </w:tcPr>
                <w:p w14:paraId="76F3EEB0">
                  <w:pPr>
                    <w:pStyle w:val="46"/>
                  </w:pPr>
                  <w:r>
                    <w:t>第90百分位数日平均质量浓度</w:t>
                  </w:r>
                </w:p>
              </w:tc>
              <w:tc>
                <w:tcPr>
                  <w:tcW w:w="910" w:type="pct"/>
                  <w:vAlign w:val="center"/>
                </w:tcPr>
                <w:p w14:paraId="6F7C1867">
                  <w:pPr>
                    <w:pStyle w:val="46"/>
                  </w:pPr>
                  <w:r>
                    <w:t>160</w:t>
                  </w:r>
                </w:p>
              </w:tc>
              <w:tc>
                <w:tcPr>
                  <w:tcW w:w="910" w:type="pct"/>
                  <w:vAlign w:val="center"/>
                </w:tcPr>
                <w:p w14:paraId="5666B2CA">
                  <w:pPr>
                    <w:pStyle w:val="46"/>
                  </w:pPr>
                  <w:r>
                    <w:t>160</w:t>
                  </w:r>
                </w:p>
              </w:tc>
              <w:tc>
                <w:tcPr>
                  <w:tcW w:w="605" w:type="pct"/>
                  <w:vAlign w:val="center"/>
                </w:tcPr>
                <w:p w14:paraId="7190280B">
                  <w:pPr>
                    <w:pStyle w:val="46"/>
                  </w:pPr>
                  <w:r>
                    <w:t>100</w:t>
                  </w:r>
                </w:p>
              </w:tc>
              <w:tc>
                <w:tcPr>
                  <w:tcW w:w="444" w:type="pct"/>
                  <w:vAlign w:val="center"/>
                </w:tcPr>
                <w:p w14:paraId="615994C2">
                  <w:pPr>
                    <w:pStyle w:val="46"/>
                  </w:pPr>
                  <w:r>
                    <w:t>达标</w:t>
                  </w:r>
                </w:p>
              </w:tc>
            </w:tr>
          </w:tbl>
          <w:p w14:paraId="766AEC7D">
            <w:pPr>
              <w:pStyle w:val="45"/>
              <w:rPr>
                <w:rFonts w:hint="default" w:ascii="Times New Roman" w:hAnsi="Times New Roman" w:cs="Times New Roman"/>
              </w:rPr>
            </w:pPr>
            <w:r>
              <w:rPr>
                <w:rFonts w:hint="default" w:ascii="Times New Roman" w:hAnsi="Times New Roman" w:cs="Times New Roman"/>
              </w:rPr>
              <w:t>根据质量状况公报结果，淮南市属于环境空气质量不达标区域，超标污染物为细颗粒物（PM</w:t>
            </w:r>
            <w:r>
              <w:rPr>
                <w:rFonts w:hint="default" w:ascii="Times New Roman" w:hAnsi="Times New Roman" w:cs="Times New Roman"/>
                <w:vertAlign w:val="subscript"/>
              </w:rPr>
              <w:t>2.5</w:t>
            </w:r>
            <w:r>
              <w:rPr>
                <w:rFonts w:hint="default" w:ascii="Times New Roman" w:hAnsi="Times New Roman" w:cs="Times New Roman"/>
              </w:rPr>
              <w:t>）。</w:t>
            </w:r>
          </w:p>
          <w:p w14:paraId="496BE4BA">
            <w:pPr>
              <w:pStyle w:val="45"/>
              <w:rPr>
                <w:rFonts w:hint="default" w:ascii="Times New Roman" w:hAnsi="Times New Roman" w:cs="Times New Roman"/>
              </w:rPr>
            </w:pPr>
            <w:r>
              <w:rPr>
                <w:rFonts w:hint="default" w:ascii="Times New Roman" w:hAnsi="Times New Roman" w:cs="Times New Roman"/>
              </w:rPr>
              <w:t>目前，淮南市已制订《淮南市“十四五”大气污染防治规划（2021-2025）年》，围绕工业大气污染治理、扬（烟）尘污染防治等开展专项治理活动，进一步削减大气污染物排放。</w:t>
            </w:r>
          </w:p>
          <w:p w14:paraId="303093F5">
            <w:pPr>
              <w:pStyle w:val="45"/>
              <w:rPr>
                <w:rFonts w:hint="default" w:ascii="Times New Roman" w:hAnsi="Times New Roman" w:cs="Times New Roman"/>
              </w:rPr>
            </w:pPr>
            <w:r>
              <w:rPr>
                <w:rFonts w:hint="default" w:ascii="Times New Roman" w:hAnsi="Times New Roman" w:cs="Times New Roman"/>
              </w:rPr>
              <w:t>2、其他污染物补充监测结果</w:t>
            </w:r>
          </w:p>
          <w:p w14:paraId="56A1DC9C">
            <w:pPr>
              <w:pStyle w:val="45"/>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本项目涉及的其他污染物为TSP、非甲烷总烃。为了解区域大气环境中TSP、非甲烷总烃现状，评价数据采用安徽尚德谱检测技术有限责任公司对“孟岗村”监测数据，村庄中心距离本项目东侧约159m，监测时间为2024年5月24日～26日，属于本项目周边5千米范围内近3年的现有监测数据，数据引用符合规定项目与引用点位置关系图和监测结果如下：</w:t>
            </w:r>
          </w:p>
          <w:p w14:paraId="78532A6A">
            <w:pPr>
              <w:jc w:val="center"/>
              <w:rPr>
                <w:rFonts w:hint="eastAsia" w:ascii="Times New Roman" w:hAnsi="Times New Roman" w:eastAsia="宋体" w:cs="Times New Roman"/>
                <w:b/>
                <w:kern w:val="0"/>
                <w:sz w:val="21"/>
                <w:szCs w:val="22"/>
                <w:lang w:eastAsia="zh-CN"/>
              </w:rPr>
            </w:pPr>
            <w:r>
              <w:rPr>
                <w:rFonts w:hint="eastAsia" w:ascii="Times New Roman" w:hAnsi="Times New Roman" w:eastAsia="宋体" w:cs="Times New Roman"/>
                <w:b/>
                <w:kern w:val="0"/>
                <w:sz w:val="21"/>
                <w:szCs w:val="22"/>
                <w:lang w:eastAsia="zh-CN"/>
              </w:rPr>
              <w:drawing>
                <wp:inline distT="0" distB="0" distL="114300" distR="114300">
                  <wp:extent cx="3854450" cy="2625725"/>
                  <wp:effectExtent l="0" t="0" r="12700" b="3175"/>
                  <wp:docPr id="46" name="图片 46" descr="噪声范围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噪声范围_00"/>
                          <pic:cNvPicPr>
                            <a:picLocks noChangeAspect="1"/>
                          </pic:cNvPicPr>
                        </pic:nvPicPr>
                        <pic:blipFill>
                          <a:blip r:embed="rId32"/>
                          <a:srcRect l="6052" t="8045" r="6660" b="7794"/>
                          <a:stretch>
                            <a:fillRect/>
                          </a:stretch>
                        </pic:blipFill>
                        <pic:spPr>
                          <a:xfrm>
                            <a:off x="0" y="0"/>
                            <a:ext cx="3854450" cy="2625725"/>
                          </a:xfrm>
                          <a:prstGeom prst="rect">
                            <a:avLst/>
                          </a:prstGeom>
                        </pic:spPr>
                      </pic:pic>
                    </a:graphicData>
                  </a:graphic>
                </wp:inline>
              </w:drawing>
            </w:r>
          </w:p>
          <w:p w14:paraId="452B1A0B">
            <w:pPr>
              <w:jc w:val="center"/>
              <w:rPr>
                <w:rFonts w:hint="default" w:ascii="Times New Roman" w:hAnsi="Times New Roman" w:eastAsia="宋体" w:cs="Times New Roman"/>
                <w:b/>
                <w:kern w:val="0"/>
                <w:sz w:val="21"/>
                <w:szCs w:val="22"/>
              </w:rPr>
            </w:pPr>
            <w:r>
              <w:rPr>
                <w:rFonts w:hint="default" w:ascii="Times New Roman" w:hAnsi="Times New Roman" w:eastAsia="宋体" w:cs="Times New Roman"/>
                <w:b/>
                <w:kern w:val="0"/>
                <w:sz w:val="21"/>
                <w:szCs w:val="22"/>
              </w:rPr>
              <w:t>图 3-</w:t>
            </w:r>
            <w:r>
              <w:rPr>
                <w:rFonts w:hint="default" w:ascii="Times New Roman" w:hAnsi="Times New Roman" w:eastAsia="宋体" w:cs="Times New Roman"/>
                <w:b/>
                <w:kern w:val="0"/>
                <w:sz w:val="21"/>
                <w:szCs w:val="22"/>
              </w:rPr>
              <w:fldChar w:fldCharType="begin"/>
            </w:r>
            <w:r>
              <w:rPr>
                <w:rFonts w:hint="default" w:ascii="Times New Roman" w:hAnsi="Times New Roman" w:eastAsia="宋体" w:cs="Times New Roman"/>
                <w:b/>
                <w:kern w:val="0"/>
                <w:sz w:val="21"/>
                <w:szCs w:val="22"/>
              </w:rPr>
              <w:instrText xml:space="preserve"> SEQ 图 \* ARABIC \s 1 </w:instrText>
            </w:r>
            <w:r>
              <w:rPr>
                <w:rFonts w:hint="default" w:ascii="Times New Roman" w:hAnsi="Times New Roman" w:eastAsia="宋体" w:cs="Times New Roman"/>
                <w:b/>
                <w:kern w:val="0"/>
                <w:sz w:val="21"/>
                <w:szCs w:val="22"/>
              </w:rPr>
              <w:fldChar w:fldCharType="separate"/>
            </w:r>
            <w:r>
              <w:rPr>
                <w:rFonts w:hint="default" w:ascii="Times New Roman" w:hAnsi="Times New Roman" w:eastAsia="宋体" w:cs="Times New Roman"/>
                <w:b/>
                <w:kern w:val="0"/>
                <w:sz w:val="21"/>
                <w:szCs w:val="22"/>
              </w:rPr>
              <w:t>1</w:t>
            </w:r>
            <w:r>
              <w:rPr>
                <w:rFonts w:hint="default" w:ascii="Times New Roman" w:hAnsi="Times New Roman" w:eastAsia="宋体" w:cs="Times New Roman"/>
                <w:b/>
                <w:kern w:val="0"/>
                <w:sz w:val="21"/>
                <w:szCs w:val="22"/>
              </w:rPr>
              <w:fldChar w:fldCharType="end"/>
            </w:r>
            <w:r>
              <w:rPr>
                <w:rFonts w:hint="default" w:ascii="Times New Roman" w:hAnsi="Times New Roman" w:eastAsia="宋体" w:cs="Times New Roman"/>
                <w:b/>
                <w:kern w:val="0"/>
                <w:sz w:val="21"/>
                <w:szCs w:val="22"/>
              </w:rPr>
              <w:t xml:space="preserve"> 项目与引用点位关系图</w:t>
            </w:r>
          </w:p>
          <w:p w14:paraId="2DDE0881">
            <w:pPr>
              <w:pStyle w:val="45"/>
              <w:rPr>
                <w:rFonts w:hint="default" w:ascii="Times New Roman" w:hAnsi="Times New Roman" w:cs="Times New Roman"/>
              </w:rPr>
            </w:pPr>
            <w:r>
              <w:rPr>
                <w:rFonts w:hint="default" w:ascii="Times New Roman" w:hAnsi="Times New Roman" w:cs="Times New Roman"/>
              </w:rPr>
              <w:t>TSP和非甲烷总烃现状监测及评价结果见下表。</w:t>
            </w:r>
          </w:p>
          <w:p w14:paraId="490DBE0E">
            <w:pPr>
              <w:jc w:val="center"/>
              <w:rPr>
                <w:rFonts w:hint="default" w:ascii="Times New Roman" w:hAnsi="Times New Roman" w:eastAsia="宋体" w:cs="Times New Roman"/>
                <w:b/>
                <w:kern w:val="0"/>
                <w:sz w:val="21"/>
                <w:szCs w:val="22"/>
              </w:rPr>
            </w:pPr>
            <w:r>
              <w:rPr>
                <w:rFonts w:hint="default" w:ascii="Times New Roman" w:hAnsi="Times New Roman" w:eastAsia="宋体" w:cs="Times New Roman"/>
                <w:b/>
                <w:kern w:val="0"/>
                <w:sz w:val="21"/>
                <w:szCs w:val="22"/>
              </w:rPr>
              <w:t>表 3-</w:t>
            </w:r>
            <w:r>
              <w:rPr>
                <w:rFonts w:hint="default" w:ascii="Times New Roman" w:hAnsi="Times New Roman" w:eastAsia="宋体" w:cs="Times New Roman"/>
                <w:b/>
                <w:kern w:val="0"/>
                <w:sz w:val="21"/>
                <w:szCs w:val="22"/>
              </w:rPr>
              <w:fldChar w:fldCharType="begin"/>
            </w:r>
            <w:r>
              <w:rPr>
                <w:rFonts w:hint="default" w:ascii="Times New Roman" w:hAnsi="Times New Roman" w:eastAsia="宋体" w:cs="Times New Roman"/>
                <w:b/>
                <w:kern w:val="0"/>
                <w:sz w:val="21"/>
                <w:szCs w:val="22"/>
              </w:rPr>
              <w:instrText xml:space="preserve"> SEQ 表 \* ARABIC \s 1 </w:instrText>
            </w:r>
            <w:r>
              <w:rPr>
                <w:rFonts w:hint="default" w:ascii="Times New Roman" w:hAnsi="Times New Roman" w:eastAsia="宋体" w:cs="Times New Roman"/>
                <w:b/>
                <w:kern w:val="0"/>
                <w:sz w:val="21"/>
                <w:szCs w:val="22"/>
              </w:rPr>
              <w:fldChar w:fldCharType="separate"/>
            </w:r>
            <w:r>
              <w:rPr>
                <w:rFonts w:hint="default" w:ascii="Times New Roman" w:hAnsi="Times New Roman" w:eastAsia="宋体" w:cs="Times New Roman"/>
                <w:b/>
                <w:kern w:val="0"/>
                <w:sz w:val="21"/>
                <w:szCs w:val="22"/>
              </w:rPr>
              <w:t>2</w:t>
            </w:r>
            <w:r>
              <w:rPr>
                <w:rFonts w:hint="default" w:ascii="Times New Roman" w:hAnsi="Times New Roman" w:eastAsia="宋体" w:cs="Times New Roman"/>
                <w:b/>
                <w:kern w:val="0"/>
                <w:sz w:val="21"/>
                <w:szCs w:val="22"/>
              </w:rPr>
              <w:fldChar w:fldCharType="end"/>
            </w:r>
            <w:r>
              <w:rPr>
                <w:rFonts w:hint="default" w:ascii="Times New Roman" w:hAnsi="Times New Roman" w:eastAsia="宋体" w:cs="Times New Roman"/>
                <w:b/>
                <w:kern w:val="0"/>
                <w:sz w:val="21"/>
                <w:szCs w:val="22"/>
              </w:rPr>
              <w:t xml:space="preserve"> 特征污染物环境质量现状监测结果及评价统计     单位：</w:t>
            </w:r>
            <w:r>
              <w:rPr>
                <w:rFonts w:hint="default" w:ascii="Times New Roman" w:hAnsi="Times New Roman" w:eastAsia="宋体" w:cs="Times New Roman"/>
                <w:b/>
                <w:kern w:val="0"/>
                <w:sz w:val="21"/>
                <w:szCs w:val="22"/>
                <w:lang w:bidi="ar"/>
              </w:rPr>
              <w:t>mg/m</w:t>
            </w:r>
            <w:r>
              <w:rPr>
                <w:rFonts w:hint="default" w:ascii="Times New Roman" w:hAnsi="Times New Roman" w:eastAsia="宋体" w:cs="Times New Roman"/>
                <w:b/>
                <w:kern w:val="0"/>
                <w:sz w:val="21"/>
                <w:szCs w:val="22"/>
                <w:vertAlign w:val="superscript"/>
                <w:lang w:bidi="ar"/>
              </w:rPr>
              <w:t>3</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47"/>
              <w:gridCol w:w="1341"/>
              <w:gridCol w:w="1232"/>
              <w:gridCol w:w="761"/>
              <w:gridCol w:w="622"/>
              <w:gridCol w:w="983"/>
              <w:gridCol w:w="1170"/>
              <w:gridCol w:w="625"/>
              <w:gridCol w:w="511"/>
            </w:tblGrid>
            <w:tr w14:paraId="3A6AE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6" w:hRule="atLeast"/>
                <w:jc w:val="center"/>
              </w:trPr>
              <w:tc>
                <w:tcPr>
                  <w:tcW w:w="351" w:type="pct"/>
                  <w:vMerge w:val="restart"/>
                  <w:vAlign w:val="center"/>
                </w:tcPr>
                <w:p w14:paraId="48D8713C">
                  <w:pPr>
                    <w:pStyle w:val="46"/>
                    <w:rPr>
                      <w:rFonts w:ascii="Times New Roman" w:hAnsi="Times New Roman" w:eastAsia="宋体" w:cs="宋体"/>
                    </w:rPr>
                  </w:pPr>
                  <w:r>
                    <w:rPr>
                      <w:rFonts w:ascii="Times New Roman" w:hAnsi="Times New Roman" w:eastAsia="宋体" w:cs="宋体"/>
                    </w:rPr>
                    <w:t>点位名称</w:t>
                  </w:r>
                </w:p>
              </w:tc>
              <w:tc>
                <w:tcPr>
                  <w:tcW w:w="1650" w:type="pct"/>
                  <w:gridSpan w:val="2"/>
                  <w:vAlign w:val="center"/>
                </w:tcPr>
                <w:p w14:paraId="28B09ABB">
                  <w:pPr>
                    <w:pStyle w:val="46"/>
                    <w:rPr>
                      <w:rFonts w:ascii="Times New Roman" w:hAnsi="Times New Roman" w:eastAsia="宋体" w:cs="宋体"/>
                    </w:rPr>
                  </w:pPr>
                  <w:r>
                    <w:rPr>
                      <w:rFonts w:ascii="Times New Roman" w:hAnsi="Times New Roman" w:eastAsia="宋体" w:cs="宋体"/>
                    </w:rPr>
                    <w:t>监测点坐标（m）</w:t>
                  </w:r>
                </w:p>
              </w:tc>
              <w:tc>
                <w:tcPr>
                  <w:tcW w:w="488" w:type="pct"/>
                  <w:vMerge w:val="restart"/>
                  <w:vAlign w:val="center"/>
                </w:tcPr>
                <w:p w14:paraId="4592F373">
                  <w:pPr>
                    <w:pStyle w:val="46"/>
                    <w:rPr>
                      <w:rFonts w:ascii="Times New Roman" w:hAnsi="Times New Roman" w:eastAsia="宋体" w:cs="宋体"/>
                    </w:rPr>
                  </w:pPr>
                  <w:r>
                    <w:rPr>
                      <w:rFonts w:ascii="Times New Roman" w:hAnsi="Times New Roman" w:eastAsia="宋体" w:cs="宋体"/>
                    </w:rPr>
                    <w:t>污染物</w:t>
                  </w:r>
                </w:p>
              </w:tc>
              <w:tc>
                <w:tcPr>
                  <w:tcW w:w="399" w:type="pct"/>
                  <w:vMerge w:val="restart"/>
                  <w:vAlign w:val="center"/>
                </w:tcPr>
                <w:p w14:paraId="322A58BE">
                  <w:pPr>
                    <w:pStyle w:val="46"/>
                    <w:rPr>
                      <w:rFonts w:ascii="Times New Roman" w:hAnsi="Times New Roman" w:eastAsia="宋体" w:cs="宋体"/>
                    </w:rPr>
                  </w:pPr>
                  <w:r>
                    <w:rPr>
                      <w:rFonts w:ascii="Times New Roman" w:hAnsi="Times New Roman" w:eastAsia="宋体" w:cs="宋体"/>
                    </w:rPr>
                    <w:t>平均</w:t>
                  </w:r>
                </w:p>
                <w:p w14:paraId="2BCE664C">
                  <w:pPr>
                    <w:pStyle w:val="46"/>
                    <w:rPr>
                      <w:rFonts w:ascii="Times New Roman" w:hAnsi="Times New Roman" w:eastAsia="宋体" w:cs="宋体"/>
                    </w:rPr>
                  </w:pPr>
                  <w:r>
                    <w:rPr>
                      <w:rFonts w:ascii="Times New Roman" w:hAnsi="Times New Roman" w:eastAsia="宋体" w:cs="宋体"/>
                    </w:rPr>
                    <w:t>时间</w:t>
                  </w:r>
                </w:p>
              </w:tc>
              <w:tc>
                <w:tcPr>
                  <w:tcW w:w="630" w:type="pct"/>
                  <w:vMerge w:val="restart"/>
                  <w:vAlign w:val="center"/>
                </w:tcPr>
                <w:p w14:paraId="5FBA8A29">
                  <w:pPr>
                    <w:pStyle w:val="46"/>
                    <w:rPr>
                      <w:rFonts w:ascii="Times New Roman" w:hAnsi="Times New Roman" w:eastAsia="宋体" w:cs="宋体"/>
                    </w:rPr>
                  </w:pPr>
                  <w:r>
                    <w:rPr>
                      <w:rFonts w:ascii="Times New Roman" w:hAnsi="Times New Roman" w:eastAsia="宋体" w:cs="宋体"/>
                    </w:rPr>
                    <w:t>评价标准</w:t>
                  </w:r>
                  <w:r>
                    <w:rPr>
                      <w:rFonts w:hint="default" w:ascii="Times New Roman" w:hAnsi="Times New Roman" w:eastAsia="宋体" w:cs="宋体"/>
                      <w:lang w:val="en-US"/>
                    </w:rPr>
                    <w:t>/(mg/m</w:t>
                  </w:r>
                  <w:r>
                    <w:rPr>
                      <w:rFonts w:hint="default" w:ascii="Times New Roman" w:hAnsi="Times New Roman" w:eastAsia="宋体" w:cs="宋体"/>
                      <w:vertAlign w:val="superscript"/>
                      <w:lang w:val="en-US"/>
                    </w:rPr>
                    <w:t>3</w:t>
                  </w:r>
                  <w:r>
                    <w:rPr>
                      <w:rFonts w:hint="default" w:ascii="Times New Roman" w:hAnsi="Times New Roman" w:eastAsia="宋体" w:cs="宋体"/>
                      <w:lang w:val="en-US"/>
                    </w:rPr>
                    <w:t>)</w:t>
                  </w:r>
                </w:p>
              </w:tc>
              <w:tc>
                <w:tcPr>
                  <w:tcW w:w="750" w:type="pct"/>
                  <w:vMerge w:val="restart"/>
                  <w:vAlign w:val="center"/>
                </w:tcPr>
                <w:p w14:paraId="00F111DB">
                  <w:pPr>
                    <w:pStyle w:val="46"/>
                    <w:rPr>
                      <w:rFonts w:ascii="Times New Roman" w:hAnsi="Times New Roman" w:eastAsia="宋体" w:cs="宋体"/>
                    </w:rPr>
                  </w:pPr>
                  <w:r>
                    <w:rPr>
                      <w:rFonts w:ascii="Times New Roman" w:hAnsi="Times New Roman" w:eastAsia="宋体" w:cs="宋体"/>
                    </w:rPr>
                    <w:t>监测浓度范围</w:t>
                  </w:r>
                  <w:r>
                    <w:rPr>
                      <w:rFonts w:hint="default" w:ascii="Times New Roman" w:hAnsi="Times New Roman" w:eastAsia="宋体" w:cs="宋体"/>
                      <w:lang w:val="en-US"/>
                    </w:rPr>
                    <w:t>/(mg/m</w:t>
                  </w:r>
                  <w:r>
                    <w:rPr>
                      <w:rFonts w:hint="default" w:ascii="Times New Roman" w:hAnsi="Times New Roman" w:eastAsia="宋体" w:cs="宋体"/>
                      <w:vertAlign w:val="baseline"/>
                      <w:lang w:val="en-US"/>
                    </w:rPr>
                    <w:t>3</w:t>
                  </w:r>
                  <w:r>
                    <w:rPr>
                      <w:rFonts w:hint="default" w:ascii="Times New Roman" w:hAnsi="Times New Roman" w:eastAsia="宋体" w:cs="宋体"/>
                      <w:lang w:val="en-US"/>
                    </w:rPr>
                    <w:t>)</w:t>
                  </w:r>
                </w:p>
              </w:tc>
              <w:tc>
                <w:tcPr>
                  <w:tcW w:w="401" w:type="pct"/>
                  <w:vMerge w:val="restart"/>
                  <w:vAlign w:val="center"/>
                </w:tcPr>
                <w:p w14:paraId="4E78C6AA">
                  <w:pPr>
                    <w:pStyle w:val="46"/>
                    <w:rPr>
                      <w:rFonts w:ascii="Times New Roman" w:hAnsi="Times New Roman" w:eastAsia="宋体" w:cs="宋体"/>
                    </w:rPr>
                  </w:pPr>
                  <w:r>
                    <w:rPr>
                      <w:rFonts w:ascii="Times New Roman" w:hAnsi="Times New Roman" w:eastAsia="宋体" w:cs="宋体"/>
                    </w:rPr>
                    <w:t>超标率%</w:t>
                  </w:r>
                </w:p>
              </w:tc>
              <w:tc>
                <w:tcPr>
                  <w:tcW w:w="327" w:type="pct"/>
                  <w:vMerge w:val="restart"/>
                  <w:vAlign w:val="center"/>
                </w:tcPr>
                <w:p w14:paraId="4208F948">
                  <w:pPr>
                    <w:pStyle w:val="46"/>
                    <w:rPr>
                      <w:rFonts w:ascii="Times New Roman" w:hAnsi="Times New Roman" w:eastAsia="宋体" w:cs="宋体"/>
                    </w:rPr>
                  </w:pPr>
                  <w:r>
                    <w:rPr>
                      <w:rFonts w:ascii="Times New Roman" w:hAnsi="Times New Roman" w:eastAsia="宋体" w:cs="宋体"/>
                    </w:rPr>
                    <w:t>达标情况</w:t>
                  </w:r>
                </w:p>
              </w:tc>
            </w:tr>
            <w:tr w14:paraId="09E51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6" w:hRule="atLeast"/>
                <w:jc w:val="center"/>
              </w:trPr>
              <w:tc>
                <w:tcPr>
                  <w:tcW w:w="351" w:type="pct"/>
                  <w:vMerge w:val="continue"/>
                  <w:vAlign w:val="center"/>
                </w:tcPr>
                <w:p w14:paraId="4CE6BF6C">
                  <w:pPr>
                    <w:pStyle w:val="46"/>
                    <w:rPr>
                      <w:rFonts w:ascii="Times New Roman" w:hAnsi="Times New Roman" w:eastAsia="宋体" w:cs="宋体"/>
                    </w:rPr>
                  </w:pPr>
                </w:p>
              </w:tc>
              <w:tc>
                <w:tcPr>
                  <w:tcW w:w="860" w:type="pct"/>
                  <w:vAlign w:val="center"/>
                </w:tcPr>
                <w:p w14:paraId="2A8B698F">
                  <w:pPr>
                    <w:pStyle w:val="46"/>
                    <w:rPr>
                      <w:rFonts w:ascii="Times New Roman" w:hAnsi="Times New Roman" w:eastAsia="宋体" w:cs="宋体"/>
                    </w:rPr>
                  </w:pPr>
                  <w:r>
                    <w:rPr>
                      <w:rFonts w:hint="default" w:ascii="Times New Roman" w:hAnsi="Times New Roman" w:eastAsia="宋体" w:cs="宋体"/>
                      <w:spacing w:val="0"/>
                      <w:lang w:val="en-US"/>
                    </w:rPr>
                    <w:t>X</w:t>
                  </w:r>
                </w:p>
              </w:tc>
              <w:tc>
                <w:tcPr>
                  <w:tcW w:w="790" w:type="pct"/>
                  <w:vAlign w:val="center"/>
                </w:tcPr>
                <w:p w14:paraId="2909B1FA">
                  <w:pPr>
                    <w:pStyle w:val="46"/>
                    <w:rPr>
                      <w:rFonts w:ascii="Times New Roman" w:hAnsi="Times New Roman" w:eastAsia="宋体" w:cs="宋体"/>
                    </w:rPr>
                  </w:pPr>
                  <w:r>
                    <w:rPr>
                      <w:rFonts w:hint="default" w:ascii="Times New Roman" w:hAnsi="Times New Roman" w:eastAsia="宋体" w:cs="宋体"/>
                      <w:spacing w:val="0"/>
                      <w:lang w:val="en-US"/>
                    </w:rPr>
                    <w:t>Y</w:t>
                  </w:r>
                </w:p>
              </w:tc>
              <w:tc>
                <w:tcPr>
                  <w:tcW w:w="488" w:type="pct"/>
                  <w:vMerge w:val="continue"/>
                  <w:vAlign w:val="center"/>
                </w:tcPr>
                <w:p w14:paraId="2757E0B7">
                  <w:pPr>
                    <w:pStyle w:val="46"/>
                    <w:rPr>
                      <w:rFonts w:ascii="Times New Roman" w:hAnsi="Times New Roman" w:eastAsia="宋体" w:cs="宋体"/>
                    </w:rPr>
                  </w:pPr>
                </w:p>
              </w:tc>
              <w:tc>
                <w:tcPr>
                  <w:tcW w:w="399" w:type="pct"/>
                  <w:vMerge w:val="continue"/>
                  <w:vAlign w:val="center"/>
                </w:tcPr>
                <w:p w14:paraId="4B5D7721">
                  <w:pPr>
                    <w:pStyle w:val="46"/>
                    <w:rPr>
                      <w:rFonts w:ascii="Times New Roman" w:hAnsi="Times New Roman" w:eastAsia="宋体" w:cs="宋体"/>
                    </w:rPr>
                  </w:pPr>
                </w:p>
              </w:tc>
              <w:tc>
                <w:tcPr>
                  <w:tcW w:w="630" w:type="pct"/>
                  <w:vMerge w:val="continue"/>
                  <w:vAlign w:val="center"/>
                </w:tcPr>
                <w:p w14:paraId="4A3A3F08">
                  <w:pPr>
                    <w:pStyle w:val="46"/>
                    <w:rPr>
                      <w:rFonts w:ascii="Times New Roman" w:hAnsi="Times New Roman" w:eastAsia="宋体" w:cs="宋体"/>
                    </w:rPr>
                  </w:pPr>
                </w:p>
              </w:tc>
              <w:tc>
                <w:tcPr>
                  <w:tcW w:w="750" w:type="pct"/>
                  <w:vMerge w:val="continue"/>
                  <w:vAlign w:val="center"/>
                </w:tcPr>
                <w:p w14:paraId="599D1B2E">
                  <w:pPr>
                    <w:pStyle w:val="46"/>
                    <w:rPr>
                      <w:rFonts w:ascii="Times New Roman" w:hAnsi="Times New Roman" w:eastAsia="宋体" w:cs="宋体"/>
                    </w:rPr>
                  </w:pPr>
                </w:p>
              </w:tc>
              <w:tc>
                <w:tcPr>
                  <w:tcW w:w="401" w:type="pct"/>
                  <w:vMerge w:val="continue"/>
                  <w:vAlign w:val="center"/>
                </w:tcPr>
                <w:p w14:paraId="5125AC3B">
                  <w:pPr>
                    <w:pStyle w:val="46"/>
                    <w:rPr>
                      <w:rFonts w:ascii="Times New Roman" w:hAnsi="Times New Roman" w:eastAsia="宋体" w:cs="宋体"/>
                    </w:rPr>
                  </w:pPr>
                </w:p>
              </w:tc>
              <w:tc>
                <w:tcPr>
                  <w:tcW w:w="327" w:type="pct"/>
                  <w:vMerge w:val="continue"/>
                  <w:vAlign w:val="center"/>
                </w:tcPr>
                <w:p w14:paraId="21CA54DA">
                  <w:pPr>
                    <w:pStyle w:val="46"/>
                    <w:rPr>
                      <w:rFonts w:ascii="Times New Roman" w:hAnsi="Times New Roman" w:eastAsia="宋体" w:cs="宋体"/>
                    </w:rPr>
                  </w:pPr>
                </w:p>
              </w:tc>
            </w:tr>
            <w:tr w14:paraId="16ED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0" w:hRule="atLeast"/>
                <w:jc w:val="center"/>
              </w:trPr>
              <w:tc>
                <w:tcPr>
                  <w:tcW w:w="351" w:type="pct"/>
                  <w:vMerge w:val="restart"/>
                  <w:vAlign w:val="center"/>
                </w:tcPr>
                <w:p w14:paraId="5B90435C">
                  <w:pPr>
                    <w:pStyle w:val="46"/>
                    <w:rPr>
                      <w:rFonts w:hint="default" w:ascii="Times New Roman" w:hAnsi="Times New Roman" w:eastAsia="宋体" w:cs="宋体"/>
                      <w:lang w:val="en-US" w:eastAsia="zh-CN"/>
                    </w:rPr>
                  </w:pPr>
                  <w:r>
                    <w:rPr>
                      <w:rFonts w:hint="default" w:ascii="Times New Roman" w:hAnsi="Times New Roman" w:eastAsia="宋体" w:cs="宋体"/>
                      <w:lang w:val="en-US" w:eastAsia="zh-CN"/>
                    </w:rPr>
                    <w:t>孟岗村</w:t>
                  </w:r>
                </w:p>
              </w:tc>
              <w:tc>
                <w:tcPr>
                  <w:tcW w:w="860" w:type="pct"/>
                  <w:vMerge w:val="restart"/>
                  <w:vAlign w:val="center"/>
                </w:tcPr>
                <w:p w14:paraId="2B2EE8E6">
                  <w:pPr>
                    <w:pStyle w:val="46"/>
                    <w:rPr>
                      <w:rFonts w:ascii="Times New Roman" w:hAnsi="Times New Roman" w:eastAsia="宋体" w:cs="宋体"/>
                    </w:rPr>
                  </w:pPr>
                  <w:r>
                    <w:rPr>
                      <w:rFonts w:hint="default" w:ascii="Times New Roman" w:hAnsi="Times New Roman" w:eastAsia="宋体" w:cs="宋体"/>
                      <w:lang w:val="en-US"/>
                    </w:rPr>
                    <w:t>116.99824177</w:t>
                  </w:r>
                </w:p>
              </w:tc>
              <w:tc>
                <w:tcPr>
                  <w:tcW w:w="790" w:type="pct"/>
                  <w:vMerge w:val="restart"/>
                  <w:vAlign w:val="center"/>
                </w:tcPr>
                <w:p w14:paraId="6AB8DB76">
                  <w:pPr>
                    <w:pStyle w:val="46"/>
                    <w:rPr>
                      <w:rFonts w:ascii="Times New Roman" w:hAnsi="Times New Roman" w:eastAsia="宋体" w:cs="宋体"/>
                    </w:rPr>
                  </w:pPr>
                  <w:r>
                    <w:rPr>
                      <w:rFonts w:hint="default" w:ascii="Times New Roman" w:hAnsi="Times New Roman" w:eastAsia="宋体" w:cs="宋体"/>
                      <w:lang w:val="en-US"/>
                    </w:rPr>
                    <w:t>32.55405165</w:t>
                  </w:r>
                </w:p>
              </w:tc>
              <w:tc>
                <w:tcPr>
                  <w:tcW w:w="488" w:type="pct"/>
                  <w:vAlign w:val="center"/>
                </w:tcPr>
                <w:p w14:paraId="37E2A997">
                  <w:pPr>
                    <w:pStyle w:val="46"/>
                    <w:rPr>
                      <w:rFonts w:ascii="Times New Roman" w:hAnsi="Times New Roman" w:eastAsia="宋体" w:cs="宋体"/>
                      <w:spacing w:val="0"/>
                      <w:position w:val="0"/>
                    </w:rPr>
                  </w:pPr>
                  <w:r>
                    <w:rPr>
                      <w:rFonts w:hint="default" w:ascii="Times New Roman" w:hAnsi="Times New Roman" w:eastAsia="宋体" w:cs="宋体"/>
                      <w:spacing w:val="0"/>
                      <w:position w:val="0"/>
                      <w:lang w:val="en-US"/>
                    </w:rPr>
                    <w:t>TSP</w:t>
                  </w:r>
                </w:p>
              </w:tc>
              <w:tc>
                <w:tcPr>
                  <w:tcW w:w="399" w:type="pct"/>
                  <w:vAlign w:val="center"/>
                </w:tcPr>
                <w:p w14:paraId="67D72653">
                  <w:pPr>
                    <w:pStyle w:val="46"/>
                    <w:rPr>
                      <w:rFonts w:ascii="Times New Roman" w:hAnsi="Times New Roman" w:eastAsia="宋体" w:cs="宋体"/>
                      <w:spacing w:val="0"/>
                      <w:position w:val="0"/>
                    </w:rPr>
                  </w:pPr>
                  <w:r>
                    <w:rPr>
                      <w:rFonts w:hint="default" w:ascii="Times New Roman" w:hAnsi="Times New Roman" w:eastAsia="宋体" w:cs="宋体"/>
                      <w:spacing w:val="0"/>
                      <w:position w:val="0"/>
                      <w:lang w:val="en-US"/>
                    </w:rPr>
                    <w:t>24h</w:t>
                  </w:r>
                </w:p>
              </w:tc>
              <w:tc>
                <w:tcPr>
                  <w:tcW w:w="630" w:type="pct"/>
                  <w:vAlign w:val="center"/>
                </w:tcPr>
                <w:p w14:paraId="5318B99E">
                  <w:pPr>
                    <w:pStyle w:val="46"/>
                    <w:rPr>
                      <w:rFonts w:hint="default" w:ascii="Times New Roman" w:hAnsi="Times New Roman" w:eastAsia="宋体" w:cs="宋体"/>
                      <w:spacing w:val="0"/>
                      <w:position w:val="0"/>
                      <w:lang w:eastAsia="zh-CN"/>
                    </w:rPr>
                  </w:pPr>
                  <w:r>
                    <w:rPr>
                      <w:rFonts w:hint="default" w:ascii="Times New Roman" w:hAnsi="Times New Roman" w:eastAsia="宋体" w:cs="宋体"/>
                      <w:spacing w:val="0"/>
                      <w:position w:val="0"/>
                      <w:lang w:val="en-US" w:eastAsia="zh-CN"/>
                    </w:rPr>
                    <w:t>1</w:t>
                  </w:r>
                </w:p>
              </w:tc>
              <w:tc>
                <w:tcPr>
                  <w:tcW w:w="750" w:type="pct"/>
                  <w:vAlign w:val="center"/>
                </w:tcPr>
                <w:p w14:paraId="13DC5558">
                  <w:pPr>
                    <w:pStyle w:val="46"/>
                    <w:rPr>
                      <w:rFonts w:hint="default" w:ascii="Times New Roman" w:hAnsi="Times New Roman" w:eastAsia="宋体" w:cs="宋体"/>
                      <w:spacing w:val="0"/>
                      <w:position w:val="0"/>
                      <w:lang w:val="en-US" w:eastAsia="zh-CN"/>
                    </w:rPr>
                  </w:pPr>
                  <w:r>
                    <w:rPr>
                      <w:rFonts w:hint="default" w:ascii="Times New Roman" w:hAnsi="Times New Roman" w:eastAsia="宋体" w:cs="宋体"/>
                      <w:spacing w:val="0"/>
                      <w:position w:val="0"/>
                      <w:lang w:val="en-US"/>
                    </w:rPr>
                    <w:t>0.1</w:t>
                  </w:r>
                  <w:r>
                    <w:rPr>
                      <w:rFonts w:hint="default" w:ascii="Times New Roman" w:hAnsi="Times New Roman" w:eastAsia="宋体" w:cs="宋体"/>
                      <w:spacing w:val="0"/>
                      <w:position w:val="0"/>
                      <w:lang w:val="en-US" w:eastAsia="zh-CN"/>
                    </w:rPr>
                    <w:t>86</w:t>
                  </w:r>
                  <w:r>
                    <w:rPr>
                      <w:rFonts w:hint="default" w:ascii="Times New Roman" w:hAnsi="Times New Roman" w:eastAsia="宋体" w:cs="宋体"/>
                      <w:spacing w:val="0"/>
                      <w:position w:val="0"/>
                      <w:lang w:val="en-US"/>
                    </w:rPr>
                    <w:t>~0.</w:t>
                  </w:r>
                  <w:r>
                    <w:rPr>
                      <w:rFonts w:hint="default" w:ascii="Times New Roman" w:hAnsi="Times New Roman" w:eastAsia="宋体" w:cs="宋体"/>
                      <w:spacing w:val="0"/>
                      <w:position w:val="0"/>
                      <w:lang w:val="en-US" w:eastAsia="zh-CN"/>
                    </w:rPr>
                    <w:t>206</w:t>
                  </w:r>
                </w:p>
              </w:tc>
              <w:tc>
                <w:tcPr>
                  <w:tcW w:w="401" w:type="pct"/>
                  <w:vAlign w:val="center"/>
                </w:tcPr>
                <w:p w14:paraId="51AC2051">
                  <w:pPr>
                    <w:pStyle w:val="46"/>
                    <w:rPr>
                      <w:rFonts w:ascii="Times New Roman" w:hAnsi="Times New Roman" w:eastAsia="宋体" w:cs="宋体"/>
                    </w:rPr>
                  </w:pPr>
                  <w:r>
                    <w:rPr>
                      <w:rFonts w:hint="default" w:ascii="Times New Roman" w:hAnsi="Times New Roman" w:eastAsia="宋体" w:cs="宋体"/>
                      <w:lang w:val="en-US"/>
                    </w:rPr>
                    <w:t>0</w:t>
                  </w:r>
                </w:p>
              </w:tc>
              <w:tc>
                <w:tcPr>
                  <w:tcW w:w="327" w:type="pct"/>
                  <w:vAlign w:val="center"/>
                </w:tcPr>
                <w:p w14:paraId="7CD22ABF">
                  <w:pPr>
                    <w:pStyle w:val="46"/>
                    <w:rPr>
                      <w:rFonts w:ascii="Times New Roman" w:hAnsi="Times New Roman" w:eastAsia="宋体" w:cs="宋体"/>
                    </w:rPr>
                  </w:pPr>
                  <w:r>
                    <w:rPr>
                      <w:rFonts w:hint="default" w:ascii="Times New Roman" w:hAnsi="Times New Roman" w:eastAsia="宋体" w:cs="宋体"/>
                      <w:lang w:val="en-US"/>
                    </w:rPr>
                    <w:t>达标</w:t>
                  </w:r>
                </w:p>
              </w:tc>
            </w:tr>
            <w:tr w14:paraId="6C70F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6" w:hRule="atLeast"/>
                <w:jc w:val="center"/>
              </w:trPr>
              <w:tc>
                <w:tcPr>
                  <w:tcW w:w="351" w:type="pct"/>
                  <w:vMerge w:val="continue"/>
                  <w:vAlign w:val="center"/>
                </w:tcPr>
                <w:p w14:paraId="19A6D0F9">
                  <w:pPr>
                    <w:pStyle w:val="46"/>
                    <w:rPr>
                      <w:rFonts w:ascii="Times New Roman" w:hAnsi="Times New Roman" w:eastAsia="宋体" w:cs="宋体"/>
                    </w:rPr>
                  </w:pPr>
                </w:p>
              </w:tc>
              <w:tc>
                <w:tcPr>
                  <w:tcW w:w="860" w:type="pct"/>
                  <w:vMerge w:val="continue"/>
                  <w:vAlign w:val="center"/>
                </w:tcPr>
                <w:p w14:paraId="370061C4">
                  <w:pPr>
                    <w:pStyle w:val="46"/>
                    <w:rPr>
                      <w:rFonts w:ascii="Times New Roman" w:hAnsi="Times New Roman" w:eastAsia="宋体" w:cs="宋体"/>
                    </w:rPr>
                  </w:pPr>
                </w:p>
              </w:tc>
              <w:tc>
                <w:tcPr>
                  <w:tcW w:w="790" w:type="pct"/>
                  <w:vMerge w:val="continue"/>
                  <w:vAlign w:val="center"/>
                </w:tcPr>
                <w:p w14:paraId="23BA2FB3">
                  <w:pPr>
                    <w:pStyle w:val="46"/>
                    <w:rPr>
                      <w:rFonts w:ascii="Times New Roman" w:hAnsi="Times New Roman" w:eastAsia="宋体" w:cs="宋体"/>
                    </w:rPr>
                  </w:pPr>
                </w:p>
              </w:tc>
              <w:tc>
                <w:tcPr>
                  <w:tcW w:w="488" w:type="pct"/>
                  <w:vAlign w:val="center"/>
                </w:tcPr>
                <w:p w14:paraId="318EA777">
                  <w:pPr>
                    <w:pStyle w:val="46"/>
                    <w:rPr>
                      <w:rFonts w:ascii="Times New Roman" w:hAnsi="Times New Roman" w:eastAsia="宋体" w:cs="宋体"/>
                      <w:spacing w:val="0"/>
                      <w:position w:val="0"/>
                    </w:rPr>
                  </w:pPr>
                  <w:r>
                    <w:rPr>
                      <w:rFonts w:hint="default" w:ascii="Times New Roman" w:hAnsi="Times New Roman" w:eastAsia="宋体" w:cs="宋体"/>
                      <w:spacing w:val="0"/>
                      <w:position w:val="0"/>
                      <w:lang w:val="en-US"/>
                    </w:rPr>
                    <w:t>非甲烷总烃</w:t>
                  </w:r>
                </w:p>
              </w:tc>
              <w:tc>
                <w:tcPr>
                  <w:tcW w:w="399" w:type="pct"/>
                  <w:vAlign w:val="center"/>
                </w:tcPr>
                <w:p w14:paraId="36C69EFB">
                  <w:pPr>
                    <w:pStyle w:val="46"/>
                    <w:rPr>
                      <w:rFonts w:ascii="Times New Roman" w:hAnsi="Times New Roman" w:eastAsia="宋体" w:cs="宋体"/>
                      <w:spacing w:val="0"/>
                      <w:position w:val="0"/>
                    </w:rPr>
                  </w:pPr>
                  <w:r>
                    <w:rPr>
                      <w:rFonts w:hint="default" w:ascii="Times New Roman" w:hAnsi="Times New Roman" w:eastAsia="宋体" w:cs="宋体"/>
                      <w:spacing w:val="0"/>
                      <w:position w:val="0"/>
                      <w:lang w:val="en-US"/>
                    </w:rPr>
                    <w:t>1h</w:t>
                  </w:r>
                </w:p>
              </w:tc>
              <w:tc>
                <w:tcPr>
                  <w:tcW w:w="630" w:type="pct"/>
                  <w:vAlign w:val="center"/>
                </w:tcPr>
                <w:p w14:paraId="20906E0D">
                  <w:pPr>
                    <w:pStyle w:val="46"/>
                    <w:rPr>
                      <w:rFonts w:hint="default" w:ascii="Times New Roman" w:hAnsi="Times New Roman" w:eastAsia="宋体" w:cs="宋体"/>
                      <w:spacing w:val="0"/>
                      <w:position w:val="0"/>
                      <w:lang w:eastAsia="zh-CN"/>
                    </w:rPr>
                  </w:pPr>
                  <w:r>
                    <w:rPr>
                      <w:rFonts w:hint="default" w:ascii="Times New Roman" w:hAnsi="Times New Roman" w:eastAsia="宋体" w:cs="宋体"/>
                      <w:spacing w:val="0"/>
                      <w:position w:val="0"/>
                      <w:lang w:val="en-US" w:eastAsia="zh-CN"/>
                    </w:rPr>
                    <w:t>4</w:t>
                  </w:r>
                </w:p>
              </w:tc>
              <w:tc>
                <w:tcPr>
                  <w:tcW w:w="750" w:type="pct"/>
                  <w:vAlign w:val="center"/>
                </w:tcPr>
                <w:p w14:paraId="22166609">
                  <w:pPr>
                    <w:pStyle w:val="46"/>
                    <w:rPr>
                      <w:rFonts w:hint="default" w:ascii="Times New Roman" w:hAnsi="Times New Roman" w:eastAsia="宋体" w:cs="宋体"/>
                      <w:spacing w:val="0"/>
                      <w:position w:val="0"/>
                      <w:lang w:val="en-US" w:eastAsia="zh-CN"/>
                    </w:rPr>
                  </w:pPr>
                  <w:r>
                    <w:rPr>
                      <w:rFonts w:hint="default" w:ascii="Times New Roman" w:hAnsi="Times New Roman" w:eastAsia="宋体" w:cs="宋体"/>
                      <w:spacing w:val="0"/>
                      <w:position w:val="0"/>
                      <w:lang w:val="en-US"/>
                    </w:rPr>
                    <w:t>0.</w:t>
                  </w:r>
                  <w:r>
                    <w:rPr>
                      <w:rFonts w:hint="default" w:ascii="Times New Roman" w:hAnsi="Times New Roman" w:eastAsia="宋体" w:cs="宋体"/>
                      <w:spacing w:val="0"/>
                      <w:position w:val="0"/>
                      <w:lang w:val="en-US" w:eastAsia="zh-CN"/>
                    </w:rPr>
                    <w:t>78</w:t>
                  </w:r>
                  <w:r>
                    <w:rPr>
                      <w:rFonts w:hint="default" w:ascii="Times New Roman" w:hAnsi="Times New Roman" w:eastAsia="宋体" w:cs="宋体"/>
                      <w:spacing w:val="0"/>
                      <w:position w:val="0"/>
                      <w:lang w:val="en-US"/>
                    </w:rPr>
                    <w:t>~</w:t>
                  </w:r>
                  <w:r>
                    <w:rPr>
                      <w:rFonts w:hint="default" w:ascii="Times New Roman" w:hAnsi="Times New Roman" w:eastAsia="宋体" w:cs="宋体"/>
                      <w:spacing w:val="0"/>
                      <w:position w:val="0"/>
                      <w:lang w:val="en-US" w:eastAsia="zh-CN"/>
                    </w:rPr>
                    <w:t>0.88</w:t>
                  </w:r>
                </w:p>
              </w:tc>
              <w:tc>
                <w:tcPr>
                  <w:tcW w:w="401" w:type="pct"/>
                  <w:vAlign w:val="center"/>
                </w:tcPr>
                <w:p w14:paraId="43FA8AE4">
                  <w:pPr>
                    <w:pStyle w:val="46"/>
                    <w:rPr>
                      <w:rFonts w:ascii="Times New Roman" w:hAnsi="Times New Roman" w:eastAsia="宋体" w:cs="宋体"/>
                    </w:rPr>
                  </w:pPr>
                  <w:r>
                    <w:rPr>
                      <w:rFonts w:hint="default" w:ascii="Times New Roman" w:hAnsi="Times New Roman" w:eastAsia="宋体" w:cs="宋体"/>
                      <w:lang w:val="en-US"/>
                    </w:rPr>
                    <w:t>0</w:t>
                  </w:r>
                </w:p>
              </w:tc>
              <w:tc>
                <w:tcPr>
                  <w:tcW w:w="327" w:type="pct"/>
                  <w:vAlign w:val="center"/>
                </w:tcPr>
                <w:p w14:paraId="5F541A32">
                  <w:pPr>
                    <w:pStyle w:val="46"/>
                    <w:rPr>
                      <w:rFonts w:ascii="Times New Roman" w:hAnsi="Times New Roman" w:eastAsia="宋体" w:cs="宋体"/>
                    </w:rPr>
                  </w:pPr>
                  <w:r>
                    <w:rPr>
                      <w:rFonts w:hint="default" w:ascii="Times New Roman" w:hAnsi="Times New Roman" w:eastAsia="宋体" w:cs="宋体"/>
                      <w:lang w:val="en-US"/>
                    </w:rPr>
                    <w:t>达标</w:t>
                  </w:r>
                </w:p>
              </w:tc>
            </w:tr>
          </w:tbl>
          <w:p w14:paraId="36560CCA">
            <w:pPr>
              <w:pStyle w:val="45"/>
              <w:rPr>
                <w:kern w:val="0"/>
                <w:szCs w:val="20"/>
              </w:rPr>
            </w:pPr>
            <w:r>
              <w:rPr>
                <w:kern w:val="0"/>
                <w:szCs w:val="20"/>
              </w:rPr>
              <w:t>综上，评价区域内评价因子非甲烷总烃浓度能够满足《大气综合排放标准详解》相关浓度限值，TSP浓度满足《环境空气质量标准》(GB3095-2012)中二级标准限值，说明评价区域内环境空气质量现状总体良好。</w:t>
            </w:r>
          </w:p>
          <w:p w14:paraId="5B7766E0">
            <w:pPr>
              <w:pStyle w:val="61"/>
              <w:rPr>
                <w:rFonts w:hint="default" w:ascii="Times New Roman" w:hAnsi="Times New Roman" w:eastAsia="宋体" w:cs="Times New Roman"/>
                <w:kern w:val="0"/>
              </w:rPr>
            </w:pPr>
            <w:r>
              <w:rPr>
                <w:rFonts w:hint="default" w:ascii="Times New Roman" w:hAnsi="Times New Roman" w:eastAsia="宋体" w:cs="Times New Roman"/>
                <w:kern w:val="0"/>
              </w:rPr>
              <w:t>3.1.2地表水环境质量现状</w:t>
            </w:r>
          </w:p>
          <w:p w14:paraId="1C000D2F">
            <w:pPr>
              <w:pStyle w:val="45"/>
              <w:rPr>
                <w:kern w:val="0"/>
                <w:szCs w:val="20"/>
              </w:rPr>
            </w:pPr>
            <w:r>
              <w:rPr>
                <w:kern w:val="0"/>
                <w:szCs w:val="20"/>
              </w:rPr>
              <w:t>根据《建设项目环境影响报告表编制技术指南（污染影响类）（试行）》，项目所在区域地表水环境质量引用与建设项目距离近的有效数据，包括近3年的规划环境影响评价的监测数据，所在流域控制单元内国家、地方控制断面监测数据，生态环境主管部门发布的水环境质量数据或地表水达标情况的结论。</w:t>
            </w:r>
          </w:p>
          <w:p w14:paraId="6E0EF71A">
            <w:pPr>
              <w:pStyle w:val="45"/>
              <w:rPr>
                <w:kern w:val="0"/>
                <w:szCs w:val="20"/>
                <w:lang w:bidi="en-US"/>
              </w:rPr>
            </w:pPr>
            <w:r>
              <w:rPr>
                <w:kern w:val="0"/>
                <w:szCs w:val="20"/>
                <w:lang w:bidi="en-US"/>
              </w:rPr>
              <w:t>根据淮南市生态环境局发布的《2024年淮南市生态环境质量状况公报》，2024年，全市地表水24个监测断面中优良水质比例为91.7%，比上年下降了4.1个百分点，IV类水质比例8.3%，总体水质状况优。</w:t>
            </w:r>
          </w:p>
          <w:p w14:paraId="27B5181C">
            <w:pPr>
              <w:pStyle w:val="45"/>
              <w:rPr>
                <w:rFonts w:hint="default" w:ascii="Times New Roman" w:hAnsi="Times New Roman" w:cs="Times New Roman"/>
                <w:kern w:val="0"/>
                <w:szCs w:val="20"/>
                <w:lang w:bidi="en-US"/>
              </w:rPr>
            </w:pPr>
            <w:r>
              <w:rPr>
                <w:kern w:val="0"/>
                <w:szCs w:val="20"/>
                <w:lang w:bidi="en-US"/>
              </w:rPr>
              <w:t>8个国控断面中优良水质比例为87.5%，IV类水质比例12.5%，水质总体状况良好；11个省控断面中优良水质比例为90.9%，水质总体状况优。</w:t>
            </w:r>
          </w:p>
          <w:p w14:paraId="2E7DDE04">
            <w:pPr>
              <w:pStyle w:val="45"/>
              <w:rPr>
                <w:kern w:val="0"/>
                <w:szCs w:val="20"/>
                <w:lang w:bidi="en-US"/>
              </w:rPr>
            </w:pPr>
            <w:r>
              <w:rPr>
                <w:kern w:val="0"/>
                <w:szCs w:val="20"/>
                <w:lang w:bidi="en-US"/>
              </w:rPr>
              <w:t>河流：全市辖区内淮河干流水质状况为优，永幸河和丁家沟水质状况为优，西淝河、东淝河、架河、泥河、万小河、瓦西干渠、陡涧河和便民沟水质状况为良好。20个监测断面中优良水质比例为100%，与去年持平。其中黄圩和丁家沟河口断面水质均有所好转（Ⅲ类→Ⅱ类），五里闸（II类→Ⅲ类）和西淝河闸下（II类→Ⅲ类）水质均有所下降，其他断面水质保持稳定。</w:t>
            </w:r>
          </w:p>
          <w:p w14:paraId="74BB53C9">
            <w:pPr>
              <w:pStyle w:val="45"/>
              <w:rPr>
                <w:kern w:val="0"/>
                <w:szCs w:val="20"/>
              </w:rPr>
            </w:pPr>
            <w:r>
              <w:rPr>
                <w:kern w:val="0"/>
                <w:szCs w:val="20"/>
              </w:rPr>
              <w:t>湖库：瓦埠湖和焦岗湖点位水质年均值符合Ⅲ类标准，水质状况为良好；高塘湖和安丰塘点位水质年均值符合IV类标准，水质轻度污染，主要污染指标为总磷。安丰塘营养状态为中营养，焦岗湖、高塘湖和瓦埠湖营养状态均为轻度富营养。与上年相比，安丰塘点位水质类别由Ⅲ类下降为IV类，瓦埠湖、高塘湖和焦岗湖点位水质类别保持稳定。</w:t>
            </w:r>
          </w:p>
          <w:p w14:paraId="7CFE57AD">
            <w:pPr>
              <w:pStyle w:val="45"/>
              <w:rPr>
                <w:kern w:val="0"/>
                <w:szCs w:val="20"/>
              </w:rPr>
            </w:pPr>
            <w:r>
              <w:rPr>
                <w:kern w:val="0"/>
                <w:szCs w:val="20"/>
              </w:rPr>
              <w:t>综上，项目所在区域地表水淮河环境质量总体满足《地表水环境质量标准》（GB3838-2002）Ⅲ类标准，地表水水质良好。</w:t>
            </w:r>
          </w:p>
          <w:p w14:paraId="2C68AC25">
            <w:pPr>
              <w:pStyle w:val="61"/>
              <w:rPr>
                <w:rFonts w:hint="default"/>
                <w:kern w:val="0"/>
              </w:rPr>
            </w:pPr>
            <w:r>
              <w:rPr>
                <w:rFonts w:hint="default"/>
                <w:kern w:val="0"/>
              </w:rPr>
              <w:t>3.1.3声环境质量现状</w:t>
            </w:r>
          </w:p>
          <w:p w14:paraId="3AC6F368">
            <w:pPr>
              <w:pStyle w:val="45"/>
              <w:rPr>
                <w:kern w:val="0"/>
                <w:szCs w:val="20"/>
              </w:rPr>
            </w:pPr>
            <w:r>
              <w:rPr>
                <w:kern w:val="0"/>
                <w:szCs w:val="20"/>
              </w:rPr>
              <w:t>根据淮南市生态环境局发布的《2024年淮南市生态环境质量状况公报》，2024年，全市区域环境噪声昼间平均等效声级为51.6分贝，与上年相比上升0.4分贝，噪声总体水平稳定保持二级，声环境质量较好。</w:t>
            </w:r>
          </w:p>
          <w:p w14:paraId="7B6B2EC4">
            <w:pPr>
              <w:pStyle w:val="45"/>
              <w:rPr>
                <w:kern w:val="0"/>
                <w:szCs w:val="20"/>
              </w:rPr>
            </w:pPr>
            <w:r>
              <w:rPr>
                <w:kern w:val="0"/>
                <w:szCs w:val="20"/>
              </w:rPr>
              <w:t>城市道路交通噪声昼间平均等效声级为66.6分贝，与上年相比上升0.4分贝，噪声强度等级稳定保持为一级，声环境质量级别为好。</w:t>
            </w:r>
          </w:p>
          <w:p w14:paraId="0CBADDE1">
            <w:pPr>
              <w:pStyle w:val="45"/>
              <w:rPr>
                <w:kern w:val="0"/>
                <w:szCs w:val="20"/>
              </w:rPr>
            </w:pPr>
            <w:r>
              <w:rPr>
                <w:kern w:val="0"/>
                <w:szCs w:val="20"/>
              </w:rPr>
              <w:t>各功能区噪声平均等效声级达标率为70.8%，昼间达标率为83.3%，夜间达标率为58.3%。与上年相比，昼间达标率减少0.5个百分点，夜间达标率减少6.7个百分点，平均等效声级达标率减少了3.5个百分点。</w:t>
            </w:r>
          </w:p>
          <w:p w14:paraId="24F21DFE">
            <w:pPr>
              <w:pStyle w:val="45"/>
              <w:rPr>
                <w:rFonts w:hint="default" w:ascii="Times New Roman" w:hAnsi="Times New Roman" w:cs="Times New Roman"/>
              </w:rPr>
            </w:pPr>
            <w:r>
              <w:rPr>
                <w:kern w:val="0"/>
                <w:szCs w:val="20"/>
              </w:rPr>
              <w:t>对照《淮南市中心城区声环境功能区划分方案》（2021年），本项目营运期所在区域声环境执行《声环境质量标准》（GB3096-2008）声环境功能区3类区标准；具体标准值见下表。本项目所在声功能区划图见下图。</w:t>
            </w:r>
          </w:p>
          <w:p w14:paraId="685EB8A1">
            <w:pPr>
              <w:ind w:firstLine="2640" w:firstLineChars="1100"/>
              <w:rPr>
                <w:rFonts w:hint="default"/>
                <w:b/>
                <w:kern w:val="0"/>
                <w:sz w:val="21"/>
                <w:szCs w:val="22"/>
                <w:lang w:bidi="ar-SA"/>
              </w:rPr>
            </w:pPr>
            <w:r>
              <w:rPr>
                <w:rFonts w:hint="default" w:ascii="Times New Roman" w:hAnsi="Times New Roman" w:cs="Times New Roman"/>
              </w:rPr>
              <w:drawing>
                <wp:anchor distT="0" distB="0" distL="114300" distR="114300" simplePos="0" relativeHeight="251665408" behindDoc="0" locked="0" layoutInCell="1" allowOverlap="1">
                  <wp:simplePos x="0" y="0"/>
                  <wp:positionH relativeFrom="column">
                    <wp:posOffset>356235</wp:posOffset>
                  </wp:positionH>
                  <wp:positionV relativeFrom="paragraph">
                    <wp:posOffset>182880</wp:posOffset>
                  </wp:positionV>
                  <wp:extent cx="4288155" cy="3589655"/>
                  <wp:effectExtent l="9525" t="9525" r="26670" b="20320"/>
                  <wp:wrapTopAndBottom/>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3"/>
                          <a:stretch>
                            <a:fillRect/>
                          </a:stretch>
                        </pic:blipFill>
                        <pic:spPr>
                          <a:xfrm>
                            <a:off x="0" y="0"/>
                            <a:ext cx="4288155" cy="3589655"/>
                          </a:xfrm>
                          <a:prstGeom prst="rect">
                            <a:avLst/>
                          </a:prstGeom>
                          <a:noFill/>
                          <a:ln>
                            <a:solidFill>
                              <a:schemeClr val="tx1"/>
                            </a:solidFill>
                          </a:ln>
                        </pic:spPr>
                      </pic:pic>
                    </a:graphicData>
                  </a:graphic>
                </wp:anchor>
              </w:drawing>
            </w:r>
            <w:r>
              <w:rPr>
                <w:b/>
                <w:kern w:val="0"/>
                <w:sz w:val="21"/>
                <w:szCs w:val="22"/>
              </w:rPr>
              <w:t>图</w:t>
            </w:r>
            <w:r>
              <w:rPr>
                <w:rFonts w:hint="default"/>
                <w:b/>
                <w:kern w:val="0"/>
                <w:sz w:val="21"/>
                <w:szCs w:val="22"/>
                <w:lang w:bidi="ar-SA"/>
              </w:rPr>
              <w:t xml:space="preserve"> 3-</w:t>
            </w:r>
            <w:r>
              <w:rPr>
                <w:rFonts w:hint="default"/>
                <w:b/>
                <w:kern w:val="0"/>
                <w:sz w:val="21"/>
                <w:szCs w:val="22"/>
                <w:lang w:bidi="ar-SA"/>
              </w:rPr>
              <w:fldChar w:fldCharType="begin"/>
            </w:r>
            <w:r>
              <w:rPr>
                <w:rFonts w:hint="default"/>
                <w:b/>
                <w:kern w:val="0"/>
                <w:sz w:val="21"/>
                <w:szCs w:val="22"/>
                <w:lang w:bidi="ar-SA"/>
              </w:rPr>
              <w:instrText xml:space="preserve"> SEQ 图 \* ARABIC \s 1 </w:instrText>
            </w:r>
            <w:r>
              <w:rPr>
                <w:rFonts w:hint="default"/>
                <w:b/>
                <w:kern w:val="0"/>
                <w:sz w:val="21"/>
                <w:szCs w:val="22"/>
                <w:lang w:bidi="ar-SA"/>
              </w:rPr>
              <w:fldChar w:fldCharType="separate"/>
            </w:r>
            <w:r>
              <w:rPr>
                <w:rFonts w:hint="default"/>
                <w:b/>
                <w:kern w:val="0"/>
                <w:sz w:val="21"/>
                <w:szCs w:val="22"/>
                <w:lang w:bidi="ar-SA"/>
              </w:rPr>
              <w:t>2</w:t>
            </w:r>
            <w:r>
              <w:rPr>
                <w:rFonts w:hint="default"/>
                <w:b/>
                <w:kern w:val="0"/>
                <w:sz w:val="21"/>
                <w:szCs w:val="22"/>
                <w:lang w:bidi="ar-SA"/>
              </w:rPr>
              <w:fldChar w:fldCharType="end"/>
            </w:r>
            <w:r>
              <w:rPr>
                <w:rFonts w:hint="default"/>
                <w:b/>
                <w:kern w:val="0"/>
                <w:sz w:val="21"/>
                <w:szCs w:val="22"/>
                <w:lang w:bidi="ar-SA"/>
              </w:rPr>
              <w:t xml:space="preserve"> 本项目所在声功能区划图</w:t>
            </w:r>
          </w:p>
          <w:p w14:paraId="26A953F1">
            <w:pPr>
              <w:pStyle w:val="45"/>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本项目周边50m内存在</w:t>
            </w:r>
            <w:r>
              <w:rPr>
                <w:rFonts w:hint="default" w:ascii="Times New Roman" w:hAnsi="Times New Roman" w:cs="Times New Roman"/>
                <w:color w:val="000000"/>
                <w:kern w:val="0"/>
                <w:lang w:eastAsia="zh-CN" w:bidi="ar"/>
              </w:rPr>
              <w:t>声环境敏感目标</w:t>
            </w:r>
            <w:r>
              <w:rPr>
                <w:rFonts w:hint="default" w:ascii="Times New Roman" w:hAnsi="Times New Roman" w:cs="Times New Roman"/>
                <w:color w:val="000000"/>
                <w:kern w:val="0"/>
                <w:lang w:bidi="ar"/>
              </w:rPr>
              <w:t>孟岗村。评价数据采用</w:t>
            </w:r>
            <w:r>
              <w:rPr>
                <w:rFonts w:hint="default" w:ascii="Times New Roman" w:hAnsi="Times New Roman" w:cs="Times New Roman"/>
              </w:rPr>
              <w:t>淮南市宜青环境检测有限公司2024年9月23日</w:t>
            </w:r>
            <w:r>
              <w:rPr>
                <w:rFonts w:hint="default" w:ascii="Times New Roman" w:hAnsi="Times New Roman" w:cs="Times New Roman"/>
                <w:color w:val="000000"/>
                <w:kern w:val="0"/>
                <w:lang w:bidi="ar"/>
              </w:rPr>
              <w:t>对“孟岗村”的监测数据，距离本项目东侧约37m（最近距离），属于本项目周边5千米范围内近3年的现有监测数据，数据引用符合规定监测结果如下：</w:t>
            </w:r>
          </w:p>
          <w:p w14:paraId="50D0CD69">
            <w:pPr>
              <w:pStyle w:val="45"/>
              <w:ind w:firstLine="2951" w:firstLineChars="1400"/>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表3-3  项目噪声监测结果</w:t>
            </w:r>
          </w:p>
          <w:tbl>
            <w:tblPr>
              <w:tblStyle w:val="21"/>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867"/>
              <w:gridCol w:w="4758"/>
            </w:tblGrid>
            <w:tr w14:paraId="50CAC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44" w:type="pct"/>
                  <w:vMerge w:val="restart"/>
                  <w:tcBorders>
                    <w:top w:val="single" w:color="auto" w:sz="4" w:space="0"/>
                    <w:left w:val="single" w:color="auto" w:sz="0" w:space="0"/>
                    <w:bottom w:val="single" w:color="auto" w:sz="4" w:space="0"/>
                  </w:tcBorders>
                  <w:vAlign w:val="center"/>
                </w:tcPr>
                <w:p w14:paraId="4AEE1763">
                  <w:pPr>
                    <w:pStyle w:val="29"/>
                    <w:rPr>
                      <w:rFonts w:ascii="Times New Roman" w:hAnsi="Times New Roman" w:eastAsia="宋体" w:cs="Times New Roman"/>
                      <w:b w:val="0"/>
                      <w:bCs w:val="0"/>
                      <w:sz w:val="21"/>
                      <w:szCs w:val="21"/>
                    </w:rPr>
                  </w:pPr>
                  <w:r>
                    <w:rPr>
                      <w:rFonts w:ascii="Times New Roman" w:hAnsi="Times New Roman" w:eastAsia="宋体" w:cs="Times New Roman"/>
                      <w:sz w:val="21"/>
                      <w:szCs w:val="21"/>
                    </w:rPr>
                    <w:t>2024年9月23日</w:t>
                  </w:r>
                </w:p>
              </w:tc>
              <w:tc>
                <w:tcPr>
                  <w:tcW w:w="1199" w:type="pct"/>
                  <w:tcBorders>
                    <w:top w:val="single" w:color="auto" w:sz="4" w:space="0"/>
                  </w:tcBorders>
                  <w:vAlign w:val="center"/>
                </w:tcPr>
                <w:p w14:paraId="39878D0E">
                  <w:pPr>
                    <w:pStyle w:val="29"/>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检测点位</w:t>
                  </w:r>
                </w:p>
              </w:tc>
              <w:tc>
                <w:tcPr>
                  <w:tcW w:w="3056" w:type="pct"/>
                  <w:tcBorders>
                    <w:top w:val="single" w:color="auto" w:sz="4" w:space="0"/>
                    <w:bottom w:val="single" w:color="auto" w:sz="4" w:space="0"/>
                    <w:right w:val="single" w:color="auto" w:sz="4" w:space="0"/>
                  </w:tcBorders>
                  <w:vAlign w:val="center"/>
                </w:tcPr>
                <w:p w14:paraId="08E16849">
                  <w:pPr>
                    <w:pStyle w:val="29"/>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昼间LeqdB(A)</w:t>
                  </w:r>
                </w:p>
              </w:tc>
            </w:tr>
            <w:tr w14:paraId="680CF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vMerge w:val="continue"/>
                  <w:tcBorders>
                    <w:left w:val="single" w:color="auto" w:sz="4" w:space="0"/>
                  </w:tcBorders>
                  <w:vAlign w:val="center"/>
                </w:tcPr>
                <w:p w14:paraId="4380B99E">
                  <w:pPr>
                    <w:pStyle w:val="29"/>
                    <w:rPr>
                      <w:rFonts w:ascii="Times New Roman" w:hAnsi="Times New Roman" w:eastAsia="宋体" w:cs="Times New Roman"/>
                      <w:sz w:val="21"/>
                      <w:szCs w:val="21"/>
                    </w:rPr>
                  </w:pPr>
                </w:p>
              </w:tc>
              <w:tc>
                <w:tcPr>
                  <w:tcW w:w="1199" w:type="pct"/>
                  <w:shd w:val="clear" w:color="auto" w:fill="auto"/>
                  <w:vAlign w:val="center"/>
                </w:tcPr>
                <w:p w14:paraId="6AE6975C">
                  <w:pPr>
                    <w:pStyle w:val="29"/>
                    <w:rPr>
                      <w:rFonts w:ascii="Times New Roman" w:hAnsi="Times New Roman" w:eastAsia="宋体" w:cs="Times New Roman"/>
                      <w:kern w:val="0"/>
                      <w:sz w:val="21"/>
                      <w:szCs w:val="21"/>
                    </w:rPr>
                  </w:pPr>
                  <w:r>
                    <w:rPr>
                      <w:rFonts w:ascii="Times New Roman" w:hAnsi="Times New Roman" w:eastAsia="宋体" w:cs="Times New Roman"/>
                      <w:sz w:val="21"/>
                      <w:szCs w:val="21"/>
                    </w:rPr>
                    <w:t>孟岗村</w:t>
                  </w:r>
                </w:p>
              </w:tc>
              <w:tc>
                <w:tcPr>
                  <w:tcW w:w="3056" w:type="pct"/>
                  <w:tcBorders>
                    <w:right w:val="single" w:color="auto" w:sz="4" w:space="0"/>
                  </w:tcBorders>
                  <w:shd w:val="clear" w:color="auto" w:fill="auto"/>
                  <w:vAlign w:val="center"/>
                </w:tcPr>
                <w:p w14:paraId="52192666">
                  <w:pPr>
                    <w:pStyle w:val="29"/>
                    <w:rPr>
                      <w:rFonts w:ascii="Times New Roman" w:hAnsi="Times New Roman" w:eastAsia="宋体" w:cs="Times New Roman"/>
                      <w:kern w:val="0"/>
                      <w:sz w:val="21"/>
                      <w:szCs w:val="21"/>
                    </w:rPr>
                  </w:pPr>
                  <w:r>
                    <w:rPr>
                      <w:rFonts w:ascii="Times New Roman" w:hAnsi="Times New Roman" w:eastAsia="宋体" w:cs="Times New Roman"/>
                      <w:sz w:val="21"/>
                      <w:szCs w:val="21"/>
                    </w:rPr>
                    <w:t>51.5</w:t>
                  </w:r>
                </w:p>
              </w:tc>
            </w:tr>
            <w:tr w14:paraId="6D16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4" w:type="pct"/>
                  <w:vMerge w:val="continue"/>
                  <w:tcBorders>
                    <w:left w:val="single" w:color="auto" w:sz="4" w:space="0"/>
                  </w:tcBorders>
                  <w:vAlign w:val="center"/>
                </w:tcPr>
                <w:p w14:paraId="64DAC520">
                  <w:pPr>
                    <w:pStyle w:val="29"/>
                    <w:rPr>
                      <w:rFonts w:ascii="Times New Roman" w:hAnsi="Times New Roman" w:eastAsia="宋体" w:cs="Times New Roman"/>
                      <w:sz w:val="21"/>
                      <w:szCs w:val="21"/>
                    </w:rPr>
                  </w:pPr>
                </w:p>
              </w:tc>
              <w:tc>
                <w:tcPr>
                  <w:tcW w:w="1199" w:type="pct"/>
                  <w:vAlign w:val="center"/>
                </w:tcPr>
                <w:p w14:paraId="131C0028">
                  <w:pPr>
                    <w:pStyle w:val="29"/>
                    <w:rPr>
                      <w:rFonts w:ascii="Times New Roman" w:hAnsi="Times New Roman" w:eastAsia="宋体" w:cs="Times New Roman"/>
                      <w:sz w:val="21"/>
                      <w:szCs w:val="21"/>
                    </w:rPr>
                  </w:pPr>
                  <w:r>
                    <w:rPr>
                      <w:rFonts w:ascii="Times New Roman" w:hAnsi="Times New Roman" w:eastAsia="宋体" w:cs="Times New Roman"/>
                      <w:sz w:val="21"/>
                      <w:szCs w:val="21"/>
                    </w:rPr>
                    <w:t>标准限值</w:t>
                  </w:r>
                </w:p>
              </w:tc>
              <w:tc>
                <w:tcPr>
                  <w:tcW w:w="3056" w:type="pct"/>
                  <w:tcBorders>
                    <w:right w:val="single" w:color="auto" w:sz="4" w:space="0"/>
                  </w:tcBorders>
                  <w:vAlign w:val="center"/>
                </w:tcPr>
                <w:p w14:paraId="16C27ED7">
                  <w:pPr>
                    <w:pStyle w:val="29"/>
                    <w:rPr>
                      <w:rFonts w:ascii="Times New Roman" w:hAnsi="Times New Roman" w:eastAsia="宋体" w:cs="Times New Roman"/>
                      <w:sz w:val="21"/>
                      <w:szCs w:val="21"/>
                    </w:rPr>
                  </w:pPr>
                  <w:r>
                    <w:rPr>
                      <w:rFonts w:ascii="Times New Roman" w:hAnsi="Times New Roman" w:eastAsia="宋体" w:cs="Times New Roman"/>
                      <w:sz w:val="21"/>
                      <w:szCs w:val="21"/>
                    </w:rPr>
                    <w:t>60</w:t>
                  </w:r>
                </w:p>
              </w:tc>
            </w:tr>
            <w:tr w14:paraId="7C571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vMerge w:val="continue"/>
                  <w:tcBorders>
                    <w:left w:val="single" w:color="auto" w:sz="4" w:space="0"/>
                  </w:tcBorders>
                  <w:vAlign w:val="center"/>
                </w:tcPr>
                <w:p w14:paraId="3D512C18">
                  <w:pPr>
                    <w:pStyle w:val="29"/>
                    <w:rPr>
                      <w:rFonts w:ascii="Times New Roman" w:hAnsi="Times New Roman" w:eastAsia="宋体" w:cs="Times New Roman"/>
                      <w:sz w:val="21"/>
                      <w:szCs w:val="21"/>
                    </w:rPr>
                  </w:pPr>
                </w:p>
              </w:tc>
              <w:tc>
                <w:tcPr>
                  <w:tcW w:w="1199" w:type="pct"/>
                  <w:vAlign w:val="center"/>
                </w:tcPr>
                <w:p w14:paraId="0258F5F6">
                  <w:pPr>
                    <w:pStyle w:val="29"/>
                    <w:rPr>
                      <w:rFonts w:ascii="Times New Roman" w:hAnsi="Times New Roman" w:eastAsia="宋体" w:cs="Times New Roman"/>
                      <w:sz w:val="21"/>
                      <w:szCs w:val="21"/>
                    </w:rPr>
                  </w:pPr>
                  <w:r>
                    <w:rPr>
                      <w:rFonts w:ascii="Times New Roman" w:hAnsi="Times New Roman" w:eastAsia="宋体" w:cs="Times New Roman"/>
                      <w:sz w:val="21"/>
                      <w:szCs w:val="21"/>
                    </w:rPr>
                    <w:t>达标情况</w:t>
                  </w:r>
                </w:p>
              </w:tc>
              <w:tc>
                <w:tcPr>
                  <w:tcW w:w="3056" w:type="pct"/>
                  <w:tcBorders>
                    <w:right w:val="single" w:color="auto" w:sz="4" w:space="0"/>
                  </w:tcBorders>
                  <w:vAlign w:val="center"/>
                </w:tcPr>
                <w:p w14:paraId="217397B8">
                  <w:pPr>
                    <w:pStyle w:val="29"/>
                    <w:rPr>
                      <w:rFonts w:ascii="Times New Roman" w:hAnsi="Times New Roman" w:eastAsia="宋体" w:cs="Times New Roman"/>
                      <w:sz w:val="21"/>
                      <w:szCs w:val="21"/>
                    </w:rPr>
                  </w:pPr>
                  <w:r>
                    <w:rPr>
                      <w:rFonts w:ascii="Times New Roman" w:hAnsi="Times New Roman" w:eastAsia="宋体" w:cs="Times New Roman"/>
                      <w:sz w:val="21"/>
                      <w:szCs w:val="21"/>
                    </w:rPr>
                    <w:t>达标</w:t>
                  </w:r>
                </w:p>
              </w:tc>
            </w:tr>
            <w:tr w14:paraId="62589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44" w:type="pct"/>
                  <w:vMerge w:val="continue"/>
                  <w:tcBorders>
                    <w:left w:val="single" w:color="auto" w:sz="4" w:space="0"/>
                  </w:tcBorders>
                  <w:vAlign w:val="center"/>
                </w:tcPr>
                <w:p w14:paraId="25C8A2C8">
                  <w:pPr>
                    <w:pStyle w:val="29"/>
                    <w:rPr>
                      <w:rFonts w:ascii="Times New Roman" w:hAnsi="Times New Roman" w:eastAsia="宋体" w:cs="Times New Roman"/>
                      <w:sz w:val="21"/>
                      <w:szCs w:val="21"/>
                    </w:rPr>
                  </w:pPr>
                </w:p>
              </w:tc>
              <w:tc>
                <w:tcPr>
                  <w:tcW w:w="1199" w:type="pct"/>
                  <w:vAlign w:val="center"/>
                </w:tcPr>
                <w:p w14:paraId="1F1B436A">
                  <w:pPr>
                    <w:pStyle w:val="29"/>
                    <w:rPr>
                      <w:rFonts w:ascii="Times New Roman" w:hAnsi="Times New Roman" w:eastAsia="宋体" w:cs="Times New Roman"/>
                      <w:sz w:val="21"/>
                      <w:szCs w:val="21"/>
                    </w:rPr>
                  </w:pPr>
                  <w:r>
                    <w:rPr>
                      <w:rFonts w:ascii="Times New Roman" w:hAnsi="Times New Roman" w:eastAsia="宋体" w:cs="Times New Roman"/>
                      <w:sz w:val="21"/>
                      <w:szCs w:val="21"/>
                    </w:rPr>
                    <w:t>执行标准</w:t>
                  </w:r>
                </w:p>
              </w:tc>
              <w:tc>
                <w:tcPr>
                  <w:tcW w:w="3056" w:type="pct"/>
                  <w:tcBorders>
                    <w:right w:val="single" w:color="auto" w:sz="4" w:space="0"/>
                  </w:tcBorders>
                  <w:vAlign w:val="center"/>
                </w:tcPr>
                <w:p w14:paraId="6E1F1848">
                  <w:pPr>
                    <w:pStyle w:val="29"/>
                    <w:rPr>
                      <w:rFonts w:ascii="Times New Roman" w:hAnsi="Times New Roman" w:eastAsia="宋体" w:cs="Times New Roman"/>
                      <w:sz w:val="21"/>
                      <w:szCs w:val="21"/>
                    </w:rPr>
                  </w:pPr>
                  <w:r>
                    <w:rPr>
                      <w:rFonts w:ascii="Times New Roman" w:hAnsi="Times New Roman" w:eastAsia="宋体" w:cs="Times New Roman"/>
                      <w:sz w:val="21"/>
                      <w:szCs w:val="21"/>
                    </w:rPr>
                    <w:t>《声环境质量标准》（GB3096-2008）2类标准</w:t>
                  </w:r>
                </w:p>
              </w:tc>
            </w:tr>
          </w:tbl>
          <w:p w14:paraId="6FDD948F">
            <w:pPr>
              <w:pStyle w:val="45"/>
              <w:rPr>
                <w:rFonts w:hint="default" w:ascii="Times New Roman" w:hAnsi="Times New Roman" w:cs="Times New Roman"/>
              </w:rPr>
            </w:pPr>
            <w:r>
              <w:rPr>
                <w:rFonts w:hint="default" w:ascii="Times New Roman" w:hAnsi="Times New Roman" w:cs="Times New Roman"/>
              </w:rPr>
              <w:t>由上表可知，项目区域厂界及周边敏感点昼间均能满足《声环境质量标准》（GB3096-2008）2类标准。</w:t>
            </w:r>
          </w:p>
          <w:p w14:paraId="270B9976">
            <w:pPr>
              <w:pStyle w:val="61"/>
              <w:rPr>
                <w:rFonts w:hint="default"/>
                <w:kern w:val="0"/>
              </w:rPr>
            </w:pPr>
            <w:r>
              <w:rPr>
                <w:rFonts w:hint="default"/>
                <w:kern w:val="0"/>
              </w:rPr>
              <w:t>3.1.4生态环境质量现状</w:t>
            </w:r>
          </w:p>
          <w:p w14:paraId="7C6A0141">
            <w:pPr>
              <w:pStyle w:val="45"/>
              <w:rPr>
                <w:rFonts w:hint="default" w:ascii="Times New Roman" w:hAnsi="Times New Roman" w:cs="Times New Roman"/>
              </w:rPr>
            </w:pPr>
            <w:r>
              <w:rPr>
                <w:rFonts w:hint="default" w:ascii="Times New Roman" w:hAnsi="Times New Roman" w:cs="Times New Roman"/>
              </w:rPr>
              <w:t>本项目租用安徽普特机械制造有限公司现有闲置厂房，用地范围内不涉及生态环境保护目标，无需进行生态现状调查。</w:t>
            </w:r>
          </w:p>
          <w:p w14:paraId="65A18E8B">
            <w:pPr>
              <w:pStyle w:val="61"/>
              <w:rPr>
                <w:rFonts w:hint="default"/>
                <w:kern w:val="0"/>
              </w:rPr>
            </w:pPr>
            <w:r>
              <w:rPr>
                <w:rFonts w:hint="default"/>
                <w:kern w:val="0"/>
              </w:rPr>
              <w:t>3.1.5电磁辐射</w:t>
            </w:r>
          </w:p>
          <w:p w14:paraId="3912439C">
            <w:pPr>
              <w:pStyle w:val="45"/>
              <w:rPr>
                <w:rFonts w:hint="default" w:ascii="Times New Roman" w:hAnsi="Times New Roman" w:cs="Times New Roman"/>
              </w:rPr>
            </w:pPr>
            <w:r>
              <w:rPr>
                <w:rFonts w:hint="default" w:ascii="Times New Roman" w:hAnsi="Times New Roman" w:cs="Times New Roman"/>
              </w:rPr>
              <w:t>本项目不涉及。</w:t>
            </w:r>
          </w:p>
          <w:p w14:paraId="485800BA">
            <w:pPr>
              <w:pStyle w:val="61"/>
              <w:rPr>
                <w:rFonts w:hint="default"/>
                <w:kern w:val="0"/>
              </w:rPr>
            </w:pPr>
            <w:r>
              <w:rPr>
                <w:rFonts w:hint="default"/>
                <w:kern w:val="0"/>
              </w:rPr>
              <w:t>3.1.6地下水、土壤环境</w:t>
            </w:r>
          </w:p>
          <w:p w14:paraId="507EAF2C">
            <w:pPr>
              <w:pStyle w:val="45"/>
              <w:rPr>
                <w:rFonts w:hint="default" w:ascii="Times New Roman" w:hAnsi="Times New Roman" w:cs="Times New Roman"/>
              </w:rPr>
            </w:pPr>
            <w:r>
              <w:rPr>
                <w:rFonts w:hint="default" w:ascii="Times New Roman" w:hAnsi="Times New Roman" w:cs="Times New Roman"/>
              </w:rPr>
              <w:t>根据《建设项目环境影响报告表编制技术指南（污染影响类）（试行）》规定：“原则上不开展环境质量现状调查。建设项目存在土壤地下水环境污染途径的，应结合污染源途径的，应结合污染源、保护目标分布情况开展现状调查以留作背景值”。</w:t>
            </w:r>
          </w:p>
          <w:p w14:paraId="27D459B9">
            <w:pPr>
              <w:pStyle w:val="45"/>
              <w:rPr>
                <w:rFonts w:hint="default" w:ascii="Times New Roman" w:hAnsi="Times New Roman" w:cs="Times New Roman"/>
              </w:rPr>
            </w:pPr>
            <w:r>
              <w:rPr>
                <w:rFonts w:hint="default" w:ascii="Times New Roman" w:hAnsi="Times New Roman" w:cs="Times New Roman"/>
              </w:rPr>
              <w:t>项目厂界外500米范围内无地下水集中式饮用水水源和热水、矿泉水、温泉等特殊地下水资源。项目周边范围内基本为工业用地及工业企业，无土壤敏感目标。</w:t>
            </w:r>
          </w:p>
          <w:p w14:paraId="50DD52A0">
            <w:pPr>
              <w:pStyle w:val="45"/>
              <w:rPr>
                <w:rFonts w:hint="default" w:ascii="Times New Roman" w:hAnsi="Times New Roman" w:cs="Times New Roman"/>
              </w:rPr>
            </w:pPr>
            <w:r>
              <w:rPr>
                <w:rFonts w:hint="default" w:ascii="Times New Roman" w:hAnsi="Times New Roman" w:cs="Times New Roman"/>
              </w:rPr>
              <w:t>根据现场踏勘，本项目租赁园区现有厂房，地面已硬化，建设完整的“雨污分流、清污分流”排水系统，雨水排入雨水管网。生活污水经化粪池处理后进入市政污水管网。危废间采取重点防渗措施，液态物料存储于包装桶内，包装桶存放于防泄漏托盘内，存储物料不会外泄进入外环境对污染地下水和土壤造成污染。本项目生产过程中采取源头控制和分区防渗等措施后，正常生产时不存在土壤、地下水污染途径，故无需开展地下水、土壤环境现状调</w:t>
            </w:r>
            <w:r>
              <w:rPr>
                <w:rFonts w:hint="default" w:ascii="Times New Roman" w:hAnsi="Times New Roman" w:cs="Times New Roman"/>
                <w:lang w:eastAsia="zh-CN"/>
              </w:rPr>
              <w:t>查。</w:t>
            </w:r>
          </w:p>
        </w:tc>
      </w:tr>
      <w:tr w14:paraId="05C26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8" w:hRule="atLeast"/>
        </w:trPr>
        <w:tc>
          <w:tcPr>
            <w:tcW w:w="501" w:type="dxa"/>
            <w:vAlign w:val="center"/>
          </w:tcPr>
          <w:p w14:paraId="545AF3A1">
            <w:pPr>
              <w:jc w:val="center"/>
              <w:rPr>
                <w:rFonts w:hint="default" w:ascii="Times New Roman" w:hAnsi="Times New Roman" w:cs="Times New Roman"/>
              </w:rPr>
            </w:pPr>
            <w:r>
              <w:rPr>
                <w:rFonts w:hint="default" w:ascii="Times New Roman" w:hAnsi="Times New Roman" w:cs="Times New Roman"/>
              </w:rPr>
              <w:t>环境保护目标</w:t>
            </w:r>
          </w:p>
        </w:tc>
        <w:tc>
          <w:tcPr>
            <w:tcW w:w="8021" w:type="dxa"/>
          </w:tcPr>
          <w:p w14:paraId="404146F2">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3.2项目环境保护目标</w:t>
            </w:r>
          </w:p>
          <w:p w14:paraId="234B9B7D">
            <w:pPr>
              <w:pStyle w:val="55"/>
              <w:wordWrap/>
              <w:adjustRightInd w:val="0"/>
              <w:snapToGrid w:val="0"/>
              <w:ind w:firstLine="0" w:firstLineChars="0"/>
              <w:rPr>
                <w:rFonts w:hint="default" w:ascii="Times New Roman" w:hAnsi="Times New Roman" w:cs="Times New Roman"/>
                <w:b w:val="0"/>
                <w:bCs/>
                <w:kern w:val="0"/>
                <w:szCs w:val="20"/>
              </w:rPr>
            </w:pPr>
            <w:r>
              <w:rPr>
                <w:rFonts w:hint="default" w:ascii="Times New Roman" w:hAnsi="Times New Roman" w:cs="Times New Roman"/>
                <w:b w:val="0"/>
                <w:bCs/>
                <w:kern w:val="0"/>
                <w:szCs w:val="20"/>
              </w:rPr>
              <w:t>1、大气环境</w:t>
            </w:r>
          </w:p>
          <w:p w14:paraId="2698E1A1">
            <w:pPr>
              <w:ind w:firstLine="480" w:firstLineChars="200"/>
              <w:rPr>
                <w:rFonts w:hint="default" w:ascii="Times New Roman" w:hAnsi="Times New Roman" w:cs="Times New Roman"/>
              </w:rPr>
            </w:pPr>
            <w:r>
              <w:rPr>
                <w:rFonts w:hint="default" w:ascii="Times New Roman" w:hAnsi="Times New Roman" w:cs="Times New Roman"/>
              </w:rPr>
              <w:t>厂界外500m范围内无自然保护区、风景名胜区和文物古迹等需要特殊保护的环境敏感对象，厂界外500m范围内有3个居住区。</w:t>
            </w:r>
          </w:p>
          <w:p w14:paraId="5214A173">
            <w:pPr>
              <w:rPr>
                <w:rFonts w:hint="default" w:ascii="Times New Roman" w:hAnsi="Times New Roman" w:cs="Times New Roman"/>
              </w:rPr>
            </w:pPr>
            <w:r>
              <w:rPr>
                <w:rFonts w:hint="default" w:ascii="Times New Roman" w:hAnsi="Times New Roman" w:cs="Times New Roman"/>
              </w:rPr>
              <w:t>2、声环境</w:t>
            </w:r>
          </w:p>
          <w:p w14:paraId="7C8288F2">
            <w:pPr>
              <w:ind w:firstLine="480" w:firstLineChars="200"/>
              <w:rPr>
                <w:rFonts w:hint="default" w:ascii="Times New Roman" w:hAnsi="Times New Roman" w:cs="Times New Roman"/>
              </w:rPr>
            </w:pPr>
            <w:r>
              <w:rPr>
                <w:rFonts w:hint="default" w:ascii="Times New Roman" w:hAnsi="Times New Roman" w:cs="Times New Roman"/>
              </w:rPr>
              <w:t>本项目厂界外50米范围内存在声环境保护目标孟岗村。</w:t>
            </w:r>
          </w:p>
          <w:p w14:paraId="36CCB9C1">
            <w:pPr>
              <w:rPr>
                <w:rFonts w:hint="default" w:ascii="Times New Roman" w:hAnsi="Times New Roman" w:cs="Times New Roman"/>
              </w:rPr>
            </w:pPr>
            <w:r>
              <w:rPr>
                <w:rFonts w:hint="default" w:ascii="Times New Roman" w:hAnsi="Times New Roman" w:cs="Times New Roman"/>
              </w:rPr>
              <w:t>3、地下水环境</w:t>
            </w:r>
          </w:p>
          <w:p w14:paraId="66FEF51B">
            <w:pPr>
              <w:ind w:firstLine="480" w:firstLineChars="200"/>
              <w:rPr>
                <w:rFonts w:hint="default" w:ascii="Times New Roman" w:hAnsi="Times New Roman" w:cs="Times New Roman"/>
              </w:rPr>
            </w:pPr>
            <w:r>
              <w:rPr>
                <w:rFonts w:hint="default" w:ascii="Times New Roman" w:hAnsi="Times New Roman" w:cs="Times New Roman"/>
              </w:rPr>
              <w:t>本项目500m范围内无名胜古迹、风景名胜区、自然保护区、生态功能保护区和生活饮用水水源地保护区等环境敏感区。根据现场踏勘，本项目主要环境保护目标见下表。</w:t>
            </w:r>
          </w:p>
          <w:p w14:paraId="143039DD">
            <w:pPr>
              <w:pStyle w:val="63"/>
              <w:rPr>
                <w:rFonts w:hint="default" w:ascii="Times New Roman" w:hAnsi="Times New Roman" w:cs="Times New Roman"/>
              </w:rPr>
            </w:pPr>
            <w:r>
              <w:rPr>
                <w:rFonts w:hint="default" w:ascii="Times New Roman" w:hAnsi="Times New Roman" w:cs="Times New Roman"/>
                <w:b/>
                <w:kern w:val="0"/>
                <w:sz w:val="21"/>
                <w:szCs w:val="22"/>
              </w:rPr>
              <w:t>表 3-4 环</w:t>
            </w:r>
            <w:r>
              <w:rPr>
                <w:rFonts w:hint="default" w:ascii="Times New Roman" w:hAnsi="Times New Roman" w:cs="Times New Roman"/>
              </w:rPr>
              <w:t>保护目标</w:t>
            </w:r>
          </w:p>
          <w:tbl>
            <w:tblPr>
              <w:tblStyle w:val="21"/>
              <w:tblpPr w:leftFromText="180" w:rightFromText="180" w:vertAnchor="text" w:tblpXSpec="center" w:tblpY="1"/>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84"/>
              <w:gridCol w:w="1282"/>
              <w:gridCol w:w="1315"/>
              <w:gridCol w:w="1270"/>
              <w:gridCol w:w="472"/>
              <w:gridCol w:w="746"/>
              <w:gridCol w:w="592"/>
              <w:gridCol w:w="571"/>
              <w:gridCol w:w="957"/>
            </w:tblGrid>
            <w:tr w14:paraId="11DBF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restart"/>
                  <w:vAlign w:val="center"/>
                </w:tcPr>
                <w:p w14:paraId="192899F2">
                  <w:pPr>
                    <w:pStyle w:val="46"/>
                    <w:framePr w:hSpace="0" w:wrap="auto" w:vAnchor="margin" w:hAnchor="text" w:xAlign="left" w:yAlign="inline"/>
                    <w:rPr>
                      <w:b/>
                    </w:rPr>
                  </w:pPr>
                  <w:r>
                    <w:rPr>
                      <w:b/>
                    </w:rPr>
                    <w:t>类别</w:t>
                  </w:r>
                </w:p>
              </w:tc>
              <w:tc>
                <w:tcPr>
                  <w:tcW w:w="826" w:type="pct"/>
                  <w:vMerge w:val="restart"/>
                  <w:vAlign w:val="center"/>
                </w:tcPr>
                <w:p w14:paraId="45A69767">
                  <w:pPr>
                    <w:pStyle w:val="46"/>
                    <w:framePr w:hSpace="0" w:wrap="auto" w:vAnchor="margin" w:hAnchor="text" w:xAlign="left" w:yAlign="inline"/>
                    <w:rPr>
                      <w:b/>
                    </w:rPr>
                  </w:pPr>
                  <w:r>
                    <w:rPr>
                      <w:b/>
                    </w:rPr>
                    <w:t>保护目标名称</w:t>
                  </w:r>
                </w:p>
              </w:tc>
              <w:tc>
                <w:tcPr>
                  <w:tcW w:w="1639" w:type="pct"/>
                  <w:gridSpan w:val="2"/>
                  <w:vAlign w:val="center"/>
                </w:tcPr>
                <w:p w14:paraId="230B36FE">
                  <w:pPr>
                    <w:pStyle w:val="46"/>
                    <w:framePr w:hSpace="0" w:wrap="auto" w:vAnchor="margin" w:hAnchor="text" w:xAlign="left" w:yAlign="inline"/>
                    <w:rPr>
                      <w:b/>
                    </w:rPr>
                  </w:pPr>
                  <w:r>
                    <w:rPr>
                      <w:b/>
                    </w:rPr>
                    <w:t>坐标</w:t>
                  </w:r>
                </w:p>
              </w:tc>
              <w:tc>
                <w:tcPr>
                  <w:tcW w:w="306" w:type="pct"/>
                  <w:vMerge w:val="restart"/>
                  <w:vAlign w:val="center"/>
                </w:tcPr>
                <w:p w14:paraId="00496952">
                  <w:pPr>
                    <w:pStyle w:val="46"/>
                    <w:framePr w:hSpace="0" w:wrap="auto" w:vAnchor="margin" w:hAnchor="text" w:xAlign="left" w:yAlign="inline"/>
                    <w:rPr>
                      <w:b/>
                    </w:rPr>
                  </w:pPr>
                  <w:r>
                    <w:rPr>
                      <w:b/>
                    </w:rPr>
                    <w:t>保护对象</w:t>
                  </w:r>
                </w:p>
              </w:tc>
              <w:tc>
                <w:tcPr>
                  <w:tcW w:w="480" w:type="pct"/>
                  <w:vMerge w:val="restart"/>
                  <w:vAlign w:val="center"/>
                </w:tcPr>
                <w:p w14:paraId="1B5A275D">
                  <w:pPr>
                    <w:pStyle w:val="46"/>
                    <w:framePr w:hSpace="0" w:wrap="auto" w:vAnchor="margin" w:hAnchor="text" w:xAlign="left" w:yAlign="inline"/>
                    <w:rPr>
                      <w:b/>
                    </w:rPr>
                  </w:pPr>
                  <w:r>
                    <w:rPr>
                      <w:b/>
                    </w:rPr>
                    <w:t>保护</w:t>
                  </w:r>
                </w:p>
                <w:p w14:paraId="6CA4D394">
                  <w:pPr>
                    <w:pStyle w:val="46"/>
                    <w:framePr w:hSpace="0" w:wrap="auto" w:vAnchor="margin" w:hAnchor="text" w:xAlign="left" w:yAlign="inline"/>
                    <w:rPr>
                      <w:b/>
                    </w:rPr>
                  </w:pPr>
                  <w:r>
                    <w:rPr>
                      <w:b/>
                    </w:rPr>
                    <w:t>内容</w:t>
                  </w:r>
                </w:p>
              </w:tc>
              <w:tc>
                <w:tcPr>
                  <w:tcW w:w="383" w:type="pct"/>
                  <w:vMerge w:val="restart"/>
                  <w:vAlign w:val="center"/>
                </w:tcPr>
                <w:p w14:paraId="0A55D738">
                  <w:pPr>
                    <w:pStyle w:val="46"/>
                    <w:framePr w:hSpace="0" w:wrap="auto" w:vAnchor="margin" w:hAnchor="text" w:xAlign="left" w:yAlign="inline"/>
                    <w:rPr>
                      <w:b/>
                    </w:rPr>
                  </w:pPr>
                  <w:r>
                    <w:rPr>
                      <w:b/>
                    </w:rPr>
                    <w:t>环境功能区</w:t>
                  </w:r>
                </w:p>
              </w:tc>
              <w:tc>
                <w:tcPr>
                  <w:tcW w:w="369" w:type="pct"/>
                  <w:vMerge w:val="restart"/>
                  <w:vAlign w:val="center"/>
                </w:tcPr>
                <w:p w14:paraId="1A2E3BF7">
                  <w:pPr>
                    <w:pStyle w:val="46"/>
                    <w:framePr w:hSpace="0" w:wrap="auto" w:vAnchor="margin" w:hAnchor="text" w:xAlign="left" w:yAlign="inline"/>
                    <w:rPr>
                      <w:b/>
                    </w:rPr>
                  </w:pPr>
                  <w:r>
                    <w:rPr>
                      <w:b/>
                    </w:rPr>
                    <w:t>相对厂址方位</w:t>
                  </w:r>
                </w:p>
              </w:tc>
              <w:tc>
                <w:tcPr>
                  <w:tcW w:w="615" w:type="pct"/>
                  <w:vMerge w:val="restart"/>
                  <w:vAlign w:val="center"/>
                </w:tcPr>
                <w:p w14:paraId="7ABF242E">
                  <w:pPr>
                    <w:pStyle w:val="46"/>
                    <w:framePr w:hSpace="0" w:wrap="auto" w:vAnchor="margin" w:hAnchor="text" w:xAlign="left" w:yAlign="inline"/>
                    <w:rPr>
                      <w:b/>
                    </w:rPr>
                  </w:pPr>
                  <w:r>
                    <w:rPr>
                      <w:b/>
                    </w:rPr>
                    <w:t>相对厂界距离(m)</w:t>
                  </w:r>
                </w:p>
              </w:tc>
            </w:tr>
            <w:tr w14:paraId="01E57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continue"/>
                  <w:vAlign w:val="center"/>
                </w:tcPr>
                <w:p w14:paraId="3E3C8284">
                  <w:pPr>
                    <w:pStyle w:val="46"/>
                    <w:framePr w:hSpace="0" w:wrap="auto" w:vAnchor="margin" w:hAnchor="text" w:xAlign="left" w:yAlign="inline"/>
                  </w:pPr>
                </w:p>
              </w:tc>
              <w:tc>
                <w:tcPr>
                  <w:tcW w:w="826" w:type="pct"/>
                  <w:vMerge w:val="continue"/>
                  <w:vAlign w:val="center"/>
                </w:tcPr>
                <w:p w14:paraId="3267CD08">
                  <w:pPr>
                    <w:pStyle w:val="46"/>
                    <w:framePr w:hSpace="0" w:wrap="auto" w:vAnchor="margin" w:hAnchor="text" w:xAlign="left" w:yAlign="inline"/>
                  </w:pPr>
                </w:p>
              </w:tc>
              <w:tc>
                <w:tcPr>
                  <w:tcW w:w="833" w:type="pct"/>
                  <w:vAlign w:val="center"/>
                </w:tcPr>
                <w:p w14:paraId="533185E5">
                  <w:pPr>
                    <w:pStyle w:val="46"/>
                    <w:framePr w:hSpace="0" w:wrap="auto" w:vAnchor="margin" w:hAnchor="text" w:xAlign="left" w:yAlign="inline"/>
                    <w:rPr>
                      <w:b/>
                    </w:rPr>
                  </w:pPr>
                  <w:r>
                    <w:rPr>
                      <w:b/>
                    </w:rPr>
                    <w:t>东经（°）</w:t>
                  </w:r>
                </w:p>
              </w:tc>
              <w:tc>
                <w:tcPr>
                  <w:tcW w:w="805" w:type="pct"/>
                  <w:vAlign w:val="center"/>
                </w:tcPr>
                <w:p w14:paraId="2DEA81CD">
                  <w:pPr>
                    <w:pStyle w:val="46"/>
                    <w:framePr w:hSpace="0" w:wrap="auto" w:vAnchor="margin" w:hAnchor="text" w:xAlign="left" w:yAlign="inline"/>
                    <w:rPr>
                      <w:b/>
                    </w:rPr>
                  </w:pPr>
                  <w:r>
                    <w:rPr>
                      <w:b/>
                    </w:rPr>
                    <w:t>北纬（°）</w:t>
                  </w:r>
                </w:p>
              </w:tc>
              <w:tc>
                <w:tcPr>
                  <w:tcW w:w="306" w:type="pct"/>
                  <w:vMerge w:val="continue"/>
                  <w:vAlign w:val="center"/>
                </w:tcPr>
                <w:p w14:paraId="1882669F">
                  <w:pPr>
                    <w:pStyle w:val="46"/>
                    <w:framePr w:hSpace="0" w:wrap="auto" w:vAnchor="margin" w:hAnchor="text" w:xAlign="left" w:yAlign="inline"/>
                  </w:pPr>
                </w:p>
              </w:tc>
              <w:tc>
                <w:tcPr>
                  <w:tcW w:w="480" w:type="pct"/>
                  <w:vMerge w:val="continue"/>
                  <w:vAlign w:val="center"/>
                </w:tcPr>
                <w:p w14:paraId="5DA7B0BC">
                  <w:pPr>
                    <w:pStyle w:val="46"/>
                    <w:framePr w:hSpace="0" w:wrap="auto" w:vAnchor="margin" w:hAnchor="text" w:xAlign="left" w:yAlign="inline"/>
                  </w:pPr>
                </w:p>
              </w:tc>
              <w:tc>
                <w:tcPr>
                  <w:tcW w:w="383" w:type="pct"/>
                  <w:vMerge w:val="continue"/>
                  <w:vAlign w:val="center"/>
                </w:tcPr>
                <w:p w14:paraId="05340760">
                  <w:pPr>
                    <w:pStyle w:val="46"/>
                    <w:framePr w:hSpace="0" w:wrap="auto" w:vAnchor="margin" w:hAnchor="text" w:xAlign="left" w:yAlign="inline"/>
                  </w:pPr>
                </w:p>
              </w:tc>
              <w:tc>
                <w:tcPr>
                  <w:tcW w:w="369" w:type="pct"/>
                  <w:vMerge w:val="continue"/>
                  <w:vAlign w:val="center"/>
                </w:tcPr>
                <w:p w14:paraId="380B90A4">
                  <w:pPr>
                    <w:pStyle w:val="46"/>
                    <w:framePr w:hSpace="0" w:wrap="auto" w:vAnchor="margin" w:hAnchor="text" w:xAlign="left" w:yAlign="inline"/>
                  </w:pPr>
                </w:p>
              </w:tc>
              <w:tc>
                <w:tcPr>
                  <w:tcW w:w="615" w:type="pct"/>
                  <w:vMerge w:val="continue"/>
                  <w:vAlign w:val="center"/>
                </w:tcPr>
                <w:p w14:paraId="2EB8C835">
                  <w:pPr>
                    <w:pStyle w:val="46"/>
                    <w:framePr w:hSpace="0" w:wrap="auto" w:vAnchor="margin" w:hAnchor="text" w:xAlign="left" w:yAlign="inline"/>
                  </w:pPr>
                </w:p>
              </w:tc>
            </w:tr>
            <w:tr w14:paraId="459CB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restart"/>
                  <w:vAlign w:val="center"/>
                </w:tcPr>
                <w:p w14:paraId="5A29D524">
                  <w:pPr>
                    <w:pStyle w:val="46"/>
                    <w:framePr w:hSpace="0" w:wrap="auto" w:vAnchor="margin" w:hAnchor="text" w:xAlign="left" w:yAlign="inline"/>
                  </w:pPr>
                  <w:r>
                    <w:t>大气</w:t>
                  </w:r>
                </w:p>
                <w:p w14:paraId="11E2A3E5">
                  <w:pPr>
                    <w:pStyle w:val="46"/>
                    <w:framePr w:hSpace="0" w:wrap="auto" w:vAnchor="margin" w:hAnchor="text" w:xAlign="left" w:yAlign="inline"/>
                  </w:pPr>
                  <w:r>
                    <w:t>环境</w:t>
                  </w:r>
                </w:p>
              </w:tc>
              <w:tc>
                <w:tcPr>
                  <w:tcW w:w="826" w:type="pct"/>
                  <w:vAlign w:val="center"/>
                </w:tcPr>
                <w:p w14:paraId="3EB63C31">
                  <w:pPr>
                    <w:pStyle w:val="29"/>
                    <w:rPr>
                      <w:sz w:val="21"/>
                      <w:szCs w:val="21"/>
                    </w:rPr>
                  </w:pPr>
                  <w:r>
                    <w:rPr>
                      <w:sz w:val="21"/>
                      <w:szCs w:val="21"/>
                    </w:rPr>
                    <w:t>小东郢孜</w:t>
                  </w:r>
                </w:p>
              </w:tc>
              <w:tc>
                <w:tcPr>
                  <w:tcW w:w="833" w:type="pct"/>
                  <w:vAlign w:val="center"/>
                </w:tcPr>
                <w:p w14:paraId="702FFFE3">
                  <w:pPr>
                    <w:pStyle w:val="46"/>
                    <w:framePr w:hSpace="0" w:wrap="auto" w:vAnchor="margin" w:hAnchor="text" w:xAlign="left" w:yAlign="inline"/>
                  </w:pPr>
                  <w:r>
                    <w:rPr>
                      <w:rFonts w:hint="default" w:ascii="Times New Roman" w:hAnsi="Times New Roman" w:cs="Times New Roman"/>
                    </w:rPr>
                    <w:t>116.897610876</w:t>
                  </w:r>
                </w:p>
              </w:tc>
              <w:tc>
                <w:tcPr>
                  <w:tcW w:w="805" w:type="pct"/>
                  <w:vAlign w:val="center"/>
                </w:tcPr>
                <w:p w14:paraId="7C788A5E">
                  <w:pPr>
                    <w:pStyle w:val="46"/>
                    <w:framePr w:hSpace="0" w:wrap="auto" w:vAnchor="margin" w:hAnchor="text" w:xAlign="left" w:yAlign="inline"/>
                  </w:pPr>
                  <w:r>
                    <w:t>,</w:t>
                  </w:r>
                  <w:r>
                    <w:rPr>
                      <w:rFonts w:hint="default" w:ascii="Times New Roman" w:hAnsi="Times New Roman" w:cs="Times New Roman"/>
                    </w:rPr>
                    <w:t>32.566600259</w:t>
                  </w:r>
                </w:p>
              </w:tc>
              <w:tc>
                <w:tcPr>
                  <w:tcW w:w="306" w:type="pct"/>
                  <w:vAlign w:val="center"/>
                </w:tcPr>
                <w:p w14:paraId="37612F5C">
                  <w:pPr>
                    <w:pStyle w:val="29"/>
                    <w:rPr>
                      <w:sz w:val="21"/>
                      <w:szCs w:val="21"/>
                    </w:rPr>
                  </w:pPr>
                  <w:r>
                    <w:rPr>
                      <w:sz w:val="21"/>
                      <w:szCs w:val="21"/>
                    </w:rPr>
                    <w:t>居民</w:t>
                  </w:r>
                </w:p>
              </w:tc>
              <w:tc>
                <w:tcPr>
                  <w:tcW w:w="480" w:type="pct"/>
                  <w:vAlign w:val="center"/>
                </w:tcPr>
                <w:p w14:paraId="2662B5F7">
                  <w:pPr>
                    <w:pStyle w:val="29"/>
                    <w:rPr>
                      <w:rFonts w:hint="default" w:eastAsia="宋体"/>
                      <w:sz w:val="21"/>
                      <w:szCs w:val="21"/>
                      <w:lang w:eastAsia="zh-CN"/>
                    </w:rPr>
                  </w:pPr>
                  <w:r>
                    <w:rPr>
                      <w:sz w:val="21"/>
                      <w:szCs w:val="21"/>
                    </w:rPr>
                    <w:t>350</w:t>
                  </w:r>
                  <w:r>
                    <w:rPr>
                      <w:rFonts w:hint="default"/>
                      <w:sz w:val="21"/>
                      <w:szCs w:val="21"/>
                      <w:lang w:eastAsia="zh-CN"/>
                    </w:rPr>
                    <w:t>人</w:t>
                  </w:r>
                </w:p>
              </w:tc>
              <w:tc>
                <w:tcPr>
                  <w:tcW w:w="383" w:type="pct"/>
                  <w:vMerge w:val="restart"/>
                  <w:vAlign w:val="center"/>
                </w:tcPr>
                <w:p w14:paraId="33EB7A88">
                  <w:pPr>
                    <w:pStyle w:val="46"/>
                    <w:framePr w:hSpace="0" w:wrap="auto" w:vAnchor="margin" w:hAnchor="text" w:xAlign="left" w:yAlign="inline"/>
                  </w:pPr>
                  <w:r>
                    <w:t>二类</w:t>
                  </w:r>
                </w:p>
              </w:tc>
              <w:tc>
                <w:tcPr>
                  <w:tcW w:w="369" w:type="pct"/>
                  <w:vAlign w:val="center"/>
                </w:tcPr>
                <w:p w14:paraId="6BC876EA">
                  <w:pPr>
                    <w:pStyle w:val="29"/>
                    <w:rPr>
                      <w:sz w:val="21"/>
                      <w:szCs w:val="21"/>
                    </w:rPr>
                  </w:pPr>
                  <w:r>
                    <w:rPr>
                      <w:sz w:val="21"/>
                      <w:szCs w:val="21"/>
                    </w:rPr>
                    <w:t>NE</w:t>
                  </w:r>
                </w:p>
              </w:tc>
              <w:tc>
                <w:tcPr>
                  <w:tcW w:w="615" w:type="pct"/>
                  <w:vAlign w:val="center"/>
                </w:tcPr>
                <w:p w14:paraId="0486E21A">
                  <w:pPr>
                    <w:pStyle w:val="29"/>
                    <w:rPr>
                      <w:sz w:val="21"/>
                      <w:szCs w:val="21"/>
                    </w:rPr>
                  </w:pPr>
                  <w:r>
                    <w:rPr>
                      <w:sz w:val="21"/>
                      <w:szCs w:val="21"/>
                    </w:rPr>
                    <w:t>430</w:t>
                  </w:r>
                </w:p>
              </w:tc>
            </w:tr>
            <w:tr w14:paraId="286CB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continue"/>
                  <w:vAlign w:val="center"/>
                </w:tcPr>
                <w:p w14:paraId="2788D968">
                  <w:pPr>
                    <w:pStyle w:val="46"/>
                    <w:framePr w:hSpace="0" w:wrap="auto" w:vAnchor="margin" w:hAnchor="text" w:xAlign="left" w:yAlign="inline"/>
                  </w:pPr>
                </w:p>
              </w:tc>
              <w:tc>
                <w:tcPr>
                  <w:tcW w:w="826" w:type="pct"/>
                  <w:vAlign w:val="center"/>
                </w:tcPr>
                <w:p w14:paraId="4809442C">
                  <w:pPr>
                    <w:pStyle w:val="29"/>
                    <w:rPr>
                      <w:sz w:val="21"/>
                      <w:szCs w:val="21"/>
                    </w:rPr>
                  </w:pPr>
                  <w:r>
                    <w:rPr>
                      <w:sz w:val="21"/>
                      <w:szCs w:val="21"/>
                    </w:rPr>
                    <w:t>孟岗村</w:t>
                  </w:r>
                </w:p>
              </w:tc>
              <w:tc>
                <w:tcPr>
                  <w:tcW w:w="833" w:type="pct"/>
                  <w:vAlign w:val="center"/>
                </w:tcPr>
                <w:p w14:paraId="26891A36">
                  <w:pPr>
                    <w:pStyle w:val="46"/>
                    <w:framePr w:hSpace="0" w:wrap="auto" w:vAnchor="margin" w:hAnchor="text" w:xAlign="left" w:yAlign="inline"/>
                  </w:pPr>
                  <w:r>
                    <w:rPr>
                      <w:rFonts w:hint="default" w:ascii="Times New Roman" w:hAnsi="Times New Roman" w:cs="Times New Roman"/>
                    </w:rPr>
                    <w:t>116.894737289</w:t>
                  </w:r>
                </w:p>
              </w:tc>
              <w:tc>
                <w:tcPr>
                  <w:tcW w:w="805" w:type="pct"/>
                  <w:vAlign w:val="center"/>
                </w:tcPr>
                <w:p w14:paraId="74BF555E">
                  <w:pPr>
                    <w:pStyle w:val="46"/>
                    <w:framePr w:hSpace="0" w:wrap="auto" w:vAnchor="margin" w:hAnchor="text" w:xAlign="left" w:yAlign="inline"/>
                  </w:pPr>
                  <w:r>
                    <w:rPr>
                      <w:rFonts w:hint="default" w:ascii="Times New Roman" w:hAnsi="Times New Roman" w:cs="Times New Roman"/>
                    </w:rPr>
                    <w:t>32.564411893</w:t>
                  </w:r>
                </w:p>
              </w:tc>
              <w:tc>
                <w:tcPr>
                  <w:tcW w:w="306" w:type="pct"/>
                  <w:vAlign w:val="center"/>
                </w:tcPr>
                <w:p w14:paraId="6B3AE97D">
                  <w:pPr>
                    <w:pStyle w:val="29"/>
                    <w:rPr>
                      <w:sz w:val="21"/>
                      <w:szCs w:val="21"/>
                    </w:rPr>
                  </w:pPr>
                  <w:r>
                    <w:rPr>
                      <w:sz w:val="21"/>
                      <w:szCs w:val="21"/>
                    </w:rPr>
                    <w:t>居民</w:t>
                  </w:r>
                </w:p>
              </w:tc>
              <w:tc>
                <w:tcPr>
                  <w:tcW w:w="480" w:type="pct"/>
                  <w:vAlign w:val="center"/>
                </w:tcPr>
                <w:p w14:paraId="4E1C4171">
                  <w:pPr>
                    <w:pStyle w:val="29"/>
                    <w:rPr>
                      <w:rFonts w:hint="default" w:eastAsia="宋体"/>
                      <w:sz w:val="21"/>
                      <w:szCs w:val="21"/>
                      <w:lang w:eastAsia="zh-CN"/>
                    </w:rPr>
                  </w:pPr>
                  <w:r>
                    <w:rPr>
                      <w:sz w:val="21"/>
                      <w:szCs w:val="21"/>
                    </w:rPr>
                    <w:t>180</w:t>
                  </w:r>
                  <w:r>
                    <w:rPr>
                      <w:rFonts w:hint="default"/>
                      <w:sz w:val="21"/>
                      <w:szCs w:val="21"/>
                      <w:lang w:eastAsia="zh-CN"/>
                    </w:rPr>
                    <w:t>人</w:t>
                  </w:r>
                </w:p>
              </w:tc>
              <w:tc>
                <w:tcPr>
                  <w:tcW w:w="383" w:type="pct"/>
                  <w:vMerge w:val="continue"/>
                  <w:vAlign w:val="center"/>
                </w:tcPr>
                <w:p w14:paraId="2D076E95">
                  <w:pPr>
                    <w:pStyle w:val="46"/>
                    <w:framePr w:hSpace="0" w:wrap="auto" w:vAnchor="margin" w:hAnchor="text" w:xAlign="left" w:yAlign="inline"/>
                  </w:pPr>
                </w:p>
              </w:tc>
              <w:tc>
                <w:tcPr>
                  <w:tcW w:w="369" w:type="pct"/>
                  <w:vAlign w:val="center"/>
                </w:tcPr>
                <w:p w14:paraId="112A1E80">
                  <w:pPr>
                    <w:pStyle w:val="29"/>
                    <w:rPr>
                      <w:sz w:val="21"/>
                      <w:szCs w:val="21"/>
                    </w:rPr>
                  </w:pPr>
                  <w:r>
                    <w:rPr>
                      <w:sz w:val="21"/>
                      <w:szCs w:val="21"/>
                    </w:rPr>
                    <w:t>E</w:t>
                  </w:r>
                </w:p>
              </w:tc>
              <w:tc>
                <w:tcPr>
                  <w:tcW w:w="615" w:type="pct"/>
                  <w:vAlign w:val="center"/>
                </w:tcPr>
                <w:p w14:paraId="17E0DC36">
                  <w:pPr>
                    <w:pStyle w:val="29"/>
                    <w:rPr>
                      <w:sz w:val="21"/>
                      <w:szCs w:val="21"/>
                    </w:rPr>
                  </w:pPr>
                  <w:r>
                    <w:rPr>
                      <w:sz w:val="21"/>
                      <w:szCs w:val="21"/>
                    </w:rPr>
                    <w:t>37</w:t>
                  </w:r>
                </w:p>
              </w:tc>
            </w:tr>
            <w:tr w14:paraId="0F05E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continue"/>
                  <w:vAlign w:val="center"/>
                </w:tcPr>
                <w:p w14:paraId="6CBED0A4">
                  <w:pPr>
                    <w:pStyle w:val="46"/>
                    <w:framePr w:hSpace="0" w:wrap="auto" w:vAnchor="margin" w:hAnchor="text" w:xAlign="left" w:yAlign="inline"/>
                  </w:pPr>
                </w:p>
              </w:tc>
              <w:tc>
                <w:tcPr>
                  <w:tcW w:w="826" w:type="pct"/>
                  <w:vAlign w:val="center"/>
                </w:tcPr>
                <w:p w14:paraId="6F570A3A">
                  <w:pPr>
                    <w:pStyle w:val="29"/>
                    <w:rPr>
                      <w:sz w:val="21"/>
                      <w:szCs w:val="21"/>
                    </w:rPr>
                  </w:pPr>
                  <w:r>
                    <w:rPr>
                      <w:sz w:val="21"/>
                      <w:szCs w:val="21"/>
                    </w:rPr>
                    <w:t>九丫椿</w:t>
                  </w:r>
                </w:p>
              </w:tc>
              <w:tc>
                <w:tcPr>
                  <w:tcW w:w="833" w:type="pct"/>
                  <w:vAlign w:val="center"/>
                </w:tcPr>
                <w:p w14:paraId="79304D93">
                  <w:pPr>
                    <w:pStyle w:val="46"/>
                    <w:framePr w:hSpace="0" w:wrap="auto" w:vAnchor="margin" w:hAnchor="text" w:xAlign="left" w:yAlign="inline"/>
                  </w:pPr>
                  <w:r>
                    <w:rPr>
                      <w:rFonts w:hint="default" w:ascii="Times New Roman" w:hAnsi="Times New Roman" w:cs="Times New Roman"/>
                    </w:rPr>
                    <w:t>116.886635277</w:t>
                  </w:r>
                </w:p>
              </w:tc>
              <w:tc>
                <w:tcPr>
                  <w:tcW w:w="805" w:type="pct"/>
                  <w:vAlign w:val="center"/>
                </w:tcPr>
                <w:p w14:paraId="4D1D0001">
                  <w:pPr>
                    <w:pStyle w:val="46"/>
                    <w:framePr w:hSpace="0" w:wrap="auto" w:vAnchor="margin" w:hAnchor="text" w:xAlign="left" w:yAlign="inline"/>
                  </w:pPr>
                  <w:r>
                    <w:rPr>
                      <w:rFonts w:hint="default" w:ascii="Times New Roman" w:hAnsi="Times New Roman" w:cs="Times New Roman"/>
                    </w:rPr>
                    <w:t>32.562952454</w:t>
                  </w:r>
                </w:p>
              </w:tc>
              <w:tc>
                <w:tcPr>
                  <w:tcW w:w="306" w:type="pct"/>
                  <w:vAlign w:val="center"/>
                </w:tcPr>
                <w:p w14:paraId="6C960D16">
                  <w:pPr>
                    <w:pStyle w:val="29"/>
                    <w:rPr>
                      <w:sz w:val="21"/>
                      <w:szCs w:val="21"/>
                    </w:rPr>
                  </w:pPr>
                  <w:r>
                    <w:rPr>
                      <w:sz w:val="21"/>
                      <w:szCs w:val="21"/>
                    </w:rPr>
                    <w:t>居民</w:t>
                  </w:r>
                </w:p>
              </w:tc>
              <w:tc>
                <w:tcPr>
                  <w:tcW w:w="480" w:type="pct"/>
                  <w:vAlign w:val="center"/>
                </w:tcPr>
                <w:p w14:paraId="53810651">
                  <w:pPr>
                    <w:pStyle w:val="29"/>
                    <w:rPr>
                      <w:rFonts w:hint="default" w:eastAsia="宋体"/>
                      <w:sz w:val="21"/>
                      <w:szCs w:val="21"/>
                      <w:lang w:eastAsia="zh-CN"/>
                    </w:rPr>
                  </w:pPr>
                  <w:r>
                    <w:rPr>
                      <w:sz w:val="21"/>
                      <w:szCs w:val="21"/>
                    </w:rPr>
                    <w:t>90</w:t>
                  </w:r>
                  <w:r>
                    <w:rPr>
                      <w:rFonts w:hint="default"/>
                      <w:sz w:val="21"/>
                      <w:szCs w:val="21"/>
                      <w:lang w:eastAsia="zh-CN"/>
                    </w:rPr>
                    <w:t>人</w:t>
                  </w:r>
                </w:p>
              </w:tc>
              <w:tc>
                <w:tcPr>
                  <w:tcW w:w="383" w:type="pct"/>
                  <w:vMerge w:val="continue"/>
                  <w:vAlign w:val="center"/>
                </w:tcPr>
                <w:p w14:paraId="17DC3F0C">
                  <w:pPr>
                    <w:pStyle w:val="46"/>
                    <w:framePr w:hSpace="0" w:wrap="auto" w:vAnchor="margin" w:hAnchor="text" w:xAlign="left" w:yAlign="inline"/>
                  </w:pPr>
                </w:p>
              </w:tc>
              <w:tc>
                <w:tcPr>
                  <w:tcW w:w="369" w:type="pct"/>
                  <w:vAlign w:val="center"/>
                </w:tcPr>
                <w:p w14:paraId="776B7F3B">
                  <w:pPr>
                    <w:pStyle w:val="29"/>
                    <w:rPr>
                      <w:sz w:val="21"/>
                      <w:szCs w:val="21"/>
                    </w:rPr>
                  </w:pPr>
                  <w:r>
                    <w:rPr>
                      <w:sz w:val="21"/>
                      <w:szCs w:val="21"/>
                    </w:rPr>
                    <w:t>SW</w:t>
                  </w:r>
                </w:p>
              </w:tc>
              <w:tc>
                <w:tcPr>
                  <w:tcW w:w="615" w:type="pct"/>
                  <w:vAlign w:val="center"/>
                </w:tcPr>
                <w:p w14:paraId="71FCEC66">
                  <w:pPr>
                    <w:pStyle w:val="29"/>
                    <w:rPr>
                      <w:sz w:val="21"/>
                      <w:szCs w:val="21"/>
                    </w:rPr>
                  </w:pPr>
                  <w:r>
                    <w:rPr>
                      <w:sz w:val="21"/>
                      <w:szCs w:val="21"/>
                    </w:rPr>
                    <w:t>387</w:t>
                  </w:r>
                </w:p>
              </w:tc>
            </w:tr>
            <w:tr w14:paraId="7011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6" w:hRule="atLeast"/>
              </w:trPr>
              <w:tc>
                <w:tcPr>
                  <w:tcW w:w="378" w:type="pct"/>
                  <w:vAlign w:val="center"/>
                </w:tcPr>
                <w:p w14:paraId="405399FF">
                  <w:pPr>
                    <w:pStyle w:val="46"/>
                    <w:framePr w:hSpace="0" w:wrap="auto" w:vAnchor="margin" w:hAnchor="text" w:xAlign="left" w:yAlign="inline"/>
                  </w:pPr>
                  <w:r>
                    <w:t>声环境</w:t>
                  </w:r>
                </w:p>
              </w:tc>
              <w:tc>
                <w:tcPr>
                  <w:tcW w:w="4621" w:type="pct"/>
                  <w:gridSpan w:val="8"/>
                  <w:shd w:val="clear" w:color="auto" w:fill="auto"/>
                  <w:vAlign w:val="center"/>
                </w:tcPr>
                <w:p w14:paraId="62479AFC">
                  <w:pPr>
                    <w:pStyle w:val="29"/>
                    <w:rPr>
                      <w:rFonts w:ascii="Times New Roman" w:hAnsi="Times New Roman" w:eastAsia="宋体" w:cs="Times New Roman"/>
                      <w:kern w:val="0"/>
                      <w:sz w:val="21"/>
                      <w:szCs w:val="21"/>
                      <w:lang w:val="en-US" w:eastAsia="zh-CN" w:bidi="ar-SA"/>
                    </w:rPr>
                  </w:pPr>
                  <w:r>
                    <w:rPr>
                      <w:sz w:val="21"/>
                      <w:szCs w:val="21"/>
                    </w:rPr>
                    <w:t>孟岗村</w:t>
                  </w:r>
                </w:p>
              </w:tc>
            </w:tr>
            <w:tr w14:paraId="3E5FC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restart"/>
                  <w:vAlign w:val="center"/>
                </w:tcPr>
                <w:p w14:paraId="6EC4A2F8">
                  <w:pPr>
                    <w:pStyle w:val="46"/>
                    <w:framePr w:hSpace="0" w:wrap="auto" w:vAnchor="margin" w:hAnchor="text" w:xAlign="left" w:yAlign="inline"/>
                  </w:pPr>
                  <w:r>
                    <w:rPr>
                      <w:rFonts w:hint="default"/>
                    </w:rPr>
                    <w:t>地表水</w:t>
                  </w:r>
                </w:p>
              </w:tc>
              <w:tc>
                <w:tcPr>
                  <w:tcW w:w="1660" w:type="pct"/>
                  <w:gridSpan w:val="2"/>
                  <w:vAlign w:val="center"/>
                </w:tcPr>
                <w:p w14:paraId="08ACEAAD">
                  <w:pPr>
                    <w:pStyle w:val="29"/>
                    <w:rPr>
                      <w:sz w:val="21"/>
                      <w:szCs w:val="21"/>
                    </w:rPr>
                  </w:pPr>
                  <w:r>
                    <w:rPr>
                      <w:sz w:val="21"/>
                      <w:szCs w:val="21"/>
                    </w:rPr>
                    <w:t>淮河</w:t>
                  </w:r>
                </w:p>
              </w:tc>
              <w:tc>
                <w:tcPr>
                  <w:tcW w:w="1593" w:type="pct"/>
                  <w:gridSpan w:val="3"/>
                  <w:vAlign w:val="center"/>
                </w:tcPr>
                <w:p w14:paraId="6CB39595">
                  <w:pPr>
                    <w:pStyle w:val="46"/>
                    <w:framePr w:hSpace="0" w:wrap="auto" w:vAnchor="margin" w:hAnchor="text" w:xAlign="left" w:yAlign="inline"/>
                  </w:pPr>
                  <w:r>
                    <w:rPr>
                      <w:rFonts w:hint="default"/>
                      <w:lang w:eastAsia="zh-CN"/>
                    </w:rPr>
                    <w:t>大</w:t>
                  </w:r>
                  <w:r>
                    <w:rPr>
                      <w:rFonts w:hint="default"/>
                    </w:rPr>
                    <w:t>型河流</w:t>
                  </w:r>
                </w:p>
              </w:tc>
              <w:tc>
                <w:tcPr>
                  <w:tcW w:w="383" w:type="pct"/>
                  <w:vAlign w:val="center"/>
                </w:tcPr>
                <w:p w14:paraId="407E71CF">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i w:val="0"/>
                      <w:iCs w:val="0"/>
                      <w:caps w:val="0"/>
                      <w:spacing w:val="0"/>
                      <w:sz w:val="21"/>
                      <w:szCs w:val="21"/>
                      <w:shd w:val="clear"/>
                    </w:rPr>
                    <w:t>Ⅲ</w:t>
                  </w:r>
                  <w:r>
                    <w:rPr>
                      <w:rFonts w:hint="default" w:ascii="Times New Roman" w:hAnsi="Times New Roman" w:eastAsia="宋体" w:cs="Times New Roman"/>
                    </w:rPr>
                    <w:t>类</w:t>
                  </w:r>
                </w:p>
                <w:p w14:paraId="4DE0F5A1">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水体</w:t>
                  </w:r>
                </w:p>
              </w:tc>
              <w:tc>
                <w:tcPr>
                  <w:tcW w:w="369" w:type="pct"/>
                  <w:vAlign w:val="center"/>
                </w:tcPr>
                <w:p w14:paraId="4A3BFCC0">
                  <w:pPr>
                    <w:pStyle w:val="46"/>
                    <w:framePr w:hSpace="0" w:wrap="auto" w:vAnchor="margin" w:hAnchor="text" w:xAlign="left" w:yAlign="inline"/>
                  </w:pPr>
                  <w:r>
                    <w:t>E</w:t>
                  </w:r>
                </w:p>
              </w:tc>
              <w:tc>
                <w:tcPr>
                  <w:tcW w:w="615" w:type="pct"/>
                  <w:vAlign w:val="center"/>
                </w:tcPr>
                <w:p w14:paraId="7A5C34BA">
                  <w:pPr>
                    <w:pStyle w:val="29"/>
                    <w:rPr>
                      <w:sz w:val="21"/>
                      <w:szCs w:val="21"/>
                    </w:rPr>
                  </w:pPr>
                  <w:r>
                    <w:rPr>
                      <w:sz w:val="21"/>
                      <w:szCs w:val="21"/>
                    </w:rPr>
                    <w:t>7715</w:t>
                  </w:r>
                </w:p>
              </w:tc>
            </w:tr>
            <w:tr w14:paraId="7E4A4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Merge w:val="continue"/>
                  <w:vAlign w:val="center"/>
                </w:tcPr>
                <w:p w14:paraId="7A98B817">
                  <w:pPr>
                    <w:pStyle w:val="46"/>
                    <w:framePr w:hSpace="0" w:wrap="auto" w:vAnchor="margin" w:hAnchor="text" w:xAlign="left" w:yAlign="inline"/>
                  </w:pPr>
                </w:p>
              </w:tc>
              <w:tc>
                <w:tcPr>
                  <w:tcW w:w="1660" w:type="pct"/>
                  <w:gridSpan w:val="2"/>
                  <w:vAlign w:val="center"/>
                </w:tcPr>
                <w:p w14:paraId="4FDB4649">
                  <w:pPr>
                    <w:pStyle w:val="29"/>
                    <w:rPr>
                      <w:sz w:val="21"/>
                      <w:szCs w:val="21"/>
                    </w:rPr>
                  </w:pPr>
                  <w:r>
                    <w:rPr>
                      <w:sz w:val="21"/>
                      <w:szCs w:val="21"/>
                    </w:rPr>
                    <w:t>陡涧河</w:t>
                  </w:r>
                </w:p>
              </w:tc>
              <w:tc>
                <w:tcPr>
                  <w:tcW w:w="1593" w:type="pct"/>
                  <w:gridSpan w:val="3"/>
                  <w:vAlign w:val="center"/>
                </w:tcPr>
                <w:p w14:paraId="2A244925">
                  <w:pPr>
                    <w:pStyle w:val="46"/>
                    <w:framePr w:hSpace="0" w:wrap="auto" w:vAnchor="margin" w:hAnchor="text" w:xAlign="left" w:yAlign="inline"/>
                  </w:pPr>
                  <w:r>
                    <w:rPr>
                      <w:rFonts w:hint="default"/>
                      <w:lang w:eastAsia="zh-CN"/>
                    </w:rPr>
                    <w:t>中</w:t>
                  </w:r>
                  <w:r>
                    <w:rPr>
                      <w:rFonts w:hint="default"/>
                    </w:rPr>
                    <w:t>型河流</w:t>
                  </w:r>
                </w:p>
              </w:tc>
              <w:tc>
                <w:tcPr>
                  <w:tcW w:w="383" w:type="pct"/>
                  <w:vAlign w:val="center"/>
                </w:tcPr>
                <w:p w14:paraId="4D16D620">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i w:val="0"/>
                      <w:iCs w:val="0"/>
                      <w:caps w:val="0"/>
                      <w:spacing w:val="0"/>
                      <w:sz w:val="21"/>
                      <w:szCs w:val="21"/>
                      <w:shd w:val="clear"/>
                    </w:rPr>
                    <w:t>Ⅲ</w:t>
                  </w:r>
                  <w:r>
                    <w:rPr>
                      <w:rFonts w:hint="default" w:ascii="Times New Roman" w:hAnsi="Times New Roman" w:eastAsia="宋体" w:cs="Times New Roman"/>
                    </w:rPr>
                    <w:t>类</w:t>
                  </w:r>
                </w:p>
                <w:p w14:paraId="0021609F">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水体</w:t>
                  </w:r>
                </w:p>
              </w:tc>
              <w:tc>
                <w:tcPr>
                  <w:tcW w:w="369" w:type="pct"/>
                  <w:vAlign w:val="center"/>
                </w:tcPr>
                <w:p w14:paraId="1B8462D2">
                  <w:pPr>
                    <w:pStyle w:val="46"/>
                    <w:framePr w:hSpace="0" w:wrap="auto" w:vAnchor="margin" w:hAnchor="text" w:xAlign="left" w:yAlign="inline"/>
                  </w:pPr>
                  <w:r>
                    <w:t>E</w:t>
                  </w:r>
                </w:p>
              </w:tc>
              <w:tc>
                <w:tcPr>
                  <w:tcW w:w="615" w:type="pct"/>
                  <w:vAlign w:val="center"/>
                </w:tcPr>
                <w:p w14:paraId="40CFC877">
                  <w:pPr>
                    <w:pStyle w:val="29"/>
                    <w:rPr>
                      <w:sz w:val="21"/>
                      <w:szCs w:val="21"/>
                    </w:rPr>
                  </w:pPr>
                  <w:r>
                    <w:rPr>
                      <w:sz w:val="21"/>
                      <w:szCs w:val="21"/>
                    </w:rPr>
                    <w:t>2218</w:t>
                  </w:r>
                </w:p>
              </w:tc>
            </w:tr>
            <w:tr w14:paraId="04E3E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Align w:val="center"/>
                </w:tcPr>
                <w:p w14:paraId="03435300">
                  <w:pPr>
                    <w:pStyle w:val="46"/>
                    <w:framePr w:hSpace="0" w:wrap="auto" w:vAnchor="margin" w:hAnchor="text" w:xAlign="left" w:yAlign="inline"/>
                  </w:pPr>
                  <w:r>
                    <w:t>地下水环境</w:t>
                  </w:r>
                </w:p>
              </w:tc>
              <w:tc>
                <w:tcPr>
                  <w:tcW w:w="4621" w:type="pct"/>
                  <w:gridSpan w:val="8"/>
                  <w:vAlign w:val="center"/>
                </w:tcPr>
                <w:p w14:paraId="48D3EACF">
                  <w:pPr>
                    <w:pStyle w:val="46"/>
                    <w:framePr w:hSpace="0" w:wrap="auto" w:vAnchor="margin" w:hAnchor="text" w:xAlign="left" w:yAlign="inline"/>
                  </w:pPr>
                  <w:r>
                    <w:t>厂界外500m无地下水集中式饮用水水源和热水、矿泉水、温泉等特殊地下水资源。</w:t>
                  </w:r>
                </w:p>
              </w:tc>
            </w:tr>
            <w:tr w14:paraId="7273F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78" w:type="pct"/>
                  <w:vAlign w:val="center"/>
                </w:tcPr>
                <w:p w14:paraId="37736BD5">
                  <w:pPr>
                    <w:pStyle w:val="46"/>
                    <w:framePr w:hSpace="0" w:wrap="auto" w:vAnchor="margin" w:hAnchor="text" w:xAlign="left" w:yAlign="inline"/>
                  </w:pPr>
                  <w:r>
                    <w:t>生态</w:t>
                  </w:r>
                </w:p>
                <w:p w14:paraId="61FC947B">
                  <w:pPr>
                    <w:pStyle w:val="46"/>
                    <w:framePr w:hSpace="0" w:wrap="auto" w:vAnchor="margin" w:hAnchor="text" w:xAlign="left" w:yAlign="inline"/>
                  </w:pPr>
                  <w:r>
                    <w:t>环境</w:t>
                  </w:r>
                </w:p>
              </w:tc>
              <w:tc>
                <w:tcPr>
                  <w:tcW w:w="4621" w:type="pct"/>
                  <w:gridSpan w:val="8"/>
                  <w:vAlign w:val="center"/>
                </w:tcPr>
                <w:p w14:paraId="31D9252D">
                  <w:pPr>
                    <w:pStyle w:val="46"/>
                    <w:framePr w:hSpace="0" w:wrap="auto" w:vAnchor="margin" w:hAnchor="text" w:xAlign="left" w:yAlign="inline"/>
                  </w:pPr>
                  <w:r>
                    <w:t>项目用地范围内无生态环境保护目标。</w:t>
                  </w:r>
                </w:p>
              </w:tc>
            </w:tr>
          </w:tbl>
          <w:p w14:paraId="27B658C2">
            <w:pPr>
              <w:snapToGrid w:val="0"/>
              <w:spacing w:line="240" w:lineRule="auto"/>
              <w:jc w:val="center"/>
              <w:rPr>
                <w:rFonts w:hint="default" w:ascii="Times New Roman" w:hAnsi="Times New Roman" w:cs="Times New Roman"/>
              </w:rPr>
            </w:pPr>
            <w:r>
              <w:rPr>
                <w:rFonts w:hint="eastAsia" w:eastAsiaTheme="minorEastAsia"/>
                <w:b/>
                <w:bCs/>
                <w:color w:val="000000"/>
                <w:lang w:eastAsia="zh-CN"/>
              </w:rPr>
              <w:drawing>
                <wp:inline distT="0" distB="0" distL="114300" distR="114300">
                  <wp:extent cx="4047490" cy="2478405"/>
                  <wp:effectExtent l="0" t="0" r="10160" b="17145"/>
                  <wp:docPr id="30" name="图片 30" descr="大气敏感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大气敏感_00"/>
                          <pic:cNvPicPr>
                            <a:picLocks noChangeAspect="1"/>
                          </pic:cNvPicPr>
                        </pic:nvPicPr>
                        <pic:blipFill>
                          <a:blip r:embed="rId34"/>
                          <a:srcRect l="1990" t="8310" r="2177" b="8640"/>
                          <a:stretch>
                            <a:fillRect/>
                          </a:stretch>
                        </pic:blipFill>
                        <pic:spPr>
                          <a:xfrm>
                            <a:off x="0" y="0"/>
                            <a:ext cx="4047490" cy="2478405"/>
                          </a:xfrm>
                          <a:prstGeom prst="rect">
                            <a:avLst/>
                          </a:prstGeom>
                        </pic:spPr>
                      </pic:pic>
                    </a:graphicData>
                  </a:graphic>
                </wp:inline>
              </w:drawing>
            </w:r>
          </w:p>
          <w:p w14:paraId="01EC2791">
            <w:pPr>
              <w:snapToGrid w:val="0"/>
              <w:spacing w:line="240" w:lineRule="auto"/>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图 3-</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图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3</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项目大气环境保护目标分布图</w:t>
            </w:r>
          </w:p>
          <w:p w14:paraId="75C726A5">
            <w:pPr>
              <w:pStyle w:val="2"/>
              <w:jc w:val="center"/>
              <w:outlineLvl w:val="2"/>
              <w:rPr>
                <w:rFonts w:hint="default" w:ascii="Times New Roman" w:hAnsi="Times New Roman" w:cs="Times New Roman"/>
              </w:rPr>
            </w:pPr>
            <w:r>
              <w:rPr>
                <w:rFonts w:hint="eastAsia" w:eastAsiaTheme="minorEastAsia"/>
                <w:b/>
                <w:bCs/>
                <w:color w:val="000000"/>
                <w:lang w:eastAsia="zh-CN"/>
              </w:rPr>
              <w:drawing>
                <wp:inline distT="0" distB="0" distL="114300" distR="114300">
                  <wp:extent cx="4028440" cy="2714625"/>
                  <wp:effectExtent l="0" t="0" r="10160" b="9525"/>
                  <wp:docPr id="32" name="图片 32" descr="噪声范围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噪声范围_00"/>
                          <pic:cNvPicPr>
                            <a:picLocks noChangeAspect="1"/>
                          </pic:cNvPicPr>
                        </pic:nvPicPr>
                        <pic:blipFill>
                          <a:blip r:embed="rId32"/>
                          <a:srcRect l="6570" t="8338" r="6803" b="9092"/>
                          <a:stretch>
                            <a:fillRect/>
                          </a:stretch>
                        </pic:blipFill>
                        <pic:spPr>
                          <a:xfrm>
                            <a:off x="0" y="0"/>
                            <a:ext cx="4028440" cy="2714625"/>
                          </a:xfrm>
                          <a:prstGeom prst="rect">
                            <a:avLst/>
                          </a:prstGeom>
                        </pic:spPr>
                      </pic:pic>
                    </a:graphicData>
                  </a:graphic>
                </wp:inline>
              </w:drawing>
            </w:r>
          </w:p>
          <w:p w14:paraId="04F6759E">
            <w:pPr>
              <w:pStyle w:val="2"/>
              <w:jc w:val="center"/>
              <w:outlineLvl w:val="2"/>
              <w:rPr>
                <w:rFonts w:hint="default"/>
              </w:rPr>
            </w:pPr>
            <w:r>
              <w:rPr>
                <w:rFonts w:hint="default" w:ascii="Times New Roman" w:hAnsi="Times New Roman" w:cs="Times New Roman"/>
                <w:kern w:val="0"/>
                <w:sz w:val="21"/>
                <w:szCs w:val="22"/>
              </w:rPr>
              <w:t>图 3-</w:t>
            </w:r>
            <w:r>
              <w:rPr>
                <w:rFonts w:hint="default" w:ascii="Times New Roman" w:hAnsi="Times New Roman" w:cs="Times New Roman"/>
                <w:kern w:val="0"/>
                <w:sz w:val="21"/>
                <w:szCs w:val="22"/>
              </w:rPr>
              <w:fldChar w:fldCharType="begin"/>
            </w:r>
            <w:r>
              <w:rPr>
                <w:rFonts w:hint="default" w:ascii="Times New Roman" w:hAnsi="Times New Roman" w:cs="Times New Roman"/>
                <w:kern w:val="0"/>
                <w:sz w:val="21"/>
                <w:szCs w:val="22"/>
              </w:rPr>
              <w:instrText xml:space="preserve"> SEQ 图 \* ARABIC \s 1 </w:instrText>
            </w:r>
            <w:r>
              <w:rPr>
                <w:rFonts w:hint="default" w:ascii="Times New Roman" w:hAnsi="Times New Roman" w:cs="Times New Roman"/>
                <w:kern w:val="0"/>
                <w:sz w:val="21"/>
                <w:szCs w:val="22"/>
              </w:rPr>
              <w:fldChar w:fldCharType="separate"/>
            </w:r>
            <w:r>
              <w:rPr>
                <w:rFonts w:hint="default" w:ascii="Times New Roman" w:hAnsi="Times New Roman" w:cs="Times New Roman"/>
                <w:kern w:val="0"/>
                <w:sz w:val="21"/>
                <w:szCs w:val="22"/>
              </w:rPr>
              <w:t>3</w:t>
            </w:r>
            <w:r>
              <w:rPr>
                <w:rFonts w:hint="default" w:ascii="Times New Roman" w:hAnsi="Times New Roman" w:cs="Times New Roman"/>
                <w:kern w:val="0"/>
                <w:sz w:val="21"/>
                <w:szCs w:val="22"/>
              </w:rPr>
              <w:fldChar w:fldCharType="end"/>
            </w:r>
            <w:r>
              <w:rPr>
                <w:rFonts w:hint="default" w:ascii="Times New Roman" w:hAnsi="Times New Roman" w:cs="Times New Roman"/>
                <w:kern w:val="0"/>
                <w:sz w:val="21"/>
                <w:szCs w:val="22"/>
              </w:rPr>
              <w:t xml:space="preserve"> 项目噪声环境保护目标分布图</w:t>
            </w:r>
          </w:p>
        </w:tc>
      </w:tr>
      <w:tr w14:paraId="235FE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1" w:type="dxa"/>
            <w:vAlign w:val="center"/>
          </w:tcPr>
          <w:p w14:paraId="0F15A1BB">
            <w:pPr>
              <w:jc w:val="center"/>
              <w:rPr>
                <w:rFonts w:hint="default" w:ascii="Times New Roman" w:hAnsi="Times New Roman" w:cs="Times New Roman"/>
              </w:rPr>
            </w:pPr>
            <w:r>
              <w:rPr>
                <w:rFonts w:hint="default" w:ascii="Times New Roman" w:hAnsi="Times New Roman" w:cs="Times New Roman"/>
              </w:rPr>
              <w:t>污染物排放控制标准</w:t>
            </w:r>
          </w:p>
        </w:tc>
        <w:tc>
          <w:tcPr>
            <w:tcW w:w="8021" w:type="dxa"/>
          </w:tcPr>
          <w:p w14:paraId="4BEA4120">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3.3污染物排放控制标准</w:t>
            </w:r>
          </w:p>
          <w:p w14:paraId="74D13952">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3.3.1废气排放标准</w:t>
            </w:r>
          </w:p>
          <w:p w14:paraId="1990F0AF">
            <w:pPr>
              <w:ind w:firstLine="480" w:firstLineChars="200"/>
              <w:rPr>
                <w:rFonts w:hint="default" w:ascii="Times New Roman" w:hAnsi="Times New Roman" w:cs="Times New Roman"/>
              </w:rPr>
            </w:pPr>
            <w:r>
              <w:rPr>
                <w:rFonts w:hint="default" w:ascii="Times New Roman" w:hAnsi="Times New Roman" w:cs="Times New Roman"/>
              </w:rPr>
              <w:t>本项目挥发性有机物有组织排放执行安徽省地方标准《固定源挥发性有机物综合排放标准  第4部分：印刷工业》（DB34/4812.4-2024）表1中限值要求；颗粒物、非甲烷总烃厂界无组织排放执行《大气污染物综合排放标</w:t>
            </w:r>
            <w:r>
              <w:rPr>
                <w:rFonts w:hint="default" w:ascii="Times New Roman" w:hAnsi="Times New Roman" w:cs="Times New Roman"/>
                <w:highlight w:val="none"/>
              </w:rPr>
              <w:t>准》（GB16297-1996）表2新污染源大气污染物排放限值要求；厂区内</w:t>
            </w:r>
            <w:r>
              <w:rPr>
                <w:rFonts w:hint="default" w:ascii="Times New Roman" w:hAnsi="Times New Roman" w:cs="Times New Roman"/>
                <w:highlight w:val="none"/>
                <w:lang w:eastAsia="zh-CN"/>
              </w:rPr>
              <w:t>非甲烷总烃</w:t>
            </w:r>
            <w:r>
              <w:rPr>
                <w:rFonts w:hint="default" w:ascii="Times New Roman" w:hAnsi="Times New Roman" w:cs="Times New Roman"/>
                <w:highlight w:val="none"/>
              </w:rPr>
              <w:t>排放执行《固</w:t>
            </w:r>
            <w:r>
              <w:rPr>
                <w:rFonts w:hint="default" w:ascii="Times New Roman" w:hAnsi="Times New Roman" w:cs="Times New Roman"/>
              </w:rPr>
              <w:t>定源挥发性有机物综合排放标准  第4部分：印刷工业》（DB34/4812.4-2024）表3中限值要求；锅炉颗粒物、二氧化硫、烟气黑度执行《锅炉大气污染物排放标准》（GB13271-2014）表2中燃气锅炉排放标准限值；氮氧化物排放参照执行《</w:t>
            </w:r>
            <w:r>
              <w:rPr>
                <w:rFonts w:hint="default" w:ascii="Times New Roman" w:hAnsi="Times New Roman" w:cs="Times New Roman"/>
              </w:rPr>
              <w:fldChar w:fldCharType="begin"/>
            </w:r>
            <w:r>
              <w:rPr>
                <w:rFonts w:hint="default" w:ascii="Times New Roman" w:hAnsi="Times New Roman" w:cs="Times New Roman"/>
              </w:rPr>
              <w:instrText xml:space="preserve"> HYPERLINK "http://www.baidu.com/link?url=ZNNe43pOS2hRtv6tvIPL0nhKjK4JzdCxG8ZBr44EV4BLFlLxV611XcUnOXfTyrrPDW1LQ2nx-TphXw8zrobo0f4BdvCDr4NAKh9xB48tXiBrY2ySJe9rdXEUxmFL4t2RRc8G6mrXQfqDzqgRozxRUK" \t "https://www.baidu.com/_blank" </w:instrText>
            </w:r>
            <w:r>
              <w:rPr>
                <w:rFonts w:hint="default" w:ascii="Times New Roman" w:hAnsi="Times New Roman" w:cs="Times New Roman"/>
              </w:rPr>
              <w:fldChar w:fldCharType="separate"/>
            </w:r>
            <w:r>
              <w:rPr>
                <w:rFonts w:hint="default" w:ascii="Times New Roman" w:hAnsi="Times New Roman" w:cs="Times New Roman"/>
              </w:rPr>
              <w:t>安徽省大气办关于印发</w:t>
            </w:r>
            <w:r>
              <w:rPr>
                <w:rFonts w:hint="default" w:ascii="Times New Roman" w:hAnsi="Times New Roman" w:cs="Times New Roman"/>
              </w:rPr>
              <w:fldChar w:fldCharType="end"/>
            </w:r>
            <w:r>
              <w:rPr>
                <w:rFonts w:hint="default" w:ascii="Times New Roman" w:hAnsi="Times New Roman" w:cs="Times New Roman"/>
              </w:rPr>
              <w:t>&lt;安徽省2020年大气污染防治重点工作任务&gt;的通知》 中限值标准要求；食堂油烟执行《饮食业油烟排放标准（试行）》（GB18483-2001）的中型规模标准；具体见下表：</w:t>
            </w:r>
          </w:p>
          <w:p w14:paraId="686E20A5">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3-5 本项目有组织污染物排放执行标准限值</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316"/>
              <w:gridCol w:w="1255"/>
              <w:gridCol w:w="1280"/>
              <w:gridCol w:w="2705"/>
            </w:tblGrid>
            <w:tr w14:paraId="5DD37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 w:type="pct"/>
                  <w:vAlign w:val="center"/>
                </w:tcPr>
                <w:p w14:paraId="63E7472F">
                  <w:pPr>
                    <w:pStyle w:val="29"/>
                    <w:rPr>
                      <w:b/>
                      <w:bCs/>
                      <w:sz w:val="21"/>
                      <w:szCs w:val="21"/>
                    </w:rPr>
                  </w:pPr>
                  <w:r>
                    <w:rPr>
                      <w:b/>
                      <w:bCs/>
                      <w:sz w:val="21"/>
                      <w:szCs w:val="21"/>
                    </w:rPr>
                    <w:t>污染物名称</w:t>
                  </w:r>
                </w:p>
              </w:tc>
              <w:tc>
                <w:tcPr>
                  <w:tcW w:w="844" w:type="pct"/>
                  <w:vAlign w:val="center"/>
                </w:tcPr>
                <w:p w14:paraId="3AA2CFD5">
                  <w:pPr>
                    <w:pStyle w:val="29"/>
                    <w:rPr>
                      <w:b/>
                      <w:bCs/>
                      <w:sz w:val="21"/>
                      <w:szCs w:val="21"/>
                    </w:rPr>
                  </w:pPr>
                  <w:r>
                    <w:rPr>
                      <w:b/>
                      <w:bCs/>
                      <w:sz w:val="21"/>
                      <w:szCs w:val="21"/>
                    </w:rPr>
                    <w:t>最高允许排放浓度（mg/m</w:t>
                  </w:r>
                  <w:r>
                    <w:rPr>
                      <w:b/>
                      <w:bCs/>
                      <w:sz w:val="21"/>
                      <w:szCs w:val="21"/>
                      <w:vertAlign w:val="superscript"/>
                    </w:rPr>
                    <w:t>3</w:t>
                  </w:r>
                  <w:r>
                    <w:rPr>
                      <w:b/>
                      <w:bCs/>
                      <w:sz w:val="21"/>
                      <w:szCs w:val="21"/>
                    </w:rPr>
                    <w:t>）</w:t>
                  </w:r>
                </w:p>
              </w:tc>
              <w:tc>
                <w:tcPr>
                  <w:tcW w:w="805" w:type="pct"/>
                  <w:vAlign w:val="center"/>
                </w:tcPr>
                <w:p w14:paraId="130BFE97">
                  <w:pPr>
                    <w:pStyle w:val="29"/>
                    <w:rPr>
                      <w:b/>
                      <w:bCs/>
                      <w:sz w:val="21"/>
                      <w:szCs w:val="21"/>
                    </w:rPr>
                  </w:pPr>
                  <w:r>
                    <w:rPr>
                      <w:b/>
                      <w:bCs/>
                      <w:sz w:val="21"/>
                      <w:szCs w:val="21"/>
                    </w:rPr>
                    <w:t>最高允许排放速率（kg/h）</w:t>
                  </w:r>
                </w:p>
              </w:tc>
              <w:tc>
                <w:tcPr>
                  <w:tcW w:w="821" w:type="pct"/>
                  <w:vAlign w:val="center"/>
                </w:tcPr>
                <w:p w14:paraId="4E32A306">
                  <w:pPr>
                    <w:pStyle w:val="29"/>
                    <w:rPr>
                      <w:b/>
                      <w:bCs/>
                      <w:sz w:val="21"/>
                      <w:szCs w:val="21"/>
                    </w:rPr>
                  </w:pPr>
                  <w:r>
                    <w:rPr>
                      <w:b/>
                      <w:bCs/>
                      <w:sz w:val="21"/>
                      <w:szCs w:val="21"/>
                    </w:rPr>
                    <w:t>污染物排放监控位置</w:t>
                  </w:r>
                </w:p>
              </w:tc>
              <w:tc>
                <w:tcPr>
                  <w:tcW w:w="1735" w:type="pct"/>
                  <w:vAlign w:val="center"/>
                </w:tcPr>
                <w:p w14:paraId="07A4F18D">
                  <w:pPr>
                    <w:pStyle w:val="29"/>
                    <w:rPr>
                      <w:b/>
                      <w:bCs/>
                      <w:sz w:val="21"/>
                      <w:szCs w:val="21"/>
                    </w:rPr>
                  </w:pPr>
                  <w:r>
                    <w:rPr>
                      <w:b/>
                      <w:bCs/>
                      <w:sz w:val="21"/>
                      <w:szCs w:val="21"/>
                    </w:rPr>
                    <w:t>执行标准</w:t>
                  </w:r>
                </w:p>
              </w:tc>
            </w:tr>
            <w:tr w14:paraId="4ABAA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 w:type="pct"/>
                  <w:vAlign w:val="center"/>
                </w:tcPr>
                <w:p w14:paraId="145FFEC9">
                  <w:pPr>
                    <w:pStyle w:val="29"/>
                    <w:rPr>
                      <w:sz w:val="21"/>
                      <w:szCs w:val="21"/>
                    </w:rPr>
                  </w:pPr>
                  <w:r>
                    <w:rPr>
                      <w:sz w:val="21"/>
                      <w:szCs w:val="21"/>
                    </w:rPr>
                    <w:t>非甲烷总烃</w:t>
                  </w:r>
                </w:p>
              </w:tc>
              <w:tc>
                <w:tcPr>
                  <w:tcW w:w="844" w:type="pct"/>
                  <w:vAlign w:val="center"/>
                </w:tcPr>
                <w:p w14:paraId="41BE17E5">
                  <w:pPr>
                    <w:pStyle w:val="29"/>
                    <w:rPr>
                      <w:sz w:val="21"/>
                      <w:szCs w:val="21"/>
                    </w:rPr>
                  </w:pPr>
                  <w:r>
                    <w:rPr>
                      <w:sz w:val="21"/>
                      <w:szCs w:val="21"/>
                    </w:rPr>
                    <w:t>50</w:t>
                  </w:r>
                </w:p>
              </w:tc>
              <w:tc>
                <w:tcPr>
                  <w:tcW w:w="805" w:type="pct"/>
                  <w:vAlign w:val="center"/>
                </w:tcPr>
                <w:p w14:paraId="34A792D8">
                  <w:pPr>
                    <w:pStyle w:val="29"/>
                    <w:rPr>
                      <w:sz w:val="21"/>
                      <w:szCs w:val="21"/>
                    </w:rPr>
                  </w:pPr>
                  <w:r>
                    <w:rPr>
                      <w:sz w:val="21"/>
                      <w:szCs w:val="21"/>
                    </w:rPr>
                    <w:t>1.5</w:t>
                  </w:r>
                </w:p>
              </w:tc>
              <w:tc>
                <w:tcPr>
                  <w:tcW w:w="821" w:type="pct"/>
                  <w:vAlign w:val="center"/>
                </w:tcPr>
                <w:p w14:paraId="1BB93C77">
                  <w:pPr>
                    <w:pStyle w:val="29"/>
                    <w:rPr>
                      <w:sz w:val="21"/>
                      <w:szCs w:val="21"/>
                    </w:rPr>
                  </w:pPr>
                  <w:r>
                    <w:rPr>
                      <w:sz w:val="21"/>
                      <w:szCs w:val="21"/>
                    </w:rPr>
                    <w:t>车间或生产设施排气筒</w:t>
                  </w:r>
                </w:p>
              </w:tc>
              <w:tc>
                <w:tcPr>
                  <w:tcW w:w="1735" w:type="pct"/>
                  <w:vAlign w:val="center"/>
                </w:tcPr>
                <w:p w14:paraId="2C516C76">
                  <w:pPr>
                    <w:pStyle w:val="29"/>
                    <w:rPr>
                      <w:sz w:val="21"/>
                      <w:szCs w:val="21"/>
                    </w:rPr>
                  </w:pPr>
                  <w:r>
                    <w:rPr>
                      <w:sz w:val="21"/>
                      <w:szCs w:val="21"/>
                    </w:rPr>
                    <w:t>《固定源挥发性有机物综合排放标准  第4部分：印刷工业》（DB34/4812.4-2024）</w:t>
                  </w:r>
                </w:p>
              </w:tc>
            </w:tr>
            <w:tr w14:paraId="62F56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 w:type="pct"/>
                  <w:vAlign w:val="center"/>
                </w:tcPr>
                <w:p w14:paraId="7675CF53">
                  <w:pPr>
                    <w:pStyle w:val="29"/>
                    <w:rPr>
                      <w:sz w:val="21"/>
                      <w:szCs w:val="21"/>
                    </w:rPr>
                  </w:pPr>
                  <w:r>
                    <w:rPr>
                      <w:sz w:val="21"/>
                      <w:szCs w:val="21"/>
                    </w:rPr>
                    <w:t>颗粒物</w:t>
                  </w:r>
                </w:p>
              </w:tc>
              <w:tc>
                <w:tcPr>
                  <w:tcW w:w="844" w:type="pct"/>
                  <w:vAlign w:val="center"/>
                </w:tcPr>
                <w:p w14:paraId="209F9B6A">
                  <w:pPr>
                    <w:pStyle w:val="29"/>
                    <w:rPr>
                      <w:sz w:val="21"/>
                      <w:szCs w:val="21"/>
                    </w:rPr>
                  </w:pPr>
                  <w:r>
                    <w:rPr>
                      <w:sz w:val="21"/>
                      <w:szCs w:val="21"/>
                    </w:rPr>
                    <w:t>20</w:t>
                  </w:r>
                </w:p>
              </w:tc>
              <w:tc>
                <w:tcPr>
                  <w:tcW w:w="805" w:type="pct"/>
                  <w:vAlign w:val="center"/>
                </w:tcPr>
                <w:p w14:paraId="2619F984">
                  <w:pPr>
                    <w:pStyle w:val="29"/>
                    <w:rPr>
                      <w:sz w:val="21"/>
                      <w:szCs w:val="21"/>
                    </w:rPr>
                  </w:pPr>
                  <w:r>
                    <w:rPr>
                      <w:sz w:val="21"/>
                      <w:szCs w:val="21"/>
                    </w:rPr>
                    <w:t>/</w:t>
                  </w:r>
                </w:p>
              </w:tc>
              <w:tc>
                <w:tcPr>
                  <w:tcW w:w="821" w:type="pct"/>
                  <w:vMerge w:val="restart"/>
                  <w:vAlign w:val="center"/>
                </w:tcPr>
                <w:p w14:paraId="4D8605C8">
                  <w:pPr>
                    <w:pStyle w:val="29"/>
                    <w:rPr>
                      <w:sz w:val="21"/>
                      <w:szCs w:val="21"/>
                    </w:rPr>
                  </w:pPr>
                  <w:r>
                    <w:rPr>
                      <w:sz w:val="21"/>
                      <w:szCs w:val="21"/>
                    </w:rPr>
                    <w:t>烟囱或烟道</w:t>
                  </w:r>
                </w:p>
              </w:tc>
              <w:tc>
                <w:tcPr>
                  <w:tcW w:w="1735" w:type="pct"/>
                  <w:vMerge w:val="restart"/>
                  <w:vAlign w:val="center"/>
                </w:tcPr>
                <w:p w14:paraId="2998B8C7">
                  <w:pPr>
                    <w:pStyle w:val="29"/>
                    <w:rPr>
                      <w:sz w:val="21"/>
                      <w:szCs w:val="21"/>
                    </w:rPr>
                  </w:pPr>
                  <w:r>
                    <w:rPr>
                      <w:sz w:val="21"/>
                      <w:szCs w:val="21"/>
                    </w:rPr>
                    <w:t>《锅炉大气污染物排放标准》（GB13271-2014）表3规定的排放限值</w:t>
                  </w:r>
                </w:p>
              </w:tc>
            </w:tr>
            <w:tr w14:paraId="39D35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793" w:type="pct"/>
                  <w:vAlign w:val="center"/>
                </w:tcPr>
                <w:p w14:paraId="7C402789">
                  <w:pPr>
                    <w:pStyle w:val="29"/>
                    <w:rPr>
                      <w:sz w:val="21"/>
                      <w:szCs w:val="21"/>
                    </w:rPr>
                  </w:pPr>
                  <w:r>
                    <w:rPr>
                      <w:sz w:val="21"/>
                      <w:szCs w:val="21"/>
                    </w:rPr>
                    <w:t>二氧化硫</w:t>
                  </w:r>
                </w:p>
              </w:tc>
              <w:tc>
                <w:tcPr>
                  <w:tcW w:w="844" w:type="pct"/>
                  <w:vAlign w:val="center"/>
                </w:tcPr>
                <w:p w14:paraId="44399EAB">
                  <w:pPr>
                    <w:pStyle w:val="29"/>
                    <w:rPr>
                      <w:sz w:val="21"/>
                      <w:szCs w:val="21"/>
                    </w:rPr>
                  </w:pPr>
                  <w:r>
                    <w:rPr>
                      <w:sz w:val="21"/>
                      <w:szCs w:val="21"/>
                    </w:rPr>
                    <w:t>50</w:t>
                  </w:r>
                </w:p>
              </w:tc>
              <w:tc>
                <w:tcPr>
                  <w:tcW w:w="805" w:type="pct"/>
                  <w:vAlign w:val="center"/>
                </w:tcPr>
                <w:p w14:paraId="7188CF2C">
                  <w:pPr>
                    <w:pStyle w:val="29"/>
                    <w:rPr>
                      <w:sz w:val="21"/>
                      <w:szCs w:val="21"/>
                    </w:rPr>
                  </w:pPr>
                  <w:r>
                    <w:rPr>
                      <w:sz w:val="21"/>
                      <w:szCs w:val="21"/>
                    </w:rPr>
                    <w:t>/</w:t>
                  </w:r>
                </w:p>
              </w:tc>
              <w:tc>
                <w:tcPr>
                  <w:tcW w:w="821" w:type="pct"/>
                  <w:vMerge w:val="continue"/>
                  <w:vAlign w:val="center"/>
                </w:tcPr>
                <w:p w14:paraId="2880CF03">
                  <w:pPr>
                    <w:pStyle w:val="29"/>
                    <w:rPr>
                      <w:sz w:val="21"/>
                      <w:szCs w:val="21"/>
                    </w:rPr>
                  </w:pPr>
                </w:p>
              </w:tc>
              <w:tc>
                <w:tcPr>
                  <w:tcW w:w="1735" w:type="pct"/>
                  <w:vMerge w:val="continue"/>
                  <w:vAlign w:val="center"/>
                </w:tcPr>
                <w:p w14:paraId="70925BA9">
                  <w:pPr>
                    <w:pStyle w:val="29"/>
                    <w:rPr>
                      <w:sz w:val="21"/>
                      <w:szCs w:val="21"/>
                    </w:rPr>
                  </w:pPr>
                </w:p>
              </w:tc>
            </w:tr>
            <w:tr w14:paraId="0E315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 w:type="pct"/>
                  <w:vAlign w:val="center"/>
                </w:tcPr>
                <w:p w14:paraId="7CBF81CE">
                  <w:pPr>
                    <w:pStyle w:val="56"/>
                    <w:rPr>
                      <w:sz w:val="21"/>
                      <w:szCs w:val="21"/>
                    </w:rPr>
                  </w:pPr>
                  <w:r>
                    <w:rPr>
                      <w:sz w:val="21"/>
                      <w:szCs w:val="21"/>
                    </w:rPr>
                    <w:t>烟气黑度</w:t>
                  </w:r>
                </w:p>
              </w:tc>
              <w:tc>
                <w:tcPr>
                  <w:tcW w:w="844" w:type="pct"/>
                  <w:vAlign w:val="center"/>
                </w:tcPr>
                <w:p w14:paraId="59E3C8DA">
                  <w:pPr>
                    <w:pStyle w:val="56"/>
                    <w:rPr>
                      <w:sz w:val="21"/>
                      <w:szCs w:val="21"/>
                    </w:rPr>
                  </w:pPr>
                  <w:r>
                    <w:rPr>
                      <w:sz w:val="21"/>
                      <w:szCs w:val="21"/>
                    </w:rPr>
                    <w:t>1级</w:t>
                  </w:r>
                </w:p>
              </w:tc>
              <w:tc>
                <w:tcPr>
                  <w:tcW w:w="805" w:type="pct"/>
                  <w:vAlign w:val="center"/>
                </w:tcPr>
                <w:p w14:paraId="129D2758">
                  <w:pPr>
                    <w:pStyle w:val="29"/>
                    <w:rPr>
                      <w:sz w:val="21"/>
                      <w:szCs w:val="21"/>
                    </w:rPr>
                  </w:pPr>
                  <w:r>
                    <w:rPr>
                      <w:sz w:val="21"/>
                      <w:szCs w:val="21"/>
                    </w:rPr>
                    <w:t>/</w:t>
                  </w:r>
                </w:p>
              </w:tc>
              <w:tc>
                <w:tcPr>
                  <w:tcW w:w="821" w:type="pct"/>
                  <w:vMerge w:val="continue"/>
                  <w:vAlign w:val="center"/>
                </w:tcPr>
                <w:p w14:paraId="31FB0DC5">
                  <w:pPr>
                    <w:pStyle w:val="29"/>
                    <w:rPr>
                      <w:sz w:val="21"/>
                      <w:szCs w:val="21"/>
                    </w:rPr>
                  </w:pPr>
                </w:p>
              </w:tc>
              <w:tc>
                <w:tcPr>
                  <w:tcW w:w="1735" w:type="pct"/>
                  <w:vMerge w:val="continue"/>
                  <w:vAlign w:val="center"/>
                </w:tcPr>
                <w:p w14:paraId="074C1E41">
                  <w:pPr>
                    <w:pStyle w:val="29"/>
                    <w:rPr>
                      <w:sz w:val="21"/>
                      <w:szCs w:val="21"/>
                    </w:rPr>
                  </w:pPr>
                </w:p>
              </w:tc>
            </w:tr>
            <w:tr w14:paraId="17C35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 w:type="pct"/>
                  <w:vAlign w:val="center"/>
                </w:tcPr>
                <w:p w14:paraId="15A4C201">
                  <w:pPr>
                    <w:pStyle w:val="29"/>
                    <w:rPr>
                      <w:sz w:val="21"/>
                      <w:szCs w:val="21"/>
                    </w:rPr>
                  </w:pPr>
                  <w:r>
                    <w:rPr>
                      <w:sz w:val="21"/>
                      <w:szCs w:val="21"/>
                    </w:rPr>
                    <w:t>氮氧化物</w:t>
                  </w:r>
                </w:p>
              </w:tc>
              <w:tc>
                <w:tcPr>
                  <w:tcW w:w="844" w:type="pct"/>
                  <w:vAlign w:val="center"/>
                </w:tcPr>
                <w:p w14:paraId="6CB36572">
                  <w:pPr>
                    <w:pStyle w:val="29"/>
                    <w:rPr>
                      <w:sz w:val="21"/>
                      <w:szCs w:val="21"/>
                    </w:rPr>
                  </w:pPr>
                  <w:r>
                    <w:rPr>
                      <w:sz w:val="21"/>
                      <w:szCs w:val="21"/>
                    </w:rPr>
                    <w:t>50</w:t>
                  </w:r>
                </w:p>
              </w:tc>
              <w:tc>
                <w:tcPr>
                  <w:tcW w:w="805" w:type="pct"/>
                  <w:vAlign w:val="center"/>
                </w:tcPr>
                <w:p w14:paraId="3947B263">
                  <w:pPr>
                    <w:pStyle w:val="29"/>
                    <w:rPr>
                      <w:sz w:val="21"/>
                      <w:szCs w:val="21"/>
                    </w:rPr>
                  </w:pPr>
                  <w:r>
                    <w:rPr>
                      <w:sz w:val="21"/>
                      <w:szCs w:val="21"/>
                    </w:rPr>
                    <w:t>/</w:t>
                  </w:r>
                </w:p>
              </w:tc>
              <w:tc>
                <w:tcPr>
                  <w:tcW w:w="821" w:type="pct"/>
                  <w:vMerge w:val="continue"/>
                  <w:vAlign w:val="center"/>
                </w:tcPr>
                <w:p w14:paraId="0E935011">
                  <w:pPr>
                    <w:pStyle w:val="29"/>
                    <w:rPr>
                      <w:sz w:val="21"/>
                      <w:szCs w:val="21"/>
                    </w:rPr>
                  </w:pPr>
                </w:p>
              </w:tc>
              <w:tc>
                <w:tcPr>
                  <w:tcW w:w="1735" w:type="pct"/>
                  <w:vAlign w:val="center"/>
                </w:tcPr>
                <w:p w14:paraId="44735652">
                  <w:pPr>
                    <w:pStyle w:val="29"/>
                    <w:rPr>
                      <w:sz w:val="21"/>
                      <w:szCs w:val="21"/>
                    </w:rPr>
                  </w:pPr>
                  <w:r>
                    <w:rPr>
                      <w:sz w:val="21"/>
                      <w:szCs w:val="21"/>
                    </w:rPr>
                    <w:t>《</w:t>
                  </w:r>
                  <w:r>
                    <w:rPr>
                      <w:sz w:val="21"/>
                      <w:szCs w:val="21"/>
                    </w:rPr>
                    <w:fldChar w:fldCharType="begin"/>
                  </w:r>
                  <w:r>
                    <w:rPr>
                      <w:sz w:val="21"/>
                      <w:szCs w:val="21"/>
                    </w:rPr>
                    <w:instrText xml:space="preserve"> HYPERLINK "http://www.baidu.com/link?url=ZNNe43pOS2hRtv6tvIPL0nhKjK4JzdCxG8ZBr44EV4BLFlLxV611XcUnOXfTyrrPDW1LQ2nx-TphXw8zrobo0f4BdvCDr4NAKh9xB48tXiBrY2ySJe9rdXEUxmFL4t2RRc8G6mrXQfqDzqgRozxRUK" \t "https://www.baidu.com/_blank" </w:instrText>
                  </w:r>
                  <w:r>
                    <w:rPr>
                      <w:sz w:val="21"/>
                      <w:szCs w:val="21"/>
                    </w:rPr>
                    <w:fldChar w:fldCharType="separate"/>
                  </w:r>
                  <w:r>
                    <w:rPr>
                      <w:sz w:val="21"/>
                      <w:szCs w:val="21"/>
                    </w:rPr>
                    <w:t>安徽省大气办关于印发</w:t>
                  </w:r>
                  <w:r>
                    <w:rPr>
                      <w:sz w:val="21"/>
                      <w:szCs w:val="21"/>
                    </w:rPr>
                    <w:fldChar w:fldCharType="end"/>
                  </w:r>
                  <w:r>
                    <w:rPr>
                      <w:sz w:val="21"/>
                      <w:szCs w:val="21"/>
                    </w:rPr>
                    <w:t xml:space="preserve">&lt;安徽省2020年大气污染防治重点工作任务&gt;的通知》 </w:t>
                  </w:r>
                </w:p>
              </w:tc>
            </w:tr>
          </w:tbl>
          <w:p w14:paraId="3D403244">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3-6 本项目无组织污染物排放执行标准限值</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3"/>
              <w:gridCol w:w="1435"/>
              <w:gridCol w:w="1365"/>
              <w:gridCol w:w="1365"/>
              <w:gridCol w:w="2264"/>
            </w:tblGrid>
            <w:tr w14:paraId="281FA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Align w:val="center"/>
                </w:tcPr>
                <w:p w14:paraId="62D523E8">
                  <w:pPr>
                    <w:pStyle w:val="29"/>
                    <w:rPr>
                      <w:b/>
                      <w:bCs/>
                      <w:sz w:val="21"/>
                      <w:szCs w:val="21"/>
                    </w:rPr>
                  </w:pPr>
                  <w:r>
                    <w:rPr>
                      <w:b/>
                      <w:bCs/>
                      <w:sz w:val="21"/>
                      <w:szCs w:val="21"/>
                    </w:rPr>
                    <w:t>污染物</w:t>
                  </w:r>
                </w:p>
              </w:tc>
              <w:tc>
                <w:tcPr>
                  <w:tcW w:w="968" w:type="pct"/>
                  <w:vAlign w:val="center"/>
                </w:tcPr>
                <w:p w14:paraId="25CF66E1">
                  <w:pPr>
                    <w:pStyle w:val="29"/>
                    <w:rPr>
                      <w:b/>
                      <w:bCs/>
                      <w:sz w:val="21"/>
                      <w:szCs w:val="21"/>
                    </w:rPr>
                  </w:pPr>
                  <w:r>
                    <w:rPr>
                      <w:b/>
                      <w:bCs/>
                      <w:sz w:val="21"/>
                      <w:szCs w:val="21"/>
                    </w:rPr>
                    <w:t>排放限值（mg/m</w:t>
                  </w:r>
                  <w:r>
                    <w:rPr>
                      <w:b/>
                      <w:bCs/>
                      <w:sz w:val="21"/>
                      <w:szCs w:val="21"/>
                      <w:vertAlign w:val="superscript"/>
                    </w:rPr>
                    <w:t>3</w:t>
                  </w:r>
                  <w:r>
                    <w:rPr>
                      <w:b/>
                      <w:bCs/>
                      <w:sz w:val="21"/>
                      <w:szCs w:val="21"/>
                    </w:rPr>
                    <w:t>）</w:t>
                  </w:r>
                </w:p>
              </w:tc>
              <w:tc>
                <w:tcPr>
                  <w:tcW w:w="923" w:type="pct"/>
                  <w:vAlign w:val="center"/>
                </w:tcPr>
                <w:p w14:paraId="20AA9949">
                  <w:pPr>
                    <w:pStyle w:val="29"/>
                    <w:rPr>
                      <w:b/>
                      <w:bCs/>
                      <w:sz w:val="21"/>
                      <w:szCs w:val="21"/>
                    </w:rPr>
                  </w:pPr>
                  <w:r>
                    <w:rPr>
                      <w:b/>
                      <w:bCs/>
                      <w:sz w:val="21"/>
                      <w:szCs w:val="21"/>
                    </w:rPr>
                    <w:t>限值含义</w:t>
                  </w:r>
                </w:p>
              </w:tc>
              <w:tc>
                <w:tcPr>
                  <w:tcW w:w="923" w:type="pct"/>
                  <w:vAlign w:val="center"/>
                </w:tcPr>
                <w:p w14:paraId="4BC74D4D">
                  <w:pPr>
                    <w:pStyle w:val="29"/>
                    <w:rPr>
                      <w:b/>
                      <w:bCs/>
                      <w:sz w:val="21"/>
                      <w:szCs w:val="21"/>
                    </w:rPr>
                  </w:pPr>
                  <w:r>
                    <w:rPr>
                      <w:b/>
                      <w:bCs/>
                      <w:sz w:val="21"/>
                      <w:szCs w:val="21"/>
                    </w:rPr>
                    <w:t>无组织排放监控位置</w:t>
                  </w:r>
                </w:p>
              </w:tc>
              <w:tc>
                <w:tcPr>
                  <w:tcW w:w="1262" w:type="pct"/>
                  <w:vAlign w:val="center"/>
                </w:tcPr>
                <w:p w14:paraId="37ED5D43">
                  <w:pPr>
                    <w:pStyle w:val="29"/>
                    <w:rPr>
                      <w:b/>
                      <w:bCs/>
                      <w:sz w:val="21"/>
                      <w:szCs w:val="21"/>
                    </w:rPr>
                  </w:pPr>
                  <w:r>
                    <w:rPr>
                      <w:b/>
                      <w:bCs/>
                      <w:sz w:val="21"/>
                      <w:szCs w:val="21"/>
                    </w:rPr>
                    <w:t>执行标准</w:t>
                  </w:r>
                </w:p>
              </w:tc>
            </w:tr>
            <w:tr w14:paraId="2A6B0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Align w:val="center"/>
                </w:tcPr>
                <w:p w14:paraId="618E7787">
                  <w:pPr>
                    <w:pStyle w:val="29"/>
                    <w:rPr>
                      <w:sz w:val="21"/>
                      <w:szCs w:val="21"/>
                    </w:rPr>
                  </w:pPr>
                  <w:r>
                    <w:rPr>
                      <w:sz w:val="21"/>
                      <w:szCs w:val="21"/>
                    </w:rPr>
                    <w:t>颗粒物</w:t>
                  </w:r>
                </w:p>
              </w:tc>
              <w:tc>
                <w:tcPr>
                  <w:tcW w:w="968" w:type="pct"/>
                  <w:vAlign w:val="center"/>
                </w:tcPr>
                <w:p w14:paraId="318C6CE1">
                  <w:pPr>
                    <w:pStyle w:val="29"/>
                    <w:rPr>
                      <w:sz w:val="21"/>
                      <w:szCs w:val="21"/>
                    </w:rPr>
                  </w:pPr>
                  <w:r>
                    <w:rPr>
                      <w:sz w:val="21"/>
                      <w:szCs w:val="21"/>
                    </w:rPr>
                    <w:t>1.0</w:t>
                  </w:r>
                </w:p>
              </w:tc>
              <w:tc>
                <w:tcPr>
                  <w:tcW w:w="923" w:type="pct"/>
                  <w:vAlign w:val="center"/>
                </w:tcPr>
                <w:p w14:paraId="7339D0B9">
                  <w:pPr>
                    <w:pStyle w:val="29"/>
                    <w:rPr>
                      <w:sz w:val="21"/>
                      <w:szCs w:val="21"/>
                    </w:rPr>
                  </w:pPr>
                  <w:r>
                    <w:rPr>
                      <w:sz w:val="21"/>
                      <w:szCs w:val="21"/>
                    </w:rPr>
                    <w:t>周界外浓度最高点</w:t>
                  </w:r>
                </w:p>
              </w:tc>
              <w:tc>
                <w:tcPr>
                  <w:tcW w:w="923" w:type="pct"/>
                  <w:vAlign w:val="center"/>
                </w:tcPr>
                <w:p w14:paraId="0C093302">
                  <w:pPr>
                    <w:pStyle w:val="29"/>
                    <w:rPr>
                      <w:sz w:val="21"/>
                      <w:szCs w:val="21"/>
                    </w:rPr>
                  </w:pPr>
                  <w:r>
                    <w:rPr>
                      <w:sz w:val="21"/>
                      <w:szCs w:val="21"/>
                    </w:rPr>
                    <w:t>厂界</w:t>
                  </w:r>
                </w:p>
              </w:tc>
              <w:tc>
                <w:tcPr>
                  <w:tcW w:w="1262" w:type="pct"/>
                  <w:vMerge w:val="restart"/>
                  <w:vAlign w:val="center"/>
                </w:tcPr>
                <w:p w14:paraId="57F6997C">
                  <w:pPr>
                    <w:pStyle w:val="29"/>
                    <w:rPr>
                      <w:sz w:val="21"/>
                      <w:szCs w:val="21"/>
                    </w:rPr>
                  </w:pPr>
                  <w:r>
                    <w:rPr>
                      <w:sz w:val="21"/>
                      <w:szCs w:val="21"/>
                    </w:rPr>
                    <w:t>《大气污染物综合排放标准》（GB16297-1996）</w:t>
                  </w:r>
                </w:p>
              </w:tc>
            </w:tr>
            <w:tr w14:paraId="1DD32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Align w:val="center"/>
                </w:tcPr>
                <w:p w14:paraId="671F0606">
                  <w:pPr>
                    <w:pStyle w:val="29"/>
                    <w:rPr>
                      <w:sz w:val="21"/>
                      <w:szCs w:val="21"/>
                    </w:rPr>
                  </w:pPr>
                  <w:r>
                    <w:rPr>
                      <w:sz w:val="21"/>
                      <w:szCs w:val="21"/>
                    </w:rPr>
                    <w:t>非甲烷总烃</w:t>
                  </w:r>
                </w:p>
              </w:tc>
              <w:tc>
                <w:tcPr>
                  <w:tcW w:w="968" w:type="pct"/>
                  <w:vAlign w:val="center"/>
                </w:tcPr>
                <w:p w14:paraId="2C36F118">
                  <w:pPr>
                    <w:pStyle w:val="29"/>
                    <w:rPr>
                      <w:sz w:val="21"/>
                      <w:szCs w:val="21"/>
                    </w:rPr>
                  </w:pPr>
                  <w:r>
                    <w:rPr>
                      <w:sz w:val="21"/>
                      <w:szCs w:val="21"/>
                    </w:rPr>
                    <w:t>4.0</w:t>
                  </w:r>
                </w:p>
              </w:tc>
              <w:tc>
                <w:tcPr>
                  <w:tcW w:w="923" w:type="pct"/>
                  <w:vAlign w:val="center"/>
                </w:tcPr>
                <w:p w14:paraId="52CBE22F">
                  <w:pPr>
                    <w:pStyle w:val="29"/>
                    <w:rPr>
                      <w:sz w:val="21"/>
                      <w:szCs w:val="21"/>
                    </w:rPr>
                  </w:pPr>
                  <w:r>
                    <w:rPr>
                      <w:sz w:val="21"/>
                      <w:szCs w:val="21"/>
                    </w:rPr>
                    <w:t>周界外浓度最高点</w:t>
                  </w:r>
                </w:p>
              </w:tc>
              <w:tc>
                <w:tcPr>
                  <w:tcW w:w="923" w:type="pct"/>
                  <w:vAlign w:val="center"/>
                </w:tcPr>
                <w:p w14:paraId="72B11550">
                  <w:pPr>
                    <w:pStyle w:val="29"/>
                    <w:rPr>
                      <w:sz w:val="21"/>
                      <w:szCs w:val="21"/>
                    </w:rPr>
                  </w:pPr>
                  <w:r>
                    <w:rPr>
                      <w:sz w:val="21"/>
                      <w:szCs w:val="21"/>
                    </w:rPr>
                    <w:t>厂界</w:t>
                  </w:r>
                </w:p>
              </w:tc>
              <w:tc>
                <w:tcPr>
                  <w:tcW w:w="1262" w:type="pct"/>
                  <w:vMerge w:val="continue"/>
                  <w:vAlign w:val="center"/>
                </w:tcPr>
                <w:p w14:paraId="0E8BA204">
                  <w:pPr>
                    <w:pStyle w:val="29"/>
                    <w:rPr>
                      <w:sz w:val="21"/>
                      <w:szCs w:val="21"/>
                    </w:rPr>
                  </w:pPr>
                </w:p>
              </w:tc>
            </w:tr>
            <w:tr w14:paraId="4B5FA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Merge w:val="restart"/>
                  <w:vAlign w:val="center"/>
                </w:tcPr>
                <w:p w14:paraId="47CB92AB">
                  <w:pPr>
                    <w:pStyle w:val="29"/>
                    <w:rPr>
                      <w:sz w:val="21"/>
                      <w:szCs w:val="21"/>
                    </w:rPr>
                  </w:pPr>
                  <w:r>
                    <w:rPr>
                      <w:sz w:val="21"/>
                      <w:szCs w:val="21"/>
                    </w:rPr>
                    <w:t>非甲烷总烃</w:t>
                  </w:r>
                </w:p>
              </w:tc>
              <w:tc>
                <w:tcPr>
                  <w:tcW w:w="968" w:type="pct"/>
                  <w:vAlign w:val="center"/>
                </w:tcPr>
                <w:p w14:paraId="67C686F5">
                  <w:pPr>
                    <w:pStyle w:val="29"/>
                    <w:rPr>
                      <w:sz w:val="21"/>
                      <w:szCs w:val="21"/>
                    </w:rPr>
                  </w:pPr>
                  <w:r>
                    <w:rPr>
                      <w:sz w:val="21"/>
                      <w:szCs w:val="21"/>
                    </w:rPr>
                    <w:t>6</w:t>
                  </w:r>
                </w:p>
              </w:tc>
              <w:tc>
                <w:tcPr>
                  <w:tcW w:w="923" w:type="pct"/>
                  <w:vAlign w:val="center"/>
                </w:tcPr>
                <w:p w14:paraId="463440DE">
                  <w:pPr>
                    <w:pStyle w:val="29"/>
                    <w:rPr>
                      <w:sz w:val="21"/>
                      <w:szCs w:val="21"/>
                    </w:rPr>
                  </w:pPr>
                  <w:r>
                    <w:rPr>
                      <w:sz w:val="21"/>
                      <w:szCs w:val="21"/>
                    </w:rPr>
                    <w:t>监控点处1h平均浓度值</w:t>
                  </w:r>
                </w:p>
              </w:tc>
              <w:tc>
                <w:tcPr>
                  <w:tcW w:w="923" w:type="pct"/>
                  <w:vMerge w:val="restart"/>
                  <w:vAlign w:val="center"/>
                </w:tcPr>
                <w:p w14:paraId="5DA952A6">
                  <w:pPr>
                    <w:pStyle w:val="29"/>
                    <w:rPr>
                      <w:sz w:val="21"/>
                      <w:szCs w:val="21"/>
                    </w:rPr>
                  </w:pPr>
                  <w:r>
                    <w:rPr>
                      <w:sz w:val="21"/>
                      <w:szCs w:val="21"/>
                    </w:rPr>
                    <w:t>在厂房外设置监控点</w:t>
                  </w:r>
                </w:p>
              </w:tc>
              <w:tc>
                <w:tcPr>
                  <w:tcW w:w="1262" w:type="pct"/>
                  <w:vMerge w:val="restart"/>
                  <w:vAlign w:val="center"/>
                </w:tcPr>
                <w:p w14:paraId="43D48784">
                  <w:pPr>
                    <w:pStyle w:val="29"/>
                    <w:rPr>
                      <w:sz w:val="21"/>
                      <w:szCs w:val="21"/>
                    </w:rPr>
                  </w:pPr>
                  <w:r>
                    <w:rPr>
                      <w:sz w:val="21"/>
                      <w:szCs w:val="21"/>
                    </w:rPr>
                    <w:t>《固定源挥发性有机物综合排放标准  第4部分：印刷工业》（DB34/4812.4-2024）</w:t>
                  </w:r>
                </w:p>
              </w:tc>
            </w:tr>
            <w:tr w14:paraId="3067D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Merge w:val="continue"/>
                  <w:vAlign w:val="center"/>
                </w:tcPr>
                <w:p w14:paraId="303B3C01">
                  <w:pPr>
                    <w:pStyle w:val="29"/>
                    <w:rPr>
                      <w:sz w:val="21"/>
                      <w:szCs w:val="21"/>
                    </w:rPr>
                  </w:pPr>
                </w:p>
              </w:tc>
              <w:tc>
                <w:tcPr>
                  <w:tcW w:w="968" w:type="pct"/>
                  <w:vAlign w:val="center"/>
                </w:tcPr>
                <w:p w14:paraId="6B79D172">
                  <w:pPr>
                    <w:pStyle w:val="29"/>
                    <w:rPr>
                      <w:sz w:val="21"/>
                      <w:szCs w:val="21"/>
                    </w:rPr>
                  </w:pPr>
                  <w:r>
                    <w:rPr>
                      <w:sz w:val="21"/>
                      <w:szCs w:val="21"/>
                    </w:rPr>
                    <w:t>20</w:t>
                  </w:r>
                </w:p>
              </w:tc>
              <w:tc>
                <w:tcPr>
                  <w:tcW w:w="923" w:type="pct"/>
                  <w:vAlign w:val="center"/>
                </w:tcPr>
                <w:p w14:paraId="3B64EF83">
                  <w:pPr>
                    <w:pStyle w:val="29"/>
                    <w:rPr>
                      <w:sz w:val="21"/>
                      <w:szCs w:val="21"/>
                    </w:rPr>
                  </w:pPr>
                  <w:r>
                    <w:rPr>
                      <w:sz w:val="21"/>
                      <w:szCs w:val="21"/>
                    </w:rPr>
                    <w:t>监控点处任意一次浓度值</w:t>
                  </w:r>
                </w:p>
              </w:tc>
              <w:tc>
                <w:tcPr>
                  <w:tcW w:w="923" w:type="pct"/>
                  <w:vMerge w:val="continue"/>
                  <w:vAlign w:val="center"/>
                </w:tcPr>
                <w:p w14:paraId="2A453A0D">
                  <w:pPr>
                    <w:pStyle w:val="29"/>
                    <w:rPr>
                      <w:sz w:val="21"/>
                      <w:szCs w:val="21"/>
                    </w:rPr>
                  </w:pPr>
                </w:p>
              </w:tc>
              <w:tc>
                <w:tcPr>
                  <w:tcW w:w="1262" w:type="pct"/>
                  <w:vMerge w:val="continue"/>
                  <w:vAlign w:val="center"/>
                </w:tcPr>
                <w:p w14:paraId="3CD0C6CF">
                  <w:pPr>
                    <w:pStyle w:val="29"/>
                    <w:rPr>
                      <w:sz w:val="21"/>
                      <w:szCs w:val="21"/>
                    </w:rPr>
                  </w:pPr>
                </w:p>
              </w:tc>
            </w:tr>
            <w:tr w14:paraId="3157B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22" w:type="pct"/>
                  <w:vAlign w:val="center"/>
                </w:tcPr>
                <w:p w14:paraId="1A627C99">
                  <w:pPr>
                    <w:pStyle w:val="29"/>
                    <w:rPr>
                      <w:sz w:val="21"/>
                      <w:szCs w:val="21"/>
                    </w:rPr>
                  </w:pPr>
                  <w:r>
                    <w:rPr>
                      <w:sz w:val="21"/>
                      <w:szCs w:val="21"/>
                    </w:rPr>
                    <w:t>二氧化硫</w:t>
                  </w:r>
                </w:p>
              </w:tc>
              <w:tc>
                <w:tcPr>
                  <w:tcW w:w="968" w:type="pct"/>
                  <w:vAlign w:val="center"/>
                </w:tcPr>
                <w:p w14:paraId="4F52C423">
                  <w:pPr>
                    <w:pStyle w:val="29"/>
                    <w:rPr>
                      <w:sz w:val="21"/>
                      <w:szCs w:val="21"/>
                    </w:rPr>
                  </w:pPr>
                  <w:r>
                    <w:rPr>
                      <w:sz w:val="21"/>
                      <w:szCs w:val="21"/>
                    </w:rPr>
                    <w:t>0.4</w:t>
                  </w:r>
                </w:p>
              </w:tc>
              <w:tc>
                <w:tcPr>
                  <w:tcW w:w="923" w:type="pct"/>
                  <w:vAlign w:val="center"/>
                </w:tcPr>
                <w:p w14:paraId="353B424A">
                  <w:pPr>
                    <w:pStyle w:val="29"/>
                    <w:rPr>
                      <w:sz w:val="21"/>
                      <w:szCs w:val="21"/>
                    </w:rPr>
                  </w:pPr>
                  <w:r>
                    <w:rPr>
                      <w:sz w:val="21"/>
                      <w:szCs w:val="21"/>
                    </w:rPr>
                    <w:t>周界外浓度最高点</w:t>
                  </w:r>
                </w:p>
              </w:tc>
              <w:tc>
                <w:tcPr>
                  <w:tcW w:w="923" w:type="pct"/>
                  <w:vAlign w:val="center"/>
                </w:tcPr>
                <w:p w14:paraId="3D6AE6FA">
                  <w:pPr>
                    <w:pStyle w:val="29"/>
                    <w:rPr>
                      <w:sz w:val="21"/>
                      <w:szCs w:val="21"/>
                    </w:rPr>
                  </w:pPr>
                  <w:r>
                    <w:rPr>
                      <w:sz w:val="21"/>
                      <w:szCs w:val="21"/>
                    </w:rPr>
                    <w:t>厂界</w:t>
                  </w:r>
                </w:p>
              </w:tc>
              <w:tc>
                <w:tcPr>
                  <w:tcW w:w="1262" w:type="pct"/>
                  <w:vMerge w:val="restart"/>
                  <w:vAlign w:val="center"/>
                </w:tcPr>
                <w:p w14:paraId="492BD358">
                  <w:pPr>
                    <w:pStyle w:val="29"/>
                    <w:rPr>
                      <w:sz w:val="21"/>
                      <w:szCs w:val="21"/>
                    </w:rPr>
                  </w:pPr>
                  <w:r>
                    <w:rPr>
                      <w:sz w:val="21"/>
                      <w:szCs w:val="21"/>
                    </w:rPr>
                    <w:t>《大气污染物综合排放标准》（GB16297-1996）</w:t>
                  </w:r>
                </w:p>
              </w:tc>
            </w:tr>
            <w:tr w14:paraId="03809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 w:type="pct"/>
                  <w:vAlign w:val="center"/>
                </w:tcPr>
                <w:p w14:paraId="0E37AF14">
                  <w:pPr>
                    <w:pStyle w:val="29"/>
                    <w:rPr>
                      <w:sz w:val="21"/>
                      <w:szCs w:val="21"/>
                    </w:rPr>
                  </w:pPr>
                  <w:r>
                    <w:rPr>
                      <w:sz w:val="21"/>
                      <w:szCs w:val="21"/>
                    </w:rPr>
                    <w:t>氮氧化物</w:t>
                  </w:r>
                </w:p>
              </w:tc>
              <w:tc>
                <w:tcPr>
                  <w:tcW w:w="968" w:type="pct"/>
                  <w:vAlign w:val="center"/>
                </w:tcPr>
                <w:p w14:paraId="09444E49">
                  <w:pPr>
                    <w:pStyle w:val="29"/>
                    <w:rPr>
                      <w:sz w:val="21"/>
                      <w:szCs w:val="21"/>
                    </w:rPr>
                  </w:pPr>
                  <w:r>
                    <w:rPr>
                      <w:sz w:val="21"/>
                      <w:szCs w:val="21"/>
                    </w:rPr>
                    <w:t>0.12</w:t>
                  </w:r>
                </w:p>
              </w:tc>
              <w:tc>
                <w:tcPr>
                  <w:tcW w:w="923" w:type="pct"/>
                  <w:vAlign w:val="center"/>
                </w:tcPr>
                <w:p w14:paraId="1C7C0CF4">
                  <w:pPr>
                    <w:pStyle w:val="29"/>
                    <w:rPr>
                      <w:sz w:val="21"/>
                      <w:szCs w:val="21"/>
                    </w:rPr>
                  </w:pPr>
                  <w:r>
                    <w:rPr>
                      <w:sz w:val="21"/>
                      <w:szCs w:val="21"/>
                    </w:rPr>
                    <w:t>周界外浓度最高点</w:t>
                  </w:r>
                </w:p>
              </w:tc>
              <w:tc>
                <w:tcPr>
                  <w:tcW w:w="923" w:type="pct"/>
                  <w:vAlign w:val="center"/>
                </w:tcPr>
                <w:p w14:paraId="5E09BC96">
                  <w:pPr>
                    <w:pStyle w:val="29"/>
                    <w:rPr>
                      <w:sz w:val="21"/>
                      <w:szCs w:val="21"/>
                    </w:rPr>
                  </w:pPr>
                  <w:r>
                    <w:rPr>
                      <w:sz w:val="21"/>
                      <w:szCs w:val="21"/>
                    </w:rPr>
                    <w:t>厂界</w:t>
                  </w:r>
                </w:p>
              </w:tc>
              <w:tc>
                <w:tcPr>
                  <w:tcW w:w="1262" w:type="pct"/>
                  <w:vMerge w:val="continue"/>
                  <w:vAlign w:val="center"/>
                </w:tcPr>
                <w:p w14:paraId="3694BF6D">
                  <w:pPr>
                    <w:pStyle w:val="29"/>
                    <w:rPr>
                      <w:sz w:val="21"/>
                      <w:szCs w:val="21"/>
                    </w:rPr>
                  </w:pPr>
                </w:p>
              </w:tc>
            </w:tr>
          </w:tbl>
          <w:p w14:paraId="3F2D674D">
            <w:pPr>
              <w:spacing w:line="460" w:lineRule="exact"/>
              <w:jc w:val="center"/>
              <w:rPr>
                <w:rFonts w:hint="default" w:ascii="Times New Roman" w:hAnsi="Times New Roman" w:cs="Times New Roman"/>
                <w:b/>
                <w:kern w:val="0"/>
                <w:sz w:val="21"/>
                <w:szCs w:val="22"/>
                <w:lang w:bidi="en-US"/>
              </w:rPr>
            </w:pPr>
            <w:r>
              <w:rPr>
                <w:rFonts w:hint="default" w:ascii="Times New Roman" w:hAnsi="Times New Roman" w:cs="Times New Roman"/>
                <w:b/>
                <w:kern w:val="0"/>
                <w:sz w:val="21"/>
                <w:szCs w:val="22"/>
                <w:lang w:bidi="en-US"/>
              </w:rPr>
              <w:t>表3-</w:t>
            </w:r>
            <w:r>
              <w:rPr>
                <w:rFonts w:hint="default" w:ascii="Times New Roman" w:hAnsi="Times New Roman" w:cs="Times New Roman"/>
                <w:b/>
                <w:kern w:val="0"/>
                <w:sz w:val="21"/>
                <w:szCs w:val="22"/>
                <w:lang w:val="en-US" w:eastAsia="zh-CN" w:bidi="en-US"/>
              </w:rPr>
              <w:t>7</w:t>
            </w:r>
            <w:r>
              <w:rPr>
                <w:rFonts w:hint="default" w:ascii="Times New Roman" w:hAnsi="Times New Roman" w:cs="Times New Roman"/>
                <w:b/>
                <w:kern w:val="0"/>
                <w:sz w:val="21"/>
                <w:szCs w:val="22"/>
                <w:lang w:bidi="en-US"/>
              </w:rPr>
              <w:t xml:space="preserve"> 《饮食业油烟排放标准(试行)》（GB18483-2001）</w:t>
            </w:r>
          </w:p>
          <w:tbl>
            <w:tblPr>
              <w:tblStyle w:val="21"/>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545"/>
              <w:gridCol w:w="1600"/>
              <w:gridCol w:w="1532"/>
            </w:tblGrid>
            <w:tr w14:paraId="1C9E8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4BE0D58E">
                  <w:pPr>
                    <w:widowControl/>
                    <w:adjustRightInd w:val="0"/>
                    <w:snapToGrid w:val="0"/>
                    <w:spacing w:line="240" w:lineRule="auto"/>
                    <w:jc w:val="center"/>
                    <w:rPr>
                      <w:rFonts w:cs="Times New Roman"/>
                      <w:b/>
                      <w:bCs/>
                      <w:sz w:val="21"/>
                      <w:szCs w:val="21"/>
                      <w:lang w:val="zh-CN"/>
                    </w:rPr>
                  </w:pPr>
                  <w:r>
                    <w:rPr>
                      <w:rFonts w:cs="Times New Roman"/>
                      <w:b/>
                      <w:bCs/>
                      <w:sz w:val="21"/>
                      <w:szCs w:val="21"/>
                      <w:lang w:val="zh-CN"/>
                    </w:rPr>
                    <w:t>规 模</w:t>
                  </w:r>
                </w:p>
              </w:tc>
              <w:tc>
                <w:tcPr>
                  <w:tcW w:w="1595" w:type="dxa"/>
                  <w:vAlign w:val="center"/>
                </w:tcPr>
                <w:p w14:paraId="0B6D8799">
                  <w:pPr>
                    <w:widowControl/>
                    <w:adjustRightInd w:val="0"/>
                    <w:snapToGrid w:val="0"/>
                    <w:spacing w:line="240" w:lineRule="auto"/>
                    <w:jc w:val="center"/>
                    <w:rPr>
                      <w:rFonts w:cs="Times New Roman"/>
                      <w:b/>
                      <w:bCs/>
                      <w:sz w:val="21"/>
                      <w:szCs w:val="21"/>
                      <w:lang w:val="zh-CN"/>
                    </w:rPr>
                  </w:pPr>
                  <w:r>
                    <w:rPr>
                      <w:rFonts w:cs="Times New Roman"/>
                      <w:b/>
                      <w:bCs/>
                      <w:sz w:val="21"/>
                      <w:szCs w:val="21"/>
                      <w:lang w:val="zh-CN"/>
                    </w:rPr>
                    <w:t>小 型</w:t>
                  </w:r>
                </w:p>
              </w:tc>
              <w:tc>
                <w:tcPr>
                  <w:tcW w:w="1631" w:type="dxa"/>
                  <w:vAlign w:val="center"/>
                </w:tcPr>
                <w:p w14:paraId="03F7B85A">
                  <w:pPr>
                    <w:widowControl/>
                    <w:adjustRightInd w:val="0"/>
                    <w:snapToGrid w:val="0"/>
                    <w:spacing w:line="240" w:lineRule="auto"/>
                    <w:jc w:val="center"/>
                    <w:rPr>
                      <w:rFonts w:cs="Times New Roman"/>
                      <w:b/>
                      <w:bCs/>
                      <w:sz w:val="21"/>
                      <w:szCs w:val="21"/>
                      <w:lang w:val="zh-CN"/>
                    </w:rPr>
                  </w:pPr>
                  <w:r>
                    <w:rPr>
                      <w:rFonts w:cs="Times New Roman"/>
                      <w:b/>
                      <w:bCs/>
                      <w:sz w:val="21"/>
                      <w:szCs w:val="21"/>
                      <w:lang w:val="zh-CN"/>
                    </w:rPr>
                    <w:t>中 型</w:t>
                  </w:r>
                </w:p>
              </w:tc>
              <w:tc>
                <w:tcPr>
                  <w:tcW w:w="1586" w:type="dxa"/>
                  <w:vAlign w:val="center"/>
                </w:tcPr>
                <w:p w14:paraId="5167F7E9">
                  <w:pPr>
                    <w:widowControl/>
                    <w:adjustRightInd w:val="0"/>
                    <w:snapToGrid w:val="0"/>
                    <w:spacing w:line="240" w:lineRule="auto"/>
                    <w:jc w:val="center"/>
                    <w:rPr>
                      <w:rFonts w:cs="Times New Roman"/>
                      <w:b/>
                      <w:bCs/>
                      <w:sz w:val="21"/>
                      <w:szCs w:val="21"/>
                      <w:lang w:val="zh-CN"/>
                    </w:rPr>
                  </w:pPr>
                  <w:r>
                    <w:rPr>
                      <w:rFonts w:cs="Times New Roman"/>
                      <w:b/>
                      <w:bCs/>
                      <w:sz w:val="21"/>
                      <w:szCs w:val="21"/>
                      <w:lang w:val="zh-CN"/>
                    </w:rPr>
                    <w:t>大 型</w:t>
                  </w:r>
                </w:p>
              </w:tc>
            </w:tr>
            <w:tr w14:paraId="1FE4B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09AFB127">
                  <w:pPr>
                    <w:widowControl/>
                    <w:adjustRightInd w:val="0"/>
                    <w:snapToGrid w:val="0"/>
                    <w:spacing w:line="240" w:lineRule="auto"/>
                    <w:jc w:val="center"/>
                    <w:rPr>
                      <w:rFonts w:cs="Times New Roman"/>
                      <w:sz w:val="21"/>
                      <w:szCs w:val="21"/>
                      <w:lang w:val="zh-CN"/>
                    </w:rPr>
                  </w:pPr>
                  <w:r>
                    <w:rPr>
                      <w:rFonts w:cs="Times New Roman"/>
                      <w:sz w:val="21"/>
                      <w:szCs w:val="21"/>
                      <w:lang w:val="zh-CN"/>
                    </w:rPr>
                    <w:t>基准灶头数</w:t>
                  </w:r>
                </w:p>
              </w:tc>
              <w:tc>
                <w:tcPr>
                  <w:tcW w:w="1595" w:type="dxa"/>
                  <w:vAlign w:val="center"/>
                </w:tcPr>
                <w:p w14:paraId="342BC876">
                  <w:pPr>
                    <w:widowControl/>
                    <w:adjustRightInd w:val="0"/>
                    <w:snapToGrid w:val="0"/>
                    <w:spacing w:line="240" w:lineRule="auto"/>
                    <w:jc w:val="center"/>
                    <w:rPr>
                      <w:rFonts w:cs="Times New Roman"/>
                      <w:sz w:val="21"/>
                      <w:szCs w:val="21"/>
                      <w:lang w:val="zh-CN"/>
                    </w:rPr>
                  </w:pPr>
                  <w:r>
                    <w:rPr>
                      <w:rFonts w:cs="Times New Roman"/>
                      <w:sz w:val="21"/>
                      <w:szCs w:val="21"/>
                      <w:lang w:val="zh-CN"/>
                    </w:rPr>
                    <w:t>≥1, &lt;3</w:t>
                  </w:r>
                </w:p>
              </w:tc>
              <w:tc>
                <w:tcPr>
                  <w:tcW w:w="1631" w:type="dxa"/>
                  <w:vAlign w:val="center"/>
                </w:tcPr>
                <w:p w14:paraId="0EB61F8D">
                  <w:pPr>
                    <w:widowControl/>
                    <w:adjustRightInd w:val="0"/>
                    <w:snapToGrid w:val="0"/>
                    <w:spacing w:line="240" w:lineRule="auto"/>
                    <w:jc w:val="center"/>
                    <w:rPr>
                      <w:rFonts w:cs="Times New Roman"/>
                      <w:sz w:val="21"/>
                      <w:szCs w:val="21"/>
                      <w:lang w:val="zh-CN"/>
                    </w:rPr>
                  </w:pPr>
                  <w:r>
                    <w:rPr>
                      <w:rFonts w:cs="Times New Roman"/>
                      <w:sz w:val="21"/>
                      <w:szCs w:val="21"/>
                      <w:lang w:val="zh-CN"/>
                    </w:rPr>
                    <w:t>≥3,&lt;6</w:t>
                  </w:r>
                </w:p>
              </w:tc>
              <w:tc>
                <w:tcPr>
                  <w:tcW w:w="1586" w:type="dxa"/>
                  <w:vAlign w:val="center"/>
                </w:tcPr>
                <w:p w14:paraId="7BE51F0A">
                  <w:pPr>
                    <w:widowControl/>
                    <w:adjustRightInd w:val="0"/>
                    <w:snapToGrid w:val="0"/>
                    <w:spacing w:line="240" w:lineRule="auto"/>
                    <w:jc w:val="center"/>
                    <w:rPr>
                      <w:rFonts w:cs="Times New Roman"/>
                      <w:sz w:val="21"/>
                      <w:szCs w:val="21"/>
                      <w:lang w:val="zh-CN"/>
                    </w:rPr>
                  </w:pPr>
                  <w:r>
                    <w:rPr>
                      <w:rFonts w:cs="Times New Roman"/>
                      <w:sz w:val="21"/>
                      <w:szCs w:val="21"/>
                      <w:lang w:val="zh-CN"/>
                    </w:rPr>
                    <w:t>≥6</w:t>
                  </w:r>
                </w:p>
              </w:tc>
            </w:tr>
            <w:tr w14:paraId="7A673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23B4D8B4">
                  <w:pPr>
                    <w:widowControl/>
                    <w:adjustRightInd w:val="0"/>
                    <w:snapToGrid w:val="0"/>
                    <w:spacing w:line="240" w:lineRule="auto"/>
                    <w:jc w:val="center"/>
                    <w:rPr>
                      <w:rFonts w:cs="Times New Roman"/>
                      <w:sz w:val="21"/>
                      <w:szCs w:val="21"/>
                      <w:lang w:val="zh-CN"/>
                    </w:rPr>
                  </w:pPr>
                  <w:r>
                    <w:rPr>
                      <w:rFonts w:cs="Times New Roman"/>
                      <w:sz w:val="21"/>
                      <w:szCs w:val="21"/>
                      <w:lang w:val="zh-CN"/>
                    </w:rPr>
                    <w:t>对应灶头总功率(108J/h)</w:t>
                  </w:r>
                </w:p>
              </w:tc>
              <w:tc>
                <w:tcPr>
                  <w:tcW w:w="1595" w:type="dxa"/>
                  <w:vAlign w:val="center"/>
                </w:tcPr>
                <w:p w14:paraId="6BEA3DF7">
                  <w:pPr>
                    <w:widowControl/>
                    <w:adjustRightInd w:val="0"/>
                    <w:snapToGrid w:val="0"/>
                    <w:spacing w:line="240" w:lineRule="auto"/>
                    <w:jc w:val="center"/>
                    <w:rPr>
                      <w:rFonts w:cs="Times New Roman"/>
                      <w:sz w:val="21"/>
                      <w:szCs w:val="21"/>
                      <w:lang w:val="zh-CN"/>
                    </w:rPr>
                  </w:pPr>
                  <w:r>
                    <w:rPr>
                      <w:rFonts w:cs="Times New Roman"/>
                      <w:sz w:val="21"/>
                      <w:szCs w:val="21"/>
                      <w:lang w:val="zh-CN"/>
                    </w:rPr>
                    <w:t>1.67, &lt;5.00</w:t>
                  </w:r>
                </w:p>
              </w:tc>
              <w:tc>
                <w:tcPr>
                  <w:tcW w:w="1631" w:type="dxa"/>
                  <w:vAlign w:val="center"/>
                </w:tcPr>
                <w:p w14:paraId="14581F00">
                  <w:pPr>
                    <w:widowControl/>
                    <w:adjustRightInd w:val="0"/>
                    <w:snapToGrid w:val="0"/>
                    <w:spacing w:line="240" w:lineRule="auto"/>
                    <w:jc w:val="center"/>
                    <w:rPr>
                      <w:rFonts w:cs="Times New Roman"/>
                      <w:sz w:val="21"/>
                      <w:szCs w:val="21"/>
                      <w:lang w:val="zh-CN"/>
                    </w:rPr>
                  </w:pPr>
                  <w:r>
                    <w:rPr>
                      <w:rFonts w:cs="Times New Roman"/>
                      <w:sz w:val="21"/>
                      <w:szCs w:val="21"/>
                      <w:lang w:val="zh-CN"/>
                    </w:rPr>
                    <w:t>≥5.00,&lt;10</w:t>
                  </w:r>
                </w:p>
              </w:tc>
              <w:tc>
                <w:tcPr>
                  <w:tcW w:w="1586" w:type="dxa"/>
                  <w:vAlign w:val="center"/>
                </w:tcPr>
                <w:p w14:paraId="13A9F6A1">
                  <w:pPr>
                    <w:widowControl/>
                    <w:adjustRightInd w:val="0"/>
                    <w:snapToGrid w:val="0"/>
                    <w:spacing w:line="240" w:lineRule="auto"/>
                    <w:jc w:val="center"/>
                    <w:rPr>
                      <w:rFonts w:cs="Times New Roman"/>
                      <w:sz w:val="21"/>
                      <w:szCs w:val="21"/>
                      <w:lang w:val="zh-CN"/>
                    </w:rPr>
                  </w:pPr>
                  <w:r>
                    <w:rPr>
                      <w:rFonts w:cs="Times New Roman"/>
                      <w:sz w:val="21"/>
                      <w:szCs w:val="21"/>
                      <w:lang w:val="zh-CN"/>
                    </w:rPr>
                    <w:t>≥10</w:t>
                  </w:r>
                </w:p>
              </w:tc>
            </w:tr>
            <w:tr w14:paraId="6E870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64D1F871">
                  <w:pPr>
                    <w:widowControl/>
                    <w:adjustRightInd w:val="0"/>
                    <w:snapToGrid w:val="0"/>
                    <w:spacing w:line="240" w:lineRule="auto"/>
                    <w:jc w:val="center"/>
                    <w:rPr>
                      <w:rFonts w:cs="Times New Roman"/>
                      <w:sz w:val="21"/>
                      <w:szCs w:val="21"/>
                      <w:lang w:val="zh-CN"/>
                    </w:rPr>
                  </w:pPr>
                  <w:r>
                    <w:rPr>
                      <w:rFonts w:cs="Times New Roman"/>
                      <w:sz w:val="21"/>
                      <w:szCs w:val="21"/>
                      <w:lang w:val="zh-CN"/>
                    </w:rPr>
                    <w:t>对应排气罩灶面总投影面积(m</w:t>
                  </w:r>
                  <w:r>
                    <w:rPr>
                      <w:rFonts w:cs="Times New Roman"/>
                      <w:sz w:val="21"/>
                      <w:szCs w:val="21"/>
                      <w:vertAlign w:val="superscript"/>
                      <w:lang w:val="zh-CN"/>
                    </w:rPr>
                    <w:t>2</w:t>
                  </w:r>
                  <w:r>
                    <w:rPr>
                      <w:rFonts w:cs="Times New Roman"/>
                      <w:sz w:val="21"/>
                      <w:szCs w:val="21"/>
                      <w:lang w:val="zh-CN"/>
                    </w:rPr>
                    <w:t>)</w:t>
                  </w:r>
                </w:p>
              </w:tc>
              <w:tc>
                <w:tcPr>
                  <w:tcW w:w="1595" w:type="dxa"/>
                  <w:vAlign w:val="center"/>
                </w:tcPr>
                <w:p w14:paraId="6634FC76">
                  <w:pPr>
                    <w:widowControl/>
                    <w:adjustRightInd w:val="0"/>
                    <w:snapToGrid w:val="0"/>
                    <w:spacing w:line="240" w:lineRule="auto"/>
                    <w:jc w:val="center"/>
                    <w:rPr>
                      <w:rFonts w:cs="Times New Roman"/>
                      <w:sz w:val="21"/>
                      <w:szCs w:val="21"/>
                      <w:lang w:val="zh-CN"/>
                    </w:rPr>
                  </w:pPr>
                  <w:r>
                    <w:rPr>
                      <w:rFonts w:cs="Times New Roman"/>
                      <w:sz w:val="21"/>
                      <w:szCs w:val="21"/>
                      <w:lang w:val="zh-CN"/>
                    </w:rPr>
                    <w:t>≥1.1, &lt;3.3</w:t>
                  </w:r>
                </w:p>
              </w:tc>
              <w:tc>
                <w:tcPr>
                  <w:tcW w:w="1631" w:type="dxa"/>
                  <w:vAlign w:val="center"/>
                </w:tcPr>
                <w:p w14:paraId="19C62CE9">
                  <w:pPr>
                    <w:widowControl/>
                    <w:adjustRightInd w:val="0"/>
                    <w:snapToGrid w:val="0"/>
                    <w:spacing w:line="240" w:lineRule="auto"/>
                    <w:jc w:val="center"/>
                    <w:rPr>
                      <w:rFonts w:cs="Times New Roman"/>
                      <w:sz w:val="21"/>
                      <w:szCs w:val="21"/>
                      <w:lang w:val="zh-CN"/>
                    </w:rPr>
                  </w:pPr>
                  <w:r>
                    <w:rPr>
                      <w:rFonts w:cs="Times New Roman"/>
                      <w:sz w:val="21"/>
                      <w:szCs w:val="21"/>
                      <w:lang w:val="zh-CN"/>
                    </w:rPr>
                    <w:t>≥3.3, &lt;6.6</w:t>
                  </w:r>
                </w:p>
              </w:tc>
              <w:tc>
                <w:tcPr>
                  <w:tcW w:w="1586" w:type="dxa"/>
                  <w:vAlign w:val="center"/>
                </w:tcPr>
                <w:p w14:paraId="62B5ABA7">
                  <w:pPr>
                    <w:widowControl/>
                    <w:adjustRightInd w:val="0"/>
                    <w:snapToGrid w:val="0"/>
                    <w:spacing w:line="240" w:lineRule="auto"/>
                    <w:jc w:val="center"/>
                    <w:rPr>
                      <w:rFonts w:cs="Times New Roman"/>
                      <w:sz w:val="21"/>
                      <w:szCs w:val="21"/>
                      <w:lang w:val="zh-CN"/>
                    </w:rPr>
                  </w:pPr>
                  <w:r>
                    <w:rPr>
                      <w:rFonts w:cs="Times New Roman"/>
                      <w:sz w:val="21"/>
                      <w:szCs w:val="21"/>
                      <w:lang w:val="zh-CN"/>
                    </w:rPr>
                    <w:t>≥6.6</w:t>
                  </w:r>
                </w:p>
              </w:tc>
            </w:tr>
            <w:tr w14:paraId="12015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4DB13CA1">
                  <w:pPr>
                    <w:widowControl/>
                    <w:adjustRightInd w:val="0"/>
                    <w:snapToGrid w:val="0"/>
                    <w:spacing w:line="240" w:lineRule="auto"/>
                    <w:jc w:val="center"/>
                    <w:rPr>
                      <w:rFonts w:cs="Times New Roman"/>
                      <w:sz w:val="21"/>
                      <w:szCs w:val="21"/>
                      <w:lang w:val="zh-CN"/>
                    </w:rPr>
                  </w:pPr>
                  <w:r>
                    <w:rPr>
                      <w:rFonts w:cs="Times New Roman"/>
                      <w:sz w:val="21"/>
                      <w:szCs w:val="21"/>
                      <w:lang w:val="zh-CN"/>
                    </w:rPr>
                    <w:t>油烟最高允许排放浓度(mg/m</w:t>
                  </w:r>
                  <w:r>
                    <w:rPr>
                      <w:rFonts w:cs="Times New Roman"/>
                      <w:sz w:val="21"/>
                      <w:szCs w:val="21"/>
                      <w:vertAlign w:val="superscript"/>
                      <w:lang w:val="zh-CN"/>
                    </w:rPr>
                    <w:t>3</w:t>
                  </w:r>
                  <w:r>
                    <w:rPr>
                      <w:rFonts w:cs="Times New Roman"/>
                      <w:sz w:val="21"/>
                      <w:szCs w:val="21"/>
                      <w:lang w:val="zh-CN"/>
                    </w:rPr>
                    <w:t>)</w:t>
                  </w:r>
                </w:p>
              </w:tc>
              <w:tc>
                <w:tcPr>
                  <w:tcW w:w="4812" w:type="dxa"/>
                  <w:gridSpan w:val="3"/>
                  <w:vAlign w:val="center"/>
                </w:tcPr>
                <w:p w14:paraId="236FC5BB">
                  <w:pPr>
                    <w:widowControl/>
                    <w:adjustRightInd w:val="0"/>
                    <w:snapToGrid w:val="0"/>
                    <w:spacing w:line="240" w:lineRule="auto"/>
                    <w:jc w:val="center"/>
                    <w:rPr>
                      <w:rFonts w:cs="Times New Roman"/>
                      <w:sz w:val="21"/>
                      <w:szCs w:val="21"/>
                      <w:lang w:val="zh-CN"/>
                    </w:rPr>
                  </w:pPr>
                  <w:r>
                    <w:rPr>
                      <w:rFonts w:cs="Times New Roman"/>
                      <w:sz w:val="21"/>
                      <w:szCs w:val="21"/>
                      <w:lang w:val="zh-CN"/>
                    </w:rPr>
                    <w:t>2.0</w:t>
                  </w:r>
                </w:p>
              </w:tc>
            </w:tr>
            <w:tr w14:paraId="13DFA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248" w:type="dxa"/>
                  <w:vAlign w:val="center"/>
                </w:tcPr>
                <w:p w14:paraId="587BF9B3">
                  <w:pPr>
                    <w:widowControl/>
                    <w:adjustRightInd w:val="0"/>
                    <w:snapToGrid w:val="0"/>
                    <w:spacing w:line="240" w:lineRule="auto"/>
                    <w:jc w:val="center"/>
                    <w:rPr>
                      <w:rFonts w:cs="Times New Roman"/>
                      <w:sz w:val="21"/>
                      <w:szCs w:val="21"/>
                      <w:lang w:val="zh-CN"/>
                    </w:rPr>
                  </w:pPr>
                  <w:r>
                    <w:rPr>
                      <w:rFonts w:cs="Times New Roman"/>
                      <w:sz w:val="21"/>
                      <w:szCs w:val="21"/>
                      <w:lang w:val="zh-CN"/>
                    </w:rPr>
                    <w:t>净化设施最低去除效率(%)</w:t>
                  </w:r>
                </w:p>
              </w:tc>
              <w:tc>
                <w:tcPr>
                  <w:tcW w:w="1595" w:type="dxa"/>
                  <w:vAlign w:val="center"/>
                </w:tcPr>
                <w:p w14:paraId="2727399F">
                  <w:pPr>
                    <w:widowControl/>
                    <w:adjustRightInd w:val="0"/>
                    <w:snapToGrid w:val="0"/>
                    <w:spacing w:line="240" w:lineRule="auto"/>
                    <w:jc w:val="center"/>
                    <w:rPr>
                      <w:rFonts w:cs="Times New Roman"/>
                      <w:sz w:val="21"/>
                      <w:szCs w:val="21"/>
                      <w:lang w:val="zh-CN"/>
                    </w:rPr>
                  </w:pPr>
                  <w:r>
                    <w:rPr>
                      <w:rFonts w:cs="Times New Roman"/>
                      <w:sz w:val="21"/>
                      <w:szCs w:val="21"/>
                      <w:lang w:val="zh-CN"/>
                    </w:rPr>
                    <w:t>60</w:t>
                  </w:r>
                </w:p>
              </w:tc>
              <w:tc>
                <w:tcPr>
                  <w:tcW w:w="1631" w:type="dxa"/>
                  <w:vAlign w:val="center"/>
                </w:tcPr>
                <w:p w14:paraId="26DA4A53">
                  <w:pPr>
                    <w:widowControl/>
                    <w:adjustRightInd w:val="0"/>
                    <w:snapToGrid w:val="0"/>
                    <w:spacing w:line="240" w:lineRule="auto"/>
                    <w:jc w:val="center"/>
                    <w:rPr>
                      <w:rFonts w:cs="Times New Roman"/>
                      <w:sz w:val="21"/>
                      <w:szCs w:val="21"/>
                      <w:lang w:val="zh-CN"/>
                    </w:rPr>
                  </w:pPr>
                  <w:r>
                    <w:rPr>
                      <w:rFonts w:cs="Times New Roman"/>
                      <w:sz w:val="21"/>
                      <w:szCs w:val="21"/>
                      <w:lang w:val="zh-CN"/>
                    </w:rPr>
                    <w:t>75</w:t>
                  </w:r>
                </w:p>
              </w:tc>
              <w:tc>
                <w:tcPr>
                  <w:tcW w:w="1586" w:type="dxa"/>
                  <w:vAlign w:val="center"/>
                </w:tcPr>
                <w:p w14:paraId="1F622985">
                  <w:pPr>
                    <w:widowControl/>
                    <w:adjustRightInd w:val="0"/>
                    <w:snapToGrid w:val="0"/>
                    <w:spacing w:line="240" w:lineRule="auto"/>
                    <w:jc w:val="center"/>
                    <w:rPr>
                      <w:rFonts w:cs="Times New Roman"/>
                      <w:sz w:val="21"/>
                      <w:szCs w:val="21"/>
                      <w:lang w:val="zh-CN"/>
                    </w:rPr>
                  </w:pPr>
                  <w:r>
                    <w:rPr>
                      <w:rFonts w:cs="Times New Roman"/>
                      <w:sz w:val="21"/>
                      <w:szCs w:val="21"/>
                      <w:lang w:val="zh-CN"/>
                    </w:rPr>
                    <w:t>85</w:t>
                  </w:r>
                </w:p>
              </w:tc>
            </w:tr>
            <w:tr w14:paraId="62FA3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60" w:type="dxa"/>
                  <w:gridSpan w:val="4"/>
                  <w:vAlign w:val="center"/>
                </w:tcPr>
                <w:p w14:paraId="05D1F6EA">
                  <w:pPr>
                    <w:widowControl/>
                    <w:adjustRightInd w:val="0"/>
                    <w:snapToGrid w:val="0"/>
                    <w:spacing w:line="240" w:lineRule="auto"/>
                    <w:jc w:val="left"/>
                    <w:rPr>
                      <w:rFonts w:cs="Times New Roman"/>
                      <w:bCs/>
                      <w:sz w:val="21"/>
                      <w:szCs w:val="21"/>
                    </w:rPr>
                  </w:pPr>
                  <w:r>
                    <w:rPr>
                      <w:rFonts w:cs="Times New Roman"/>
                      <w:bCs/>
                      <w:sz w:val="21"/>
                      <w:szCs w:val="21"/>
                    </w:rPr>
                    <w:t>注：单个灶头基准排风量：大、中、小型均为2000m</w:t>
                  </w:r>
                  <w:r>
                    <w:rPr>
                      <w:rFonts w:cs="Times New Roman"/>
                      <w:bCs/>
                      <w:sz w:val="21"/>
                      <w:szCs w:val="21"/>
                      <w:vertAlign w:val="superscript"/>
                    </w:rPr>
                    <w:t>3</w:t>
                  </w:r>
                  <w:r>
                    <w:rPr>
                      <w:rFonts w:cs="Times New Roman"/>
                      <w:bCs/>
                      <w:sz w:val="21"/>
                      <w:szCs w:val="21"/>
                    </w:rPr>
                    <w:t>/h。</w:t>
                  </w:r>
                </w:p>
              </w:tc>
            </w:tr>
          </w:tbl>
          <w:p w14:paraId="7775D93C">
            <w:pPr>
              <w:pStyle w:val="55"/>
              <w:wordWrap/>
              <w:adjustRightInd w:val="0"/>
              <w:snapToGrid w:val="0"/>
              <w:ind w:firstLine="0" w:firstLineChars="0"/>
              <w:rPr>
                <w:rFonts w:hint="default" w:ascii="Times New Roman" w:hAnsi="Times New Roman" w:cs="Times New Roman"/>
              </w:rPr>
            </w:pPr>
            <w:r>
              <w:rPr>
                <w:rFonts w:hint="default" w:ascii="Times New Roman" w:hAnsi="Times New Roman" w:cs="Times New Roman"/>
                <w:kern w:val="0"/>
                <w:szCs w:val="20"/>
              </w:rPr>
              <w:t>3.3.2废水排放标准</w:t>
            </w:r>
          </w:p>
          <w:p w14:paraId="7F1BC968">
            <w:pPr>
              <w:ind w:firstLine="480" w:firstLineChars="200"/>
              <w:rPr>
                <w:rFonts w:hint="default" w:ascii="Times New Roman" w:hAnsi="Times New Roman" w:cs="Times New Roman"/>
              </w:rPr>
            </w:pPr>
            <w:r>
              <w:rPr>
                <w:rFonts w:hint="default" w:ascii="Times New Roman" w:hAnsi="Times New Roman" w:cs="Times New Roman"/>
              </w:rPr>
              <w:t>本项目废水主要为生活污水和锅炉废水（</w:t>
            </w:r>
            <w:r>
              <w:rPr>
                <w:rFonts w:hint="default" w:ascii="Times New Roman" w:hAnsi="Times New Roman" w:cs="Times New Roman"/>
                <w:bCs/>
                <w:snapToGrid w:val="0"/>
                <w:shd w:val="clear" w:color="auto" w:fill="FFFFFF"/>
              </w:rPr>
              <w:t>软水系统排污水、锅炉排污水</w:t>
            </w:r>
            <w:r>
              <w:rPr>
                <w:rFonts w:hint="default" w:ascii="Times New Roman" w:hAnsi="Times New Roman" w:cs="Times New Roman"/>
              </w:rPr>
              <w:t>），锅炉废水为清净下水，可满足《污水综合排放标准》（GB8978-1996）表4中三级标准和</w:t>
            </w:r>
            <w:r>
              <w:rPr>
                <w:rFonts w:hint="default" w:ascii="Times New Roman" w:hAnsi="Times New Roman" w:cs="Times New Roman"/>
                <w:lang w:eastAsia="zh-CN"/>
              </w:rPr>
              <w:t>淮南首创八公山污水处理厂</w:t>
            </w:r>
            <w:r>
              <w:rPr>
                <w:rFonts w:hint="default" w:ascii="Times New Roman" w:hAnsi="Times New Roman" w:cs="Times New Roman"/>
              </w:rPr>
              <w:t>接管限值要求，生活污水经现有化粪池处理达到《污水综合排放标准》（GB8978-1996）表4中三级标准和</w:t>
            </w:r>
            <w:r>
              <w:rPr>
                <w:rFonts w:hint="default" w:ascii="Times New Roman" w:hAnsi="Times New Roman" w:cs="Times New Roman"/>
                <w:lang w:eastAsia="zh-CN"/>
              </w:rPr>
              <w:t>淮南首创八公山污水处理厂</w:t>
            </w:r>
            <w:r>
              <w:rPr>
                <w:rFonts w:hint="default" w:ascii="Times New Roman" w:hAnsi="Times New Roman" w:cs="Times New Roman"/>
              </w:rPr>
              <w:t>接管限值后纳管排入</w:t>
            </w:r>
            <w:r>
              <w:rPr>
                <w:rFonts w:hint="default" w:ascii="Times New Roman" w:hAnsi="Times New Roman" w:cs="Times New Roman"/>
                <w:lang w:eastAsia="zh-CN"/>
              </w:rPr>
              <w:t>淮南首创八公山污水处理厂</w:t>
            </w:r>
            <w:r>
              <w:rPr>
                <w:rFonts w:hint="default" w:ascii="Times New Roman" w:hAnsi="Times New Roman" w:cs="Times New Roman"/>
              </w:rPr>
              <w:t>处理达《城镇污水处理厂污染物排放标准》（GB18918-2002）中一级A标准，最终排放到淮河。项目废水排放标准见下表。</w:t>
            </w:r>
          </w:p>
          <w:p w14:paraId="680A894C">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3-</w:t>
            </w:r>
            <w:r>
              <w:rPr>
                <w:rFonts w:hint="default" w:ascii="Times New Roman" w:hAnsi="Times New Roman" w:cs="Times New Roman"/>
                <w:b/>
                <w:kern w:val="0"/>
                <w:sz w:val="21"/>
                <w:szCs w:val="22"/>
                <w:lang w:val="en-US" w:eastAsia="zh-CN"/>
              </w:rPr>
              <w:t>8</w:t>
            </w:r>
            <w:r>
              <w:rPr>
                <w:rFonts w:hint="default" w:ascii="Times New Roman" w:hAnsi="Times New Roman" w:cs="Times New Roman"/>
                <w:b/>
                <w:kern w:val="0"/>
                <w:sz w:val="21"/>
                <w:szCs w:val="22"/>
              </w:rPr>
              <w:t xml:space="preserve"> 废水污染物排放标准 单位：mg/L（PH无量纲）</w:t>
            </w:r>
          </w:p>
          <w:tbl>
            <w:tblPr>
              <w:tblStyle w:val="2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4"/>
              <w:gridCol w:w="1216"/>
              <w:gridCol w:w="961"/>
              <w:gridCol w:w="925"/>
              <w:gridCol w:w="1012"/>
              <w:gridCol w:w="987"/>
              <w:gridCol w:w="1007"/>
            </w:tblGrid>
            <w:tr w14:paraId="1B4F3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0" w:type="pct"/>
                  <w:vAlign w:val="center"/>
                </w:tcPr>
                <w:p w14:paraId="774225D0">
                  <w:pPr>
                    <w:pStyle w:val="29"/>
                    <w:rPr>
                      <w:rFonts w:hint="default" w:ascii="Times New Roman" w:hAnsi="Times New Roman" w:cs="Times New Roman"/>
                      <w:b/>
                      <w:bCs/>
                    </w:rPr>
                  </w:pPr>
                  <w:r>
                    <w:rPr>
                      <w:rFonts w:hint="default" w:ascii="Times New Roman" w:hAnsi="Times New Roman" w:cs="Times New Roman"/>
                      <w:b/>
                      <w:bCs/>
                    </w:rPr>
                    <w:t>水质指标</w:t>
                  </w:r>
                </w:p>
              </w:tc>
              <w:tc>
                <w:tcPr>
                  <w:tcW w:w="780" w:type="pct"/>
                  <w:vAlign w:val="center"/>
                </w:tcPr>
                <w:p w14:paraId="3FB18A68">
                  <w:pPr>
                    <w:pStyle w:val="29"/>
                    <w:rPr>
                      <w:rFonts w:hint="default" w:ascii="Times New Roman" w:hAnsi="Times New Roman" w:cs="Times New Roman"/>
                      <w:b/>
                      <w:bCs/>
                    </w:rPr>
                  </w:pPr>
                  <w:r>
                    <w:rPr>
                      <w:rFonts w:hint="default" w:ascii="Times New Roman" w:hAnsi="Times New Roman" w:cs="Times New Roman"/>
                      <w:b/>
                      <w:bCs/>
                      <w:color w:val="auto"/>
                      <w:lang w:val="en-US" w:eastAsia="zh-CN"/>
                    </w:rPr>
                    <w:t>p</w:t>
                  </w:r>
                  <w:r>
                    <w:rPr>
                      <w:rFonts w:hint="default" w:ascii="Times New Roman" w:hAnsi="Times New Roman" w:cs="Times New Roman"/>
                      <w:b/>
                      <w:bCs/>
                    </w:rPr>
                    <w:t>H（无量纲）</w:t>
                  </w:r>
                </w:p>
              </w:tc>
              <w:tc>
                <w:tcPr>
                  <w:tcW w:w="616" w:type="pct"/>
                  <w:vAlign w:val="center"/>
                </w:tcPr>
                <w:p w14:paraId="19179CB6">
                  <w:pPr>
                    <w:pStyle w:val="29"/>
                    <w:rPr>
                      <w:rFonts w:hint="default" w:ascii="Times New Roman" w:hAnsi="Times New Roman" w:cs="Times New Roman"/>
                      <w:b/>
                      <w:bCs/>
                    </w:rPr>
                  </w:pPr>
                  <w:r>
                    <w:rPr>
                      <w:rFonts w:hint="default" w:ascii="Times New Roman" w:hAnsi="Times New Roman" w:cs="Times New Roman"/>
                      <w:b/>
                      <w:bCs/>
                    </w:rPr>
                    <w:t>CODcr</w:t>
                  </w:r>
                </w:p>
              </w:tc>
              <w:tc>
                <w:tcPr>
                  <w:tcW w:w="593" w:type="pct"/>
                  <w:vAlign w:val="center"/>
                </w:tcPr>
                <w:p w14:paraId="39E3BF4B">
                  <w:pPr>
                    <w:pStyle w:val="29"/>
                    <w:rPr>
                      <w:rFonts w:hint="default" w:ascii="Times New Roman" w:hAnsi="Times New Roman" w:cs="Times New Roman"/>
                      <w:b/>
                      <w:bCs/>
                    </w:rPr>
                  </w:pPr>
                  <w:r>
                    <w:rPr>
                      <w:rFonts w:hint="default" w:ascii="Times New Roman" w:hAnsi="Times New Roman" w:cs="Times New Roman"/>
                      <w:b/>
                      <w:bCs/>
                    </w:rPr>
                    <w:t>BOD</w:t>
                  </w:r>
                  <w:r>
                    <w:rPr>
                      <w:rFonts w:hint="default" w:ascii="Times New Roman" w:hAnsi="Times New Roman" w:cs="Times New Roman"/>
                      <w:b/>
                      <w:bCs/>
                      <w:vertAlign w:val="subscript"/>
                    </w:rPr>
                    <w:t>5</w:t>
                  </w:r>
                </w:p>
              </w:tc>
              <w:tc>
                <w:tcPr>
                  <w:tcW w:w="649" w:type="pct"/>
                  <w:vAlign w:val="center"/>
                </w:tcPr>
                <w:p w14:paraId="712E7D87">
                  <w:pPr>
                    <w:pStyle w:val="29"/>
                    <w:rPr>
                      <w:rFonts w:hint="default" w:ascii="Times New Roman" w:hAnsi="Times New Roman" w:cs="Times New Roman"/>
                      <w:b/>
                      <w:bCs/>
                    </w:rPr>
                  </w:pPr>
                  <w:r>
                    <w:rPr>
                      <w:rFonts w:hint="default" w:ascii="Times New Roman" w:hAnsi="Times New Roman" w:cs="Times New Roman"/>
                      <w:b/>
                      <w:bCs/>
                    </w:rPr>
                    <w:t>氨氮</w:t>
                  </w:r>
                </w:p>
              </w:tc>
              <w:tc>
                <w:tcPr>
                  <w:tcW w:w="633" w:type="pct"/>
                  <w:vAlign w:val="center"/>
                </w:tcPr>
                <w:p w14:paraId="1F92A9B8">
                  <w:pPr>
                    <w:pStyle w:val="29"/>
                    <w:rPr>
                      <w:rFonts w:hint="default" w:ascii="Times New Roman" w:hAnsi="Times New Roman" w:cs="Times New Roman"/>
                      <w:b/>
                      <w:bCs/>
                    </w:rPr>
                  </w:pPr>
                  <w:r>
                    <w:rPr>
                      <w:rFonts w:hint="default" w:ascii="Times New Roman" w:hAnsi="Times New Roman" w:cs="Times New Roman"/>
                      <w:b/>
                      <w:bCs/>
                    </w:rPr>
                    <w:t>SS</w:t>
                  </w:r>
                </w:p>
              </w:tc>
              <w:tc>
                <w:tcPr>
                  <w:tcW w:w="645" w:type="pct"/>
                  <w:vAlign w:val="center"/>
                </w:tcPr>
                <w:p w14:paraId="5885AD1E">
                  <w:pPr>
                    <w:pStyle w:val="29"/>
                    <w:rPr>
                      <w:rFonts w:hint="default" w:ascii="Times New Roman" w:hAnsi="Times New Roman" w:cs="Times New Roman"/>
                      <w:b/>
                      <w:bCs/>
                    </w:rPr>
                  </w:pPr>
                  <w:r>
                    <w:rPr>
                      <w:rFonts w:hint="default" w:ascii="Times New Roman" w:hAnsi="Times New Roman" w:cs="Times New Roman"/>
                      <w:b/>
                      <w:bCs/>
                    </w:rPr>
                    <w:t>动植物油</w:t>
                  </w:r>
                </w:p>
              </w:tc>
            </w:tr>
            <w:tr w14:paraId="3DBCD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0" w:type="pct"/>
                  <w:vAlign w:val="center"/>
                </w:tcPr>
                <w:p w14:paraId="490B87A2">
                  <w:pPr>
                    <w:pStyle w:val="29"/>
                    <w:rPr>
                      <w:rFonts w:hint="default" w:ascii="Times New Roman" w:hAnsi="Times New Roman" w:cs="Times New Roman"/>
                    </w:rPr>
                  </w:pPr>
                  <w:r>
                    <w:rPr>
                      <w:rFonts w:hint="default" w:ascii="Times New Roman" w:hAnsi="Times New Roman" w:cs="Times New Roman"/>
                      <w:lang w:eastAsia="zh-CN"/>
                    </w:rPr>
                    <w:t>淮南首创八公山污水处理厂</w:t>
                  </w:r>
                  <w:r>
                    <w:rPr>
                      <w:rFonts w:hint="default" w:ascii="Times New Roman" w:hAnsi="Times New Roman" w:cs="Times New Roman"/>
                    </w:rPr>
                    <w:t>接管浓度限值</w:t>
                  </w:r>
                </w:p>
              </w:tc>
              <w:tc>
                <w:tcPr>
                  <w:tcW w:w="780" w:type="pct"/>
                  <w:vAlign w:val="center"/>
                </w:tcPr>
                <w:p w14:paraId="5A5F2911">
                  <w:pPr>
                    <w:pStyle w:val="29"/>
                    <w:rPr>
                      <w:rFonts w:hint="default" w:ascii="Times New Roman" w:hAnsi="Times New Roman" w:cs="Times New Roman"/>
                    </w:rPr>
                  </w:pPr>
                  <w:r>
                    <w:rPr>
                      <w:rFonts w:hint="default" w:ascii="Times New Roman" w:hAnsi="Times New Roman" w:cs="Times New Roman"/>
                    </w:rPr>
                    <w:t>6~9</w:t>
                  </w:r>
                </w:p>
              </w:tc>
              <w:tc>
                <w:tcPr>
                  <w:tcW w:w="616" w:type="pct"/>
                  <w:vAlign w:val="center"/>
                </w:tcPr>
                <w:p w14:paraId="0FB75B81">
                  <w:pPr>
                    <w:pStyle w:val="29"/>
                    <w:rPr>
                      <w:rFonts w:hint="default" w:ascii="Times New Roman" w:hAnsi="Times New Roman" w:cs="Times New Roman"/>
                    </w:rPr>
                  </w:pPr>
                  <w:r>
                    <w:rPr>
                      <w:rFonts w:hint="default" w:ascii="Times New Roman" w:hAnsi="Times New Roman" w:cs="Times New Roman"/>
                    </w:rPr>
                    <w:t>500</w:t>
                  </w:r>
                </w:p>
              </w:tc>
              <w:tc>
                <w:tcPr>
                  <w:tcW w:w="593" w:type="pct"/>
                  <w:vAlign w:val="center"/>
                </w:tcPr>
                <w:p w14:paraId="083E0DAD">
                  <w:pPr>
                    <w:pStyle w:val="29"/>
                    <w:rPr>
                      <w:rFonts w:hint="default" w:ascii="Times New Roman" w:hAnsi="Times New Roman" w:cs="Times New Roman"/>
                    </w:rPr>
                  </w:pPr>
                  <w:r>
                    <w:rPr>
                      <w:rFonts w:hint="default" w:ascii="Times New Roman" w:hAnsi="Times New Roman" w:cs="Times New Roman"/>
                    </w:rPr>
                    <w:t>350</w:t>
                  </w:r>
                </w:p>
              </w:tc>
              <w:tc>
                <w:tcPr>
                  <w:tcW w:w="649" w:type="pct"/>
                  <w:vAlign w:val="center"/>
                </w:tcPr>
                <w:p w14:paraId="4F9F66F6">
                  <w:pPr>
                    <w:pStyle w:val="29"/>
                    <w:rPr>
                      <w:rFonts w:hint="default" w:ascii="Times New Roman" w:hAnsi="Times New Roman" w:cs="Times New Roman"/>
                    </w:rPr>
                  </w:pPr>
                  <w:r>
                    <w:rPr>
                      <w:rFonts w:hint="default" w:ascii="Times New Roman" w:hAnsi="Times New Roman" w:cs="Times New Roman"/>
                    </w:rPr>
                    <w:t>45</w:t>
                  </w:r>
                </w:p>
              </w:tc>
              <w:tc>
                <w:tcPr>
                  <w:tcW w:w="633" w:type="pct"/>
                  <w:vAlign w:val="center"/>
                </w:tcPr>
                <w:p w14:paraId="313DBF4A">
                  <w:pPr>
                    <w:pStyle w:val="29"/>
                    <w:rPr>
                      <w:rFonts w:hint="default" w:ascii="Times New Roman" w:hAnsi="Times New Roman" w:cs="Times New Roman"/>
                    </w:rPr>
                  </w:pPr>
                  <w:r>
                    <w:rPr>
                      <w:rFonts w:hint="default" w:ascii="Times New Roman" w:hAnsi="Times New Roman" w:cs="Times New Roman"/>
                    </w:rPr>
                    <w:t>400</w:t>
                  </w:r>
                </w:p>
              </w:tc>
              <w:tc>
                <w:tcPr>
                  <w:tcW w:w="645" w:type="pct"/>
                  <w:vAlign w:val="center"/>
                </w:tcPr>
                <w:p w14:paraId="28E03E25">
                  <w:pPr>
                    <w:pStyle w:val="29"/>
                    <w:rPr>
                      <w:rFonts w:hint="default" w:ascii="Times New Roman" w:hAnsi="Times New Roman" w:cs="Times New Roman"/>
                    </w:rPr>
                  </w:pPr>
                  <w:r>
                    <w:rPr>
                      <w:rFonts w:hint="default" w:ascii="Times New Roman" w:hAnsi="Times New Roman" w:cs="Times New Roman"/>
                    </w:rPr>
                    <w:t>--</w:t>
                  </w:r>
                </w:p>
              </w:tc>
            </w:tr>
            <w:tr w14:paraId="1962A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0" w:type="pct"/>
                  <w:shd w:val="clear" w:color="auto" w:fill="auto"/>
                  <w:vAlign w:val="center"/>
                </w:tcPr>
                <w:p w14:paraId="1095BD9F">
                  <w:pPr>
                    <w:pStyle w:val="29"/>
                    <w:rPr>
                      <w:rFonts w:hint="default" w:ascii="Times New Roman" w:hAnsi="Times New Roman" w:cs="Times New Roman"/>
                    </w:rPr>
                  </w:pPr>
                  <w:r>
                    <w:rPr>
                      <w:rFonts w:hint="default" w:ascii="Times New Roman" w:hAnsi="Times New Roman" w:cs="Times New Roman"/>
                    </w:rPr>
                    <w:t>GB8978-1996表4中三级标准</w:t>
                  </w:r>
                </w:p>
              </w:tc>
              <w:tc>
                <w:tcPr>
                  <w:tcW w:w="780" w:type="pct"/>
                  <w:shd w:val="clear" w:color="auto" w:fill="auto"/>
                  <w:vAlign w:val="center"/>
                </w:tcPr>
                <w:p w14:paraId="5B982BD1">
                  <w:pPr>
                    <w:pStyle w:val="29"/>
                    <w:rPr>
                      <w:rFonts w:hint="default" w:ascii="Times New Roman" w:hAnsi="Times New Roman" w:cs="Times New Roman"/>
                    </w:rPr>
                  </w:pPr>
                  <w:r>
                    <w:rPr>
                      <w:rFonts w:hint="default" w:ascii="Times New Roman" w:hAnsi="Times New Roman" w:cs="Times New Roman"/>
                    </w:rPr>
                    <w:t>6~9</w:t>
                  </w:r>
                </w:p>
              </w:tc>
              <w:tc>
                <w:tcPr>
                  <w:tcW w:w="616" w:type="pct"/>
                  <w:shd w:val="clear" w:color="auto" w:fill="auto"/>
                  <w:vAlign w:val="center"/>
                </w:tcPr>
                <w:p w14:paraId="77D5CD76">
                  <w:pPr>
                    <w:pStyle w:val="29"/>
                    <w:rPr>
                      <w:rFonts w:hint="default" w:ascii="Times New Roman" w:hAnsi="Times New Roman" w:cs="Times New Roman"/>
                    </w:rPr>
                  </w:pPr>
                  <w:r>
                    <w:rPr>
                      <w:rFonts w:hint="default" w:ascii="Times New Roman" w:hAnsi="Times New Roman" w:cs="Times New Roman"/>
                    </w:rPr>
                    <w:t>500</w:t>
                  </w:r>
                </w:p>
              </w:tc>
              <w:tc>
                <w:tcPr>
                  <w:tcW w:w="593" w:type="pct"/>
                  <w:shd w:val="clear" w:color="auto" w:fill="auto"/>
                  <w:vAlign w:val="center"/>
                </w:tcPr>
                <w:p w14:paraId="60380E38">
                  <w:pPr>
                    <w:pStyle w:val="29"/>
                    <w:rPr>
                      <w:rFonts w:hint="default" w:ascii="Times New Roman" w:hAnsi="Times New Roman" w:cs="Times New Roman"/>
                    </w:rPr>
                  </w:pPr>
                  <w:r>
                    <w:rPr>
                      <w:rFonts w:hint="default" w:ascii="Times New Roman" w:hAnsi="Times New Roman" w:cs="Times New Roman"/>
                    </w:rPr>
                    <w:t>300</w:t>
                  </w:r>
                </w:p>
              </w:tc>
              <w:tc>
                <w:tcPr>
                  <w:tcW w:w="649" w:type="pct"/>
                  <w:shd w:val="clear" w:color="auto" w:fill="auto"/>
                  <w:vAlign w:val="center"/>
                </w:tcPr>
                <w:p w14:paraId="618658FA">
                  <w:pPr>
                    <w:pStyle w:val="29"/>
                    <w:rPr>
                      <w:rFonts w:hint="default" w:ascii="Times New Roman" w:hAnsi="Times New Roman" w:cs="Times New Roman"/>
                    </w:rPr>
                  </w:pPr>
                  <w:r>
                    <w:rPr>
                      <w:rFonts w:hint="default" w:ascii="Times New Roman" w:hAnsi="Times New Roman" w:cs="Times New Roman"/>
                    </w:rPr>
                    <w:t>45</w:t>
                  </w:r>
                </w:p>
              </w:tc>
              <w:tc>
                <w:tcPr>
                  <w:tcW w:w="633" w:type="pct"/>
                  <w:shd w:val="clear" w:color="auto" w:fill="auto"/>
                  <w:vAlign w:val="center"/>
                </w:tcPr>
                <w:p w14:paraId="7A105877">
                  <w:pPr>
                    <w:pStyle w:val="29"/>
                    <w:rPr>
                      <w:rFonts w:hint="default" w:ascii="Times New Roman" w:hAnsi="Times New Roman" w:cs="Times New Roman"/>
                    </w:rPr>
                  </w:pPr>
                  <w:r>
                    <w:rPr>
                      <w:rFonts w:hint="default" w:ascii="Times New Roman" w:hAnsi="Times New Roman" w:cs="Times New Roman"/>
                    </w:rPr>
                    <w:t>400</w:t>
                  </w:r>
                </w:p>
              </w:tc>
              <w:tc>
                <w:tcPr>
                  <w:tcW w:w="645" w:type="pct"/>
                  <w:shd w:val="clear" w:color="auto" w:fill="auto"/>
                  <w:vAlign w:val="center"/>
                </w:tcPr>
                <w:p w14:paraId="601ED1C7">
                  <w:pPr>
                    <w:pStyle w:val="29"/>
                    <w:rPr>
                      <w:rFonts w:hint="default" w:ascii="Times New Roman" w:hAnsi="Times New Roman" w:cs="Times New Roman"/>
                    </w:rPr>
                  </w:pPr>
                  <w:r>
                    <w:rPr>
                      <w:rFonts w:hint="default" w:ascii="Times New Roman" w:hAnsi="Times New Roman" w:cs="Times New Roman"/>
                    </w:rPr>
                    <w:t>100</w:t>
                  </w:r>
                </w:p>
              </w:tc>
            </w:tr>
            <w:tr w14:paraId="0C57D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0" w:type="pct"/>
                  <w:shd w:val="clear" w:color="auto" w:fill="auto"/>
                  <w:vAlign w:val="center"/>
                </w:tcPr>
                <w:p w14:paraId="7876A98D">
                  <w:pPr>
                    <w:pStyle w:val="29"/>
                    <w:rPr>
                      <w:rFonts w:hint="default" w:ascii="Times New Roman" w:hAnsi="Times New Roman" w:cs="Times New Roman"/>
                    </w:rPr>
                  </w:pPr>
                  <w:r>
                    <w:rPr>
                      <w:rFonts w:hint="default" w:ascii="Times New Roman" w:hAnsi="Times New Roman" w:cs="Times New Roman"/>
                      <w:lang w:val="zh-CN"/>
                    </w:rPr>
                    <w:t>本项目执行标准</w:t>
                  </w:r>
                </w:p>
              </w:tc>
              <w:tc>
                <w:tcPr>
                  <w:tcW w:w="780" w:type="pct"/>
                  <w:vAlign w:val="center"/>
                </w:tcPr>
                <w:p w14:paraId="7B538C6A">
                  <w:pPr>
                    <w:pStyle w:val="29"/>
                    <w:rPr>
                      <w:rFonts w:hint="default" w:ascii="Times New Roman" w:hAnsi="Times New Roman" w:cs="Times New Roman"/>
                    </w:rPr>
                  </w:pPr>
                  <w:r>
                    <w:rPr>
                      <w:rFonts w:hint="default" w:ascii="Times New Roman" w:hAnsi="Times New Roman" w:cs="Times New Roman"/>
                    </w:rPr>
                    <w:t>6~9</w:t>
                  </w:r>
                </w:p>
              </w:tc>
              <w:tc>
                <w:tcPr>
                  <w:tcW w:w="616" w:type="pct"/>
                  <w:vAlign w:val="center"/>
                </w:tcPr>
                <w:p w14:paraId="4F3ECAFF">
                  <w:pPr>
                    <w:pStyle w:val="29"/>
                    <w:rPr>
                      <w:rFonts w:hint="default" w:ascii="Times New Roman" w:hAnsi="Times New Roman" w:cs="Times New Roman"/>
                    </w:rPr>
                  </w:pPr>
                  <w:r>
                    <w:rPr>
                      <w:rFonts w:hint="default" w:ascii="Times New Roman" w:hAnsi="Times New Roman" w:cs="Times New Roman"/>
                    </w:rPr>
                    <w:t>500</w:t>
                  </w:r>
                </w:p>
              </w:tc>
              <w:tc>
                <w:tcPr>
                  <w:tcW w:w="593" w:type="pct"/>
                  <w:vAlign w:val="center"/>
                </w:tcPr>
                <w:p w14:paraId="36FE88A8">
                  <w:pPr>
                    <w:pStyle w:val="29"/>
                    <w:rPr>
                      <w:rFonts w:hint="default" w:ascii="Times New Roman" w:hAnsi="Times New Roman" w:cs="Times New Roman"/>
                    </w:rPr>
                  </w:pPr>
                  <w:r>
                    <w:rPr>
                      <w:rFonts w:hint="default" w:ascii="Times New Roman" w:hAnsi="Times New Roman" w:cs="Times New Roman"/>
                    </w:rPr>
                    <w:t>300</w:t>
                  </w:r>
                </w:p>
              </w:tc>
              <w:tc>
                <w:tcPr>
                  <w:tcW w:w="649" w:type="pct"/>
                  <w:vAlign w:val="center"/>
                </w:tcPr>
                <w:p w14:paraId="5DCD5DB6">
                  <w:pPr>
                    <w:pStyle w:val="29"/>
                    <w:rPr>
                      <w:rFonts w:hint="default" w:ascii="Times New Roman" w:hAnsi="Times New Roman" w:cs="Times New Roman"/>
                    </w:rPr>
                  </w:pPr>
                  <w:r>
                    <w:rPr>
                      <w:rFonts w:hint="default" w:ascii="Times New Roman" w:hAnsi="Times New Roman" w:cs="Times New Roman"/>
                    </w:rPr>
                    <w:t>45</w:t>
                  </w:r>
                </w:p>
              </w:tc>
              <w:tc>
                <w:tcPr>
                  <w:tcW w:w="633" w:type="pct"/>
                  <w:vAlign w:val="center"/>
                </w:tcPr>
                <w:p w14:paraId="2A90F04D">
                  <w:pPr>
                    <w:pStyle w:val="29"/>
                    <w:rPr>
                      <w:rFonts w:hint="default" w:ascii="Times New Roman" w:hAnsi="Times New Roman" w:cs="Times New Roman"/>
                    </w:rPr>
                  </w:pPr>
                  <w:r>
                    <w:rPr>
                      <w:rFonts w:hint="default" w:ascii="Times New Roman" w:hAnsi="Times New Roman" w:cs="Times New Roman"/>
                    </w:rPr>
                    <w:t>400</w:t>
                  </w:r>
                </w:p>
              </w:tc>
              <w:tc>
                <w:tcPr>
                  <w:tcW w:w="645" w:type="pct"/>
                  <w:vAlign w:val="center"/>
                </w:tcPr>
                <w:p w14:paraId="155F8401">
                  <w:pPr>
                    <w:pStyle w:val="29"/>
                    <w:rPr>
                      <w:rFonts w:hint="default" w:ascii="Times New Roman" w:hAnsi="Times New Roman" w:cs="Times New Roman"/>
                    </w:rPr>
                  </w:pPr>
                  <w:r>
                    <w:rPr>
                      <w:rFonts w:hint="default" w:ascii="Times New Roman" w:hAnsi="Times New Roman" w:cs="Times New Roman"/>
                    </w:rPr>
                    <w:t>100</w:t>
                  </w:r>
                </w:p>
              </w:tc>
            </w:tr>
            <w:tr w14:paraId="46E64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0" w:type="pct"/>
                  <w:shd w:val="clear" w:color="auto" w:fill="auto"/>
                  <w:vAlign w:val="center"/>
                </w:tcPr>
                <w:p w14:paraId="2226E442">
                  <w:pPr>
                    <w:pStyle w:val="29"/>
                    <w:rPr>
                      <w:rFonts w:hint="default" w:ascii="Times New Roman" w:hAnsi="Times New Roman" w:cs="Times New Roman"/>
                    </w:rPr>
                  </w:pPr>
                  <w:r>
                    <w:rPr>
                      <w:rFonts w:hint="default" w:ascii="Times New Roman" w:hAnsi="Times New Roman" w:cs="Times New Roman"/>
                    </w:rPr>
                    <w:t>GB18918-2002中一级A标准</w:t>
                  </w:r>
                </w:p>
              </w:tc>
              <w:tc>
                <w:tcPr>
                  <w:tcW w:w="780" w:type="pct"/>
                  <w:vAlign w:val="center"/>
                </w:tcPr>
                <w:p w14:paraId="490F83E1">
                  <w:pPr>
                    <w:pStyle w:val="29"/>
                    <w:rPr>
                      <w:rFonts w:hint="default" w:ascii="Times New Roman" w:hAnsi="Times New Roman" w:cs="Times New Roman"/>
                    </w:rPr>
                  </w:pPr>
                  <w:r>
                    <w:rPr>
                      <w:rFonts w:hint="default" w:ascii="Times New Roman" w:hAnsi="Times New Roman" w:cs="Times New Roman"/>
                    </w:rPr>
                    <w:t>6~9</w:t>
                  </w:r>
                </w:p>
              </w:tc>
              <w:tc>
                <w:tcPr>
                  <w:tcW w:w="616" w:type="pct"/>
                  <w:vAlign w:val="center"/>
                </w:tcPr>
                <w:p w14:paraId="734328A6">
                  <w:pPr>
                    <w:pStyle w:val="29"/>
                    <w:rPr>
                      <w:rFonts w:hint="default" w:ascii="Times New Roman" w:hAnsi="Times New Roman" w:cs="Times New Roman"/>
                    </w:rPr>
                  </w:pPr>
                  <w:r>
                    <w:rPr>
                      <w:rFonts w:hint="default" w:ascii="Times New Roman" w:hAnsi="Times New Roman" w:cs="Times New Roman"/>
                    </w:rPr>
                    <w:t>50</w:t>
                  </w:r>
                </w:p>
              </w:tc>
              <w:tc>
                <w:tcPr>
                  <w:tcW w:w="593" w:type="pct"/>
                  <w:vAlign w:val="center"/>
                </w:tcPr>
                <w:p w14:paraId="727B674E">
                  <w:pPr>
                    <w:pStyle w:val="29"/>
                    <w:rPr>
                      <w:rFonts w:hint="default" w:ascii="Times New Roman" w:hAnsi="Times New Roman" w:cs="Times New Roman"/>
                    </w:rPr>
                  </w:pPr>
                  <w:r>
                    <w:rPr>
                      <w:rFonts w:hint="default" w:ascii="Times New Roman" w:hAnsi="Times New Roman" w:cs="Times New Roman"/>
                    </w:rPr>
                    <w:t>10</w:t>
                  </w:r>
                </w:p>
              </w:tc>
              <w:tc>
                <w:tcPr>
                  <w:tcW w:w="649" w:type="pct"/>
                  <w:vAlign w:val="center"/>
                </w:tcPr>
                <w:p w14:paraId="0337170C">
                  <w:pPr>
                    <w:pStyle w:val="29"/>
                    <w:rPr>
                      <w:rFonts w:hint="default" w:ascii="Times New Roman" w:hAnsi="Times New Roman" w:cs="Times New Roman"/>
                    </w:rPr>
                  </w:pPr>
                  <w:r>
                    <w:rPr>
                      <w:rFonts w:hint="default" w:ascii="Times New Roman" w:hAnsi="Times New Roman" w:cs="Times New Roman"/>
                    </w:rPr>
                    <w:t>5</w:t>
                  </w:r>
                </w:p>
              </w:tc>
              <w:tc>
                <w:tcPr>
                  <w:tcW w:w="633" w:type="pct"/>
                  <w:vAlign w:val="center"/>
                </w:tcPr>
                <w:p w14:paraId="737BD6A3">
                  <w:pPr>
                    <w:pStyle w:val="29"/>
                    <w:rPr>
                      <w:rFonts w:hint="default" w:ascii="Times New Roman" w:hAnsi="Times New Roman" w:cs="Times New Roman"/>
                    </w:rPr>
                  </w:pPr>
                  <w:r>
                    <w:rPr>
                      <w:rFonts w:hint="default" w:ascii="Times New Roman" w:hAnsi="Times New Roman" w:cs="Times New Roman"/>
                    </w:rPr>
                    <w:t>10</w:t>
                  </w:r>
                </w:p>
              </w:tc>
              <w:tc>
                <w:tcPr>
                  <w:tcW w:w="645" w:type="pct"/>
                  <w:vAlign w:val="center"/>
                </w:tcPr>
                <w:p w14:paraId="70E61CA8">
                  <w:pPr>
                    <w:pStyle w:val="29"/>
                    <w:rPr>
                      <w:rFonts w:hint="default" w:ascii="Times New Roman" w:hAnsi="Times New Roman" w:cs="Times New Roman"/>
                    </w:rPr>
                  </w:pPr>
                  <w:r>
                    <w:rPr>
                      <w:rFonts w:hint="default" w:ascii="Times New Roman" w:hAnsi="Times New Roman" w:cs="Times New Roman"/>
                    </w:rPr>
                    <w:t>1</w:t>
                  </w:r>
                </w:p>
              </w:tc>
            </w:tr>
          </w:tbl>
          <w:p w14:paraId="0BB57EAC">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3.3.3噪声排放标准</w:t>
            </w:r>
          </w:p>
          <w:p w14:paraId="4CC93AF1">
            <w:pPr>
              <w:ind w:firstLine="480" w:firstLineChars="200"/>
              <w:rPr>
                <w:rFonts w:hint="default" w:ascii="Times New Roman" w:hAnsi="Times New Roman" w:cs="Times New Roman"/>
              </w:rPr>
            </w:pPr>
            <w:bookmarkStart w:id="7" w:name="_Hlk177980749"/>
            <w:r>
              <w:rPr>
                <w:rFonts w:hint="default" w:ascii="Times New Roman" w:hAnsi="Times New Roman" w:cs="Times New Roman"/>
              </w:rPr>
              <w:t>根据现场调查，本项目位于淮南市谢家集区李郢孜镇经济开发区经五路与卧园路交叉口向西50米，根据《淮南市中心城区声环境功能区划分方案》（2021年），本项目位于声环境功能区3类区，</w:t>
            </w:r>
            <w:bookmarkEnd w:id="7"/>
            <w:r>
              <w:rPr>
                <w:rFonts w:hint="default" w:ascii="Times New Roman" w:hAnsi="Times New Roman" w:cs="Times New Roman"/>
              </w:rPr>
              <w:t>厂界噪声排放执行《工业企业厂界环境噪声排放标准》（GB12348-2008）3类标准，具体见下表。</w:t>
            </w:r>
          </w:p>
          <w:p w14:paraId="5EE6FAB4">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3-</w:t>
            </w:r>
            <w:r>
              <w:rPr>
                <w:rFonts w:hint="default" w:ascii="Times New Roman" w:hAnsi="Times New Roman" w:cs="Times New Roman"/>
                <w:b/>
                <w:kern w:val="0"/>
                <w:sz w:val="21"/>
                <w:szCs w:val="22"/>
                <w:lang w:val="en-US" w:eastAsia="zh-CN"/>
              </w:rPr>
              <w:t>9</w:t>
            </w:r>
            <w:r>
              <w:rPr>
                <w:rFonts w:hint="default" w:ascii="Times New Roman" w:hAnsi="Times New Roman" w:cs="Times New Roman"/>
                <w:b/>
                <w:kern w:val="0"/>
                <w:sz w:val="21"/>
                <w:szCs w:val="22"/>
              </w:rPr>
              <w:t xml:space="preserve"> 《工业企业厂界环境噪声排放标准》（GB12348-2008）</w:t>
            </w:r>
          </w:p>
          <w:tbl>
            <w:tblPr>
              <w:tblStyle w:val="21"/>
              <w:tblpPr w:leftFromText="180" w:rightFromText="180" w:vertAnchor="text" w:tblpXSpec="center" w:tblpY="1"/>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79"/>
              <w:gridCol w:w="2206"/>
              <w:gridCol w:w="2708"/>
            </w:tblGrid>
            <w:tr w14:paraId="17052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tblHeader/>
                <w:jc w:val="center"/>
              </w:trPr>
              <w:tc>
                <w:tcPr>
                  <w:tcW w:w="3262" w:type="pct"/>
                  <w:gridSpan w:val="2"/>
                  <w:vAlign w:val="center"/>
                </w:tcPr>
                <w:p w14:paraId="5E2CAC59">
                  <w:pPr>
                    <w:pStyle w:val="29"/>
                    <w:rPr>
                      <w:rFonts w:hint="default" w:ascii="Times New Roman" w:hAnsi="Times New Roman" w:cs="Times New Roman"/>
                      <w:b/>
                      <w:bCs/>
                    </w:rPr>
                  </w:pPr>
                  <w:r>
                    <w:rPr>
                      <w:rFonts w:hint="default" w:ascii="Times New Roman" w:hAnsi="Times New Roman" w:cs="Times New Roman"/>
                      <w:b/>
                      <w:bCs/>
                    </w:rPr>
                    <w:t>标准类别</w:t>
                  </w:r>
                </w:p>
              </w:tc>
              <w:tc>
                <w:tcPr>
                  <w:tcW w:w="1737" w:type="pct"/>
                  <w:vAlign w:val="center"/>
                </w:tcPr>
                <w:p w14:paraId="72DCADD1">
                  <w:pPr>
                    <w:pStyle w:val="29"/>
                    <w:rPr>
                      <w:rFonts w:hint="default" w:ascii="Times New Roman" w:hAnsi="Times New Roman" w:cs="Times New Roman"/>
                      <w:b/>
                      <w:bCs/>
                    </w:rPr>
                  </w:pPr>
                  <w:r>
                    <w:rPr>
                      <w:rFonts w:hint="default" w:ascii="Times New Roman" w:hAnsi="Times New Roman" w:cs="Times New Roman"/>
                      <w:b/>
                      <w:bCs/>
                    </w:rPr>
                    <w:t>昼间dB（A）</w:t>
                  </w:r>
                </w:p>
              </w:tc>
            </w:tr>
            <w:tr w14:paraId="2CC96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0" w:hRule="atLeast"/>
                <w:jc w:val="center"/>
              </w:trPr>
              <w:tc>
                <w:tcPr>
                  <w:tcW w:w="1847" w:type="pct"/>
                  <w:vAlign w:val="center"/>
                </w:tcPr>
                <w:p w14:paraId="3B155104">
                  <w:pPr>
                    <w:pStyle w:val="29"/>
                    <w:rPr>
                      <w:rFonts w:hint="default" w:ascii="Times New Roman" w:hAnsi="Times New Roman" w:cs="Times New Roman"/>
                    </w:rPr>
                  </w:pPr>
                  <w:r>
                    <w:rPr>
                      <w:rFonts w:hint="default" w:ascii="Times New Roman" w:hAnsi="Times New Roman" w:cs="Times New Roman"/>
                    </w:rPr>
                    <w:t>厂界</w:t>
                  </w:r>
                </w:p>
              </w:tc>
              <w:tc>
                <w:tcPr>
                  <w:tcW w:w="1414" w:type="pct"/>
                  <w:vAlign w:val="center"/>
                </w:tcPr>
                <w:p w14:paraId="3BD1DCEC">
                  <w:pPr>
                    <w:pStyle w:val="29"/>
                    <w:rPr>
                      <w:rFonts w:hint="default" w:ascii="Times New Roman" w:hAnsi="Times New Roman" w:cs="Times New Roman"/>
                    </w:rPr>
                  </w:pPr>
                  <w:r>
                    <w:rPr>
                      <w:rFonts w:hint="default" w:ascii="Times New Roman" w:hAnsi="Times New Roman" w:cs="Times New Roman"/>
                    </w:rPr>
                    <w:t>3类标准</w:t>
                  </w:r>
                </w:p>
              </w:tc>
              <w:tc>
                <w:tcPr>
                  <w:tcW w:w="1737" w:type="pct"/>
                  <w:vAlign w:val="center"/>
                </w:tcPr>
                <w:p w14:paraId="7D1514BC">
                  <w:pPr>
                    <w:pStyle w:val="29"/>
                    <w:rPr>
                      <w:rFonts w:hint="default" w:ascii="Times New Roman" w:hAnsi="Times New Roman" w:cs="Times New Roman"/>
                    </w:rPr>
                  </w:pPr>
                  <w:r>
                    <w:rPr>
                      <w:rFonts w:hint="default" w:ascii="Times New Roman" w:hAnsi="Times New Roman" w:cs="Times New Roman"/>
                    </w:rPr>
                    <w:t>65</w:t>
                  </w:r>
                </w:p>
              </w:tc>
            </w:tr>
          </w:tbl>
          <w:p w14:paraId="45E81BF1">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3.3.4固体废物排放标准</w:t>
            </w:r>
          </w:p>
          <w:p w14:paraId="7484BD52">
            <w:pPr>
              <w:ind w:firstLine="480" w:firstLineChars="200"/>
              <w:rPr>
                <w:rFonts w:hint="default" w:ascii="Times New Roman" w:hAnsi="Times New Roman" w:cs="Times New Roman"/>
              </w:rPr>
            </w:pPr>
            <w:r>
              <w:rPr>
                <w:rFonts w:hint="default" w:ascii="Times New Roman" w:hAnsi="Times New Roman" w:cs="Times New Roman"/>
              </w:rPr>
              <w:t>危险废物按照《国家危险废物名录》（2025版）分类，危险废物贮存应符合《危险废物贮存污染控制标准》（GB18597-2023）、《危险废物收集贮存运输技术规范》（HJ2025-2012）要求。根据《一般工业固体废物贮存和填埋污染控制标准》（GB18599-2020），本项目采用库房、贮存器具（罐、桶、包装袋等）贮存一般工业固体废物，不适用该标准，但其贮存过程应满足相应防渗漏、防雨淋、防扬尘等环境保护要求。工业固废按照《中华人民共和国固体废物污染环境防治法》（2020年4月29日修订）的工业固体废物管理条款要求执行。</w:t>
            </w:r>
          </w:p>
        </w:tc>
      </w:tr>
      <w:tr w14:paraId="3B462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501" w:type="dxa"/>
            <w:vAlign w:val="center"/>
          </w:tcPr>
          <w:p w14:paraId="31E018B2">
            <w:pPr>
              <w:jc w:val="center"/>
              <w:rPr>
                <w:rFonts w:hint="default" w:ascii="Times New Roman" w:hAnsi="Times New Roman" w:cs="Times New Roman"/>
              </w:rPr>
            </w:pPr>
            <w:r>
              <w:rPr>
                <w:rFonts w:hint="default" w:ascii="Times New Roman" w:hAnsi="Times New Roman" w:cs="Times New Roman"/>
              </w:rPr>
              <w:t>总量控制指标</w:t>
            </w:r>
          </w:p>
        </w:tc>
        <w:tc>
          <w:tcPr>
            <w:tcW w:w="8021" w:type="dxa"/>
          </w:tcPr>
          <w:p w14:paraId="7D2032E3">
            <w:pPr>
              <w:pStyle w:val="55"/>
              <w:ind w:firstLine="0" w:firstLineChars="0"/>
              <w:rPr>
                <w:rFonts w:hint="default" w:ascii="Times New Roman" w:hAnsi="Times New Roman" w:cs="Times New Roman"/>
              </w:rPr>
            </w:pPr>
            <w:r>
              <w:rPr>
                <w:rFonts w:hint="default" w:ascii="Times New Roman" w:hAnsi="Times New Roman" w:cs="Times New Roman"/>
              </w:rPr>
              <w:t>3.4 总量控制指标</w:t>
            </w:r>
          </w:p>
          <w:p w14:paraId="574D2094">
            <w:pPr>
              <w:pStyle w:val="53"/>
              <w:ind w:firstLine="0" w:firstLineChars="0"/>
              <w:rPr>
                <w:rFonts w:hint="default" w:ascii="Times New Roman" w:hAnsi="Times New Roman" w:cs="Times New Roman"/>
              </w:rPr>
            </w:pPr>
            <w:r>
              <w:rPr>
                <w:rFonts w:hint="default" w:ascii="Times New Roman" w:hAnsi="Times New Roman" w:cs="Times New Roman" w:eastAsiaTheme="minorEastAsia"/>
              </w:rPr>
              <w:t xml:space="preserve">3.4.1 </w:t>
            </w:r>
            <w:r>
              <w:rPr>
                <w:rFonts w:hint="default" w:ascii="Times New Roman" w:hAnsi="Times New Roman" w:cs="Times New Roman"/>
              </w:rPr>
              <w:t>项目总量控制平衡方案</w:t>
            </w:r>
          </w:p>
          <w:p w14:paraId="44E7C02E">
            <w:pPr>
              <w:adjustRightInd w:val="0"/>
              <w:snapToGrid w:val="0"/>
              <w:spacing w:before="157" w:beforeLines="50" w:line="360" w:lineRule="auto"/>
              <w:ind w:firstLine="480" w:firstLineChars="200"/>
              <w:outlineLvl w:val="9"/>
              <w:rPr>
                <w:rFonts w:hint="default" w:ascii="Times New Roman" w:hAnsi="Times New Roman" w:cs="Times New Roman"/>
              </w:rPr>
            </w:pPr>
            <w:r>
              <w:rPr>
                <w:rFonts w:hint="default" w:ascii="Times New Roman" w:hAnsi="Times New Roman" w:cs="Times New Roman"/>
                <w:kern w:val="1"/>
                <w:lang w:bidi="ar"/>
              </w:rPr>
              <w:t>根据《建设项目主要污染物排放总量指标审核及管理暂行办法》（环发[2014]197号），用于建设项目的“可替代总量指标”不得低于建设项目所需替代的主要污染物排放总量指标。上一年度环境空气质量年平均浓度不达标的城市、水环境质量未达到要求的市县，相关污染物应按照建设项目所需替代的主要污染物排放总量指标的2倍进行削减替代（燃煤发电机组大气污染物排放浓度基本达到燃气轮机组排放限值的除外）；细颗粒物（PM</w:t>
            </w:r>
            <w:r>
              <w:rPr>
                <w:rFonts w:hint="default" w:ascii="Times New Roman" w:hAnsi="Times New Roman" w:cs="Times New Roman"/>
                <w:kern w:val="1"/>
                <w:vertAlign w:val="subscript"/>
                <w:lang w:bidi="ar"/>
              </w:rPr>
              <w:t>2.5</w:t>
            </w:r>
            <w:r>
              <w:rPr>
                <w:rFonts w:hint="default" w:ascii="Times New Roman" w:hAnsi="Times New Roman" w:cs="Times New Roman"/>
                <w:kern w:val="1"/>
                <w:lang w:bidi="ar"/>
              </w:rPr>
              <w:t>）年平均浓度不达标的城市，二氧化硫、氮氧化物、烟粉尘、挥发性有机物四项污染物均需进行2倍削减替代（燃煤发电机组大气污染物排放浓度基本达到燃气轮机组排放限值的除外）。地方有更严格倍量替代要求的，按照相关规定执行。</w:t>
            </w:r>
          </w:p>
          <w:p w14:paraId="09C48C91">
            <w:pPr>
              <w:pStyle w:val="53"/>
              <w:framePr w:hSpace="0" w:wrap="auto" w:vAnchor="margin" w:hAnchor="text" w:xAlign="left" w:yAlign="inline"/>
              <w:ind w:firstLine="0" w:firstLineChars="0"/>
              <w:rPr>
                <w:rFonts w:hint="default" w:ascii="Times New Roman" w:hAnsi="Times New Roman" w:cs="Times New Roman"/>
              </w:rPr>
            </w:pPr>
            <w:r>
              <w:rPr>
                <w:rFonts w:hint="default" w:ascii="Times New Roman" w:hAnsi="Times New Roman" w:cs="Times New Roman"/>
              </w:rPr>
              <w:t>3.4.2 项目总量控制指标</w:t>
            </w:r>
          </w:p>
          <w:p w14:paraId="545140B6">
            <w:pPr>
              <w:pStyle w:val="45"/>
              <w:spacing w:line="360" w:lineRule="auto"/>
              <w:ind w:firstLine="480"/>
              <w:rPr>
                <w:rFonts w:hint="default" w:ascii="Times New Roman" w:hAnsi="Times New Roman" w:cs="Times New Roman"/>
              </w:rPr>
            </w:pPr>
            <w:r>
              <w:rPr>
                <w:rFonts w:hint="default" w:ascii="Times New Roman" w:hAnsi="Times New Roman" w:cs="Times New Roman"/>
              </w:rPr>
              <w:t>根据《安徽省环保厅关于进一步加强建设项目新增大气污染物总量指标管理工作的通知》（皖环发〔2017〕19号），提出总量控制因子为：烟（粉）尘、VOCs、</w:t>
            </w:r>
            <w:r>
              <w:rPr>
                <w:rFonts w:hint="default" w:ascii="Times New Roman" w:hAnsi="Times New Roman" w:cs="Times New Roman"/>
                <w:kern w:val="1"/>
                <w:szCs w:val="21"/>
                <w:lang w:bidi="ar"/>
              </w:rPr>
              <w:t>二氧化硫、氮氧化物</w:t>
            </w:r>
            <w:r>
              <w:rPr>
                <w:rFonts w:hint="default" w:ascii="Times New Roman" w:hAnsi="Times New Roman" w:cs="Times New Roman"/>
              </w:rPr>
              <w:t>、CODcr、NH</w:t>
            </w:r>
            <w:r>
              <w:rPr>
                <w:rFonts w:hint="default" w:ascii="Times New Roman" w:hAnsi="Times New Roman" w:cs="Times New Roman"/>
                <w:vertAlign w:val="subscript"/>
              </w:rPr>
              <w:t>3</w:t>
            </w:r>
            <w:r>
              <w:rPr>
                <w:rFonts w:hint="default" w:ascii="Times New Roman" w:hAnsi="Times New Roman" w:cs="Times New Roman"/>
              </w:rPr>
              <w:t>-N。</w:t>
            </w:r>
          </w:p>
          <w:p w14:paraId="4C2C5C22">
            <w:pPr>
              <w:pStyle w:val="45"/>
              <w:spacing w:line="360" w:lineRule="auto"/>
              <w:ind w:firstLine="480"/>
              <w:rPr>
                <w:rFonts w:hint="default" w:ascii="Times New Roman" w:hAnsi="Times New Roman" w:cs="Times New Roman"/>
              </w:rPr>
            </w:pPr>
            <w:r>
              <w:rPr>
                <w:rFonts w:hint="default" w:ascii="Times New Roman" w:hAnsi="Times New Roman" w:cs="Times New Roman"/>
              </w:rPr>
              <w:t>1、大气污染物总量控制指标</w:t>
            </w:r>
          </w:p>
          <w:p w14:paraId="5CD77245">
            <w:pPr>
              <w:pStyle w:val="45"/>
              <w:spacing w:line="360" w:lineRule="auto"/>
              <w:ind w:firstLine="480"/>
              <w:rPr>
                <w:rFonts w:hint="default" w:ascii="Times New Roman" w:hAnsi="Times New Roman" w:cs="Times New Roman"/>
              </w:rPr>
            </w:pPr>
            <w:r>
              <w:rPr>
                <w:rFonts w:hint="default" w:ascii="Times New Roman" w:hAnsi="Times New Roman" w:cs="Times New Roman"/>
              </w:rPr>
              <w:t>本项目纳入总量控制指标的主要污染物为：烟（粉）尘（以颗粒物计）、VOCs（以非甲烷总烃计）、SO</w:t>
            </w:r>
            <w:r>
              <w:rPr>
                <w:rFonts w:hint="default" w:ascii="Times New Roman" w:hAnsi="Times New Roman" w:cs="Times New Roman"/>
                <w:vertAlign w:val="subscript"/>
              </w:rPr>
              <w:t>2</w:t>
            </w:r>
            <w:r>
              <w:rPr>
                <w:rFonts w:hint="default" w:ascii="Times New Roman" w:hAnsi="Times New Roman" w:cs="Times New Roman"/>
              </w:rPr>
              <w:t>、NO</w:t>
            </w:r>
            <w:r>
              <w:rPr>
                <w:rFonts w:hint="default" w:ascii="Times New Roman" w:hAnsi="Times New Roman" w:cs="Times New Roman"/>
                <w:vertAlign w:val="subscript"/>
              </w:rPr>
              <w:t>X</w:t>
            </w:r>
            <w:r>
              <w:rPr>
                <w:rFonts w:hint="default" w:ascii="Times New Roman" w:hAnsi="Times New Roman" w:cs="Times New Roman"/>
              </w:rPr>
              <w:t>。根据工程分析可知，本项目大气污染物排放量为烟(粉)尘：</w:t>
            </w:r>
            <w:r>
              <w:rPr>
                <w:rFonts w:hint="default" w:ascii="Times New Roman" w:hAnsi="Times New Roman" w:cs="Times New Roman"/>
                <w:szCs w:val="36"/>
              </w:rPr>
              <w:t>0.08</w:t>
            </w:r>
            <w:r>
              <w:rPr>
                <w:rFonts w:hint="default" w:ascii="Times New Roman" w:hAnsi="Times New Roman" w:cs="Times New Roman"/>
              </w:rPr>
              <w:t>t/a、VOCs：0.002t/a、SO</w:t>
            </w:r>
            <w:r>
              <w:rPr>
                <w:rFonts w:hint="default" w:ascii="Times New Roman" w:hAnsi="Times New Roman" w:cs="Times New Roman"/>
                <w:vertAlign w:val="subscript"/>
              </w:rPr>
              <w:t>2</w:t>
            </w:r>
            <w:r>
              <w:rPr>
                <w:rFonts w:hint="default" w:ascii="Times New Roman" w:hAnsi="Times New Roman" w:cs="Times New Roman"/>
              </w:rPr>
              <w:t>：0.09 t/a、NO</w:t>
            </w:r>
            <w:r>
              <w:rPr>
                <w:rFonts w:hint="default" w:ascii="Times New Roman" w:hAnsi="Times New Roman" w:cs="Times New Roman"/>
                <w:vertAlign w:val="subscript"/>
              </w:rPr>
              <w:t>X</w:t>
            </w:r>
            <w:r>
              <w:rPr>
                <w:rFonts w:hint="default" w:ascii="Times New Roman" w:hAnsi="Times New Roman" w:cs="Times New Roman"/>
              </w:rPr>
              <w:t>：0.135 t/a。因此，本项目烟(粉)尘总量建议指标值：</w:t>
            </w:r>
            <w:r>
              <w:rPr>
                <w:rFonts w:hint="default" w:ascii="Times New Roman" w:hAnsi="Times New Roman" w:cs="Times New Roman"/>
                <w:szCs w:val="36"/>
              </w:rPr>
              <w:t>0.16</w:t>
            </w:r>
            <w:r>
              <w:rPr>
                <w:rFonts w:hint="default" w:ascii="Times New Roman" w:hAnsi="Times New Roman" w:cs="Times New Roman"/>
              </w:rPr>
              <w:t>t/a、VOCs总量建议指标值：0.004t/a，SO</w:t>
            </w:r>
            <w:r>
              <w:rPr>
                <w:rFonts w:hint="default" w:ascii="Times New Roman" w:hAnsi="Times New Roman" w:cs="Times New Roman"/>
                <w:vertAlign w:val="subscript"/>
              </w:rPr>
              <w:t>2</w:t>
            </w:r>
            <w:r>
              <w:rPr>
                <w:rFonts w:hint="default" w:ascii="Times New Roman" w:hAnsi="Times New Roman" w:cs="Times New Roman"/>
              </w:rPr>
              <w:t>总量建议指标值：0.18 t/a，NO</w:t>
            </w:r>
            <w:r>
              <w:rPr>
                <w:rFonts w:hint="default" w:ascii="Times New Roman" w:hAnsi="Times New Roman" w:cs="Times New Roman"/>
                <w:vertAlign w:val="subscript"/>
              </w:rPr>
              <w:t>X</w:t>
            </w:r>
            <w:r>
              <w:rPr>
                <w:rFonts w:hint="default" w:ascii="Times New Roman" w:hAnsi="Times New Roman" w:cs="Times New Roman"/>
              </w:rPr>
              <w:t>总量建议指标值：0.27 t/a。应按1：2的削减比例进行替代。</w:t>
            </w:r>
          </w:p>
          <w:p w14:paraId="5047ACD0">
            <w:pPr>
              <w:pStyle w:val="45"/>
              <w:spacing w:line="360" w:lineRule="auto"/>
              <w:ind w:firstLine="480"/>
              <w:rPr>
                <w:rFonts w:hint="default" w:ascii="Times New Roman" w:hAnsi="Times New Roman" w:cs="Times New Roman"/>
              </w:rPr>
            </w:pPr>
            <w:r>
              <w:rPr>
                <w:rFonts w:hint="default" w:ascii="Times New Roman" w:hAnsi="Times New Roman" w:cs="Times New Roman"/>
              </w:rPr>
              <w:t>2、水污染物总量控制指标</w:t>
            </w:r>
          </w:p>
          <w:p w14:paraId="006C35CD">
            <w:pPr>
              <w:pStyle w:val="45"/>
              <w:spacing w:line="360" w:lineRule="auto"/>
              <w:ind w:firstLine="480"/>
              <w:rPr>
                <w:rFonts w:hint="default" w:ascii="Times New Roman" w:hAnsi="Times New Roman" w:cs="Times New Roman"/>
              </w:rPr>
            </w:pPr>
            <w:r>
              <w:rPr>
                <w:rFonts w:hint="default" w:ascii="Times New Roman" w:hAnsi="Times New Roman" w:cs="Times New Roman"/>
              </w:rPr>
              <w:t>项目制胶设备冲洗废水收集回用至制胶工序；员工生活污水进入化粪池处理后经市政污水管网排入</w:t>
            </w:r>
            <w:r>
              <w:rPr>
                <w:rFonts w:hint="default" w:ascii="Times New Roman" w:hAnsi="Times New Roman" w:cs="Times New Roman"/>
                <w:lang w:eastAsia="zh-CN"/>
              </w:rPr>
              <w:t>淮南首创八公山污水处理厂</w:t>
            </w:r>
            <w:r>
              <w:rPr>
                <w:rFonts w:hint="default" w:ascii="Times New Roman" w:hAnsi="Times New Roman" w:cs="Times New Roman"/>
              </w:rPr>
              <w:t>；</w:t>
            </w:r>
            <w:r>
              <w:rPr>
                <w:rFonts w:hint="default" w:ascii="Times New Roman" w:hAnsi="Times New Roman" w:cs="Times New Roman"/>
                <w:bCs/>
                <w:snapToGrid w:val="0"/>
                <w:shd w:val="clear" w:color="auto" w:fill="FFFFFF"/>
              </w:rPr>
              <w:t>锅炉废水经新建排污口DW001依托园区污水管网排入</w:t>
            </w:r>
            <w:r>
              <w:rPr>
                <w:rFonts w:hint="default" w:ascii="Times New Roman" w:hAnsi="Times New Roman" w:cs="Times New Roman"/>
                <w:bCs/>
                <w:snapToGrid w:val="0"/>
                <w:shd w:val="clear" w:color="auto" w:fill="FFFFFF"/>
                <w:lang w:eastAsia="zh-CN"/>
              </w:rPr>
              <w:t>淮南首创八公山污水处理厂</w:t>
            </w:r>
            <w:r>
              <w:rPr>
                <w:rFonts w:hint="default" w:ascii="Times New Roman" w:hAnsi="Times New Roman" w:cs="Times New Roman"/>
                <w:bCs/>
                <w:snapToGrid w:val="0"/>
                <w:shd w:val="clear" w:color="auto" w:fill="FFFFFF"/>
                <w:lang w:bidi="ar-SA"/>
              </w:rPr>
              <w:t>处理</w:t>
            </w:r>
            <w:r>
              <w:rPr>
                <w:rFonts w:hint="default" w:ascii="Times New Roman" w:hAnsi="Times New Roman" w:cs="Times New Roman"/>
              </w:rPr>
              <w:t>，处理达标的尾水排入淮河；本项目废水总量纳入</w:t>
            </w:r>
            <w:r>
              <w:rPr>
                <w:rFonts w:hint="default" w:ascii="Times New Roman" w:hAnsi="Times New Roman" w:cs="Times New Roman"/>
                <w:lang w:eastAsia="zh-CN"/>
              </w:rPr>
              <w:t>淮南首创八公山污水处理厂</w:t>
            </w:r>
            <w:r>
              <w:rPr>
                <w:rFonts w:hint="default" w:ascii="Times New Roman" w:hAnsi="Times New Roman" w:cs="Times New Roman"/>
              </w:rPr>
              <w:t>总量控制指标内，无需另行申请总量替代指标。</w:t>
            </w:r>
          </w:p>
          <w:p w14:paraId="4A3F50E6">
            <w:pPr>
              <w:pStyle w:val="45"/>
              <w:spacing w:line="360" w:lineRule="auto"/>
              <w:ind w:firstLine="480"/>
              <w:rPr>
                <w:rFonts w:hint="default" w:ascii="Times New Roman" w:hAnsi="Times New Roman" w:cs="Times New Roman"/>
              </w:rPr>
            </w:pPr>
            <w:r>
              <w:rPr>
                <w:rFonts w:hint="default" w:ascii="Times New Roman" w:hAnsi="Times New Roman" w:cs="Times New Roman"/>
              </w:rPr>
              <w:t>3、固体废物总量控制指标</w:t>
            </w:r>
          </w:p>
          <w:p w14:paraId="7A0F6297">
            <w:pPr>
              <w:pStyle w:val="45"/>
              <w:spacing w:line="360" w:lineRule="auto"/>
              <w:ind w:firstLine="480"/>
              <w:rPr>
                <w:rFonts w:hint="default" w:ascii="Times New Roman" w:hAnsi="Times New Roman" w:cs="Times New Roman"/>
              </w:rPr>
            </w:pPr>
            <w:r>
              <w:rPr>
                <w:rFonts w:hint="default" w:ascii="Times New Roman" w:hAnsi="Times New Roman" w:cs="Times New Roman"/>
              </w:rPr>
              <w:t>本项目固体废物均按照要求进行管理处置，无需申请总量替代指标。</w:t>
            </w:r>
          </w:p>
        </w:tc>
      </w:tr>
    </w:tbl>
    <w:p w14:paraId="0E913494">
      <w:pPr>
        <w:rPr>
          <w:rFonts w:hint="default" w:ascii="Times New Roman" w:hAnsi="Times New Roman" w:cs="Times New Roman"/>
        </w:rPr>
        <w:sectPr>
          <w:headerReference r:id="rId9" w:type="default"/>
          <w:pgSz w:w="11906" w:h="16838"/>
          <w:pgMar w:top="1440" w:right="1800" w:bottom="1440" w:left="1800" w:header="851" w:footer="992" w:gutter="0"/>
          <w:cols w:space="425" w:num="1"/>
          <w:docGrid w:type="lines" w:linePitch="312" w:charSpace="0"/>
        </w:sectPr>
      </w:pPr>
    </w:p>
    <w:p w14:paraId="739ACD8E">
      <w:pPr>
        <w:pStyle w:val="3"/>
        <w:rPr>
          <w:rFonts w:hint="default" w:ascii="Times New Roman" w:hAnsi="Times New Roman" w:cs="Times New Roman"/>
        </w:rPr>
      </w:pPr>
      <w:bookmarkStart w:id="8" w:name="_Toc1251"/>
      <w:r>
        <w:rPr>
          <w:rFonts w:hint="default" w:ascii="Times New Roman" w:hAnsi="Times New Roman" w:cs="Times New Roman"/>
        </w:rPr>
        <w:t>四、主要环境影响和保护措施</w:t>
      </w:r>
      <w:bookmarkEnd w:id="8"/>
    </w:p>
    <w:tbl>
      <w:tblPr>
        <w:tblStyle w:val="22"/>
        <w:tblW w:w="8558" w:type="dxa"/>
        <w:tblInd w:w="-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
        <w:gridCol w:w="7883"/>
        <w:gridCol w:w="222"/>
      </w:tblGrid>
      <w:tr w14:paraId="2BC7F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 w:type="dxa"/>
            <w:vAlign w:val="center"/>
          </w:tcPr>
          <w:p w14:paraId="14CCBED8">
            <w:pPr>
              <w:jc w:val="center"/>
              <w:rPr>
                <w:rFonts w:hint="default" w:ascii="Times New Roman" w:hAnsi="Times New Roman" w:cs="Times New Roman"/>
              </w:rPr>
            </w:pPr>
            <w:r>
              <w:rPr>
                <w:rFonts w:hint="default" w:ascii="Times New Roman" w:hAnsi="Times New Roman" w:cs="Times New Roman"/>
              </w:rPr>
              <w:t>施工期环境保护措施</w:t>
            </w:r>
          </w:p>
        </w:tc>
        <w:tc>
          <w:tcPr>
            <w:tcW w:w="7883" w:type="dxa"/>
          </w:tcPr>
          <w:p w14:paraId="0DC21A7F">
            <w:pPr>
              <w:pStyle w:val="55"/>
              <w:wordWrap/>
              <w:adjustRightInd w:val="0"/>
              <w:snapToGrid w:val="0"/>
              <w:ind w:firstLine="0" w:firstLineChars="0"/>
              <w:rPr>
                <w:rFonts w:hint="default" w:ascii="Times New Roman" w:hAnsi="Times New Roman" w:cs="Times New Roman"/>
                <w:kern w:val="0"/>
                <w:szCs w:val="20"/>
              </w:rPr>
            </w:pPr>
            <w:r>
              <w:rPr>
                <w:rFonts w:hint="default" w:ascii="Times New Roman" w:hAnsi="Times New Roman" w:cs="Times New Roman"/>
                <w:kern w:val="0"/>
                <w:szCs w:val="20"/>
              </w:rPr>
              <w:t>4.1施工期</w:t>
            </w:r>
          </w:p>
          <w:p w14:paraId="6A7F2C30">
            <w:pPr>
              <w:pStyle w:val="45"/>
              <w:spacing w:line="360" w:lineRule="auto"/>
              <w:ind w:firstLine="480"/>
              <w:rPr>
                <w:rFonts w:hint="default" w:ascii="Times New Roman" w:hAnsi="Times New Roman" w:cs="Times New Roman"/>
              </w:rPr>
            </w:pPr>
            <w:r>
              <w:rPr>
                <w:rFonts w:hint="default" w:ascii="Times New Roman" w:hAnsi="Times New Roman" w:cs="Times New Roman"/>
              </w:rPr>
              <w:t>本项目租赁现有闲置厂房进行生产建设，施工期主要进行生产设备安装和调试，不涉及土建施工，对周围环境影响较小，施工期主要环境问题为生活污水、生活垃圾排放。生活污水经厂区内现有的化粪池处理后达标纳管排放，生活垃圾统一收集，集中后定期交由环卫部门处理。</w:t>
            </w:r>
          </w:p>
          <w:p w14:paraId="2BCF142A">
            <w:pPr>
              <w:pStyle w:val="45"/>
              <w:spacing w:line="360" w:lineRule="auto"/>
              <w:ind w:firstLine="480"/>
              <w:rPr>
                <w:rFonts w:hint="default" w:ascii="Times New Roman" w:hAnsi="Times New Roman" w:cs="Times New Roman"/>
              </w:rPr>
            </w:pPr>
            <w:r>
              <w:rPr>
                <w:rFonts w:hint="default" w:ascii="Times New Roman" w:hAnsi="Times New Roman" w:cs="Times New Roman"/>
              </w:rPr>
              <w:t>施工期环境保护措施如下：</w:t>
            </w:r>
          </w:p>
          <w:p w14:paraId="42456A39">
            <w:pPr>
              <w:pStyle w:val="45"/>
              <w:spacing w:line="360" w:lineRule="auto"/>
              <w:ind w:firstLine="480"/>
              <w:rPr>
                <w:rFonts w:hint="default" w:ascii="Times New Roman" w:hAnsi="Times New Roman" w:cs="Times New Roman"/>
              </w:rPr>
            </w:pPr>
            <w:r>
              <w:rPr>
                <w:rFonts w:hint="default" w:ascii="Times New Roman" w:hAnsi="Times New Roman" w:cs="Times New Roman"/>
              </w:rPr>
              <w:t>（1）施工人员生活污水经园区化粪池预处理后排入市政污水管网。</w:t>
            </w:r>
          </w:p>
          <w:p w14:paraId="7C08D3D0">
            <w:pPr>
              <w:pStyle w:val="45"/>
              <w:spacing w:line="360" w:lineRule="auto"/>
              <w:ind w:firstLine="480"/>
              <w:rPr>
                <w:rFonts w:hint="default" w:ascii="Times New Roman" w:hAnsi="Times New Roman" w:cs="Times New Roman"/>
              </w:rPr>
            </w:pPr>
            <w:r>
              <w:rPr>
                <w:rFonts w:hint="default" w:ascii="Times New Roman" w:hAnsi="Times New Roman" w:cs="Times New Roman"/>
              </w:rPr>
              <w:t>（2）施工人员生活垃圾由垃圾桶收集后委托环卫清运。</w:t>
            </w:r>
          </w:p>
          <w:p w14:paraId="79B2BADC">
            <w:pPr>
              <w:pStyle w:val="45"/>
              <w:spacing w:line="360" w:lineRule="auto"/>
              <w:ind w:firstLine="480"/>
              <w:rPr>
                <w:rFonts w:hint="default" w:ascii="Times New Roman" w:hAnsi="Times New Roman" w:cs="Times New Roman"/>
              </w:rPr>
            </w:pPr>
            <w:r>
              <w:rPr>
                <w:rFonts w:hint="default" w:ascii="Times New Roman" w:hAnsi="Times New Roman" w:cs="Times New Roman"/>
              </w:rPr>
              <w:t>（3）施工过程中的少量施工废料外售综合利用，不能利用部分混入生活垃圾。</w:t>
            </w:r>
          </w:p>
          <w:p w14:paraId="58B78421">
            <w:pPr>
              <w:pStyle w:val="45"/>
              <w:spacing w:line="360" w:lineRule="auto"/>
              <w:ind w:firstLine="480"/>
              <w:rPr>
                <w:rFonts w:hint="default" w:ascii="Times New Roman" w:hAnsi="Times New Roman" w:cs="Times New Roman"/>
              </w:rPr>
            </w:pPr>
            <w:r>
              <w:rPr>
                <w:rFonts w:hint="default" w:ascii="Times New Roman" w:hAnsi="Times New Roman" w:cs="Times New Roman"/>
              </w:rPr>
              <w:t>（4）通过关闭厂房门窗降低施工噪声，选用低噪声施工机械，并采取减震、隔声等措施减少对周围环境的影响。</w:t>
            </w:r>
          </w:p>
          <w:p w14:paraId="1354C9B9">
            <w:pPr>
              <w:pStyle w:val="45"/>
              <w:spacing w:line="360" w:lineRule="auto"/>
              <w:ind w:firstLine="480"/>
              <w:rPr>
                <w:rFonts w:hint="default" w:ascii="Times New Roman" w:hAnsi="Times New Roman" w:cs="Times New Roman"/>
              </w:rPr>
            </w:pPr>
            <w:r>
              <w:rPr>
                <w:rFonts w:hint="default" w:ascii="Times New Roman" w:hAnsi="Times New Roman" w:cs="Times New Roman"/>
              </w:rPr>
              <w:t>（5）加强施工现场管理，避免夜间施工。</w:t>
            </w:r>
          </w:p>
          <w:p w14:paraId="36CB689E">
            <w:pPr>
              <w:shd w:val="clear" w:color="auto" w:fill="FFFFFF" w:themeFill="background1"/>
              <w:ind w:firstLine="480" w:firstLineChars="200"/>
              <w:rPr>
                <w:rFonts w:hint="default" w:ascii="Times New Roman" w:hAnsi="Times New Roman" w:cs="Times New Roman"/>
              </w:rPr>
            </w:pPr>
            <w:r>
              <w:rPr>
                <w:rFonts w:hint="default" w:ascii="Times New Roman" w:hAnsi="Times New Roman" w:cs="Times New Roman"/>
              </w:rPr>
              <w:t>通过采取上述措施，可降低对周围环境的不利影响，本项目施工期对环境影响较小。</w:t>
            </w:r>
          </w:p>
        </w:tc>
        <w:tc>
          <w:tcPr>
            <w:tcW w:w="222" w:type="dxa"/>
          </w:tcPr>
          <w:p w14:paraId="347947E5">
            <w:pPr>
              <w:ind w:firstLine="480" w:firstLineChars="200"/>
              <w:rPr>
                <w:rFonts w:hint="default" w:ascii="Times New Roman" w:hAnsi="Times New Roman" w:cs="Times New Roman"/>
              </w:rPr>
            </w:pPr>
          </w:p>
        </w:tc>
      </w:tr>
      <w:tr w14:paraId="49104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 w:hRule="atLeast"/>
        </w:trPr>
        <w:tc>
          <w:tcPr>
            <w:tcW w:w="453" w:type="dxa"/>
            <w:shd w:val="clear" w:color="auto" w:fill="auto"/>
            <w:vAlign w:val="center"/>
          </w:tcPr>
          <w:p w14:paraId="3122437C">
            <w:pPr>
              <w:jc w:val="center"/>
              <w:rPr>
                <w:rFonts w:hint="default" w:ascii="Times New Roman" w:hAnsi="Times New Roman" w:cs="Times New Roman"/>
              </w:rPr>
            </w:pPr>
            <w:r>
              <w:rPr>
                <w:rFonts w:hint="default" w:ascii="Times New Roman" w:hAnsi="Times New Roman" w:cs="Times New Roman"/>
              </w:rPr>
              <w:t>运营期环境影响和保护措施</w:t>
            </w:r>
          </w:p>
        </w:tc>
        <w:tc>
          <w:tcPr>
            <w:tcW w:w="7883" w:type="dxa"/>
            <w:shd w:val="clear" w:color="auto" w:fill="auto"/>
          </w:tcPr>
          <w:p w14:paraId="0A83BBED">
            <w:pPr>
              <w:pStyle w:val="40"/>
              <w:spacing w:line="360" w:lineRule="auto"/>
              <w:ind w:firstLine="0" w:firstLineChars="0"/>
              <w:rPr>
                <w:rFonts w:hint="default" w:ascii="Times New Roman" w:hAnsi="Times New Roman" w:cs="Times New Roman"/>
              </w:rPr>
            </w:pPr>
            <w:r>
              <w:rPr>
                <w:rFonts w:hint="default" w:ascii="Times New Roman" w:hAnsi="Times New Roman" w:cs="Times New Roman"/>
              </w:rPr>
              <w:t>4.2大气影响环境分析</w:t>
            </w:r>
          </w:p>
          <w:p w14:paraId="7ACD1855">
            <w:pPr>
              <w:pStyle w:val="40"/>
              <w:spacing w:line="360" w:lineRule="auto"/>
              <w:ind w:firstLine="0" w:firstLineChars="0"/>
              <w:rPr>
                <w:rFonts w:hint="default" w:ascii="Times New Roman" w:hAnsi="Times New Roman" w:cs="Times New Roman"/>
              </w:rPr>
            </w:pPr>
            <w:r>
              <w:rPr>
                <w:rFonts w:hint="default" w:ascii="Times New Roman" w:hAnsi="Times New Roman" w:cs="Times New Roman"/>
              </w:rPr>
              <w:t>4.2.1废气污染源强</w:t>
            </w:r>
          </w:p>
          <w:p w14:paraId="292B7FA6">
            <w:pPr>
              <w:widowControl/>
              <w:ind w:firstLine="480" w:firstLineChars="200"/>
              <w:rPr>
                <w:rFonts w:hint="default" w:ascii="Times New Roman" w:hAnsi="Times New Roman" w:cs="Times New Roman"/>
              </w:rPr>
            </w:pPr>
            <w:r>
              <w:rPr>
                <w:rFonts w:hint="default" w:ascii="Times New Roman" w:hAnsi="Times New Roman" w:cs="Times New Roman"/>
              </w:rPr>
              <w:t>本项目运营时产生的废气主要为制胶过程中产生的投料粉尘，主要污染物为颗粒物；印刷过程中产生的有机废气，以非甲烷总烃计。</w:t>
            </w:r>
          </w:p>
          <w:p w14:paraId="04CCC612">
            <w:pPr>
              <w:widowControl/>
              <w:ind w:firstLine="480" w:firstLineChars="200"/>
              <w:jc w:val="both"/>
              <w:rPr>
                <w:rFonts w:hint="default" w:ascii="Times New Roman" w:hAnsi="Times New Roman" w:cs="Times New Roman"/>
              </w:rPr>
            </w:pPr>
            <w:r>
              <w:rPr>
                <w:rFonts w:hint="default" w:ascii="Times New Roman" w:hAnsi="Times New Roman" w:cs="Times New Roman"/>
              </w:rPr>
              <w:t>1、投料粉尘</w:t>
            </w:r>
          </w:p>
          <w:p w14:paraId="3ED74DF2">
            <w:pPr>
              <w:widowControl/>
              <w:ind w:firstLine="480" w:firstLineChars="200"/>
              <w:jc w:val="both"/>
              <w:rPr>
                <w:rFonts w:hint="default" w:ascii="Times New Roman" w:hAnsi="Times New Roman" w:cs="Times New Roman"/>
              </w:rPr>
            </w:pPr>
            <w:r>
              <w:rPr>
                <w:rFonts w:hint="default" w:ascii="Times New Roman" w:hAnsi="Times New Roman" w:cs="Times New Roman"/>
              </w:rPr>
              <w:t>本项目使用的玉米淀粉胶通过外购的玉米淀粉、硼砂、氢氧化钠自制，</w:t>
            </w:r>
            <w:r>
              <w:rPr>
                <w:rFonts w:hint="default" w:ascii="Times New Roman" w:hAnsi="Times New Roman" w:eastAsia="sans-serif" w:cs="Times New Roman"/>
                <w:shd w:val="clear" w:color="auto" w:fill="FFFFFF"/>
              </w:rPr>
              <w:t>由于</w:t>
            </w:r>
            <w:r>
              <w:rPr>
                <w:rFonts w:hint="default" w:ascii="Times New Roman" w:hAnsi="Times New Roman" w:cs="Times New Roman"/>
                <w:shd w:val="clear" w:color="auto" w:fill="FFFFFF"/>
              </w:rPr>
              <w:t>玉米</w:t>
            </w:r>
            <w:r>
              <w:rPr>
                <w:rFonts w:hint="default" w:ascii="Times New Roman" w:hAnsi="Times New Roman" w:eastAsia="sans-serif" w:cs="Times New Roman"/>
                <w:shd w:val="clear" w:color="auto" w:fill="FFFFFF"/>
              </w:rPr>
              <w:t>淀粉为粉状，硼砂与片碱也大部分为粉末状，故在拆包过程中会产生少量的粉尘，拆包时减少晃动</w:t>
            </w:r>
            <w:r>
              <w:rPr>
                <w:rFonts w:hint="default" w:ascii="Times New Roman" w:hAnsi="Times New Roman" w:cs="Times New Roman"/>
              </w:rPr>
              <w:t>，用抽粉机将原料吸入桶内，再由人工倒入制胶机料斗内，</w:t>
            </w:r>
            <w:r>
              <w:rPr>
                <w:rFonts w:hint="default" w:ascii="Times New Roman" w:hAnsi="Times New Roman" w:eastAsia="sans-serif" w:cs="Times New Roman"/>
                <w:shd w:val="clear" w:color="auto" w:fill="FFFFFF"/>
              </w:rPr>
              <w:t>同时加入水，以降低粉尘产生量</w:t>
            </w:r>
            <w:r>
              <w:rPr>
                <w:rFonts w:hint="default" w:ascii="Times New Roman" w:hAnsi="Times New Roman" w:cs="Times New Roman"/>
              </w:rPr>
              <w:t>。</w:t>
            </w:r>
            <w:r>
              <w:rPr>
                <w:rFonts w:hint="default" w:ascii="Times New Roman" w:hAnsi="Times New Roman" w:eastAsia="sans-serif" w:cs="Times New Roman"/>
                <w:shd w:val="clear" w:color="auto" w:fill="FFFFFF"/>
              </w:rPr>
              <w:t>每次调胶过程散落到调胶机周围的粉尘的量很少</w:t>
            </w:r>
            <w:r>
              <w:rPr>
                <w:rFonts w:hint="default" w:ascii="Times New Roman" w:hAnsi="Times New Roman" w:cs="Times New Roman"/>
              </w:rPr>
              <w:t>。废气产生情况参照《生态环境部关于发布&lt;排放源统计调查产排污核算方法和系数手册&gt;的公告》（公告2021年第24号）中2669其他专用化学品制造行业系数手册——水基型胶黏剂产排污系数，投料过程颗粒物产生系数为0.14千克/吨-产品。</w:t>
            </w:r>
          </w:p>
          <w:p w14:paraId="64D61999">
            <w:pPr>
              <w:widowControl/>
              <w:ind w:firstLine="480" w:firstLineChars="200"/>
              <w:jc w:val="both"/>
              <w:rPr>
                <w:rFonts w:hint="default" w:ascii="Times New Roman" w:hAnsi="Times New Roman" w:cs="Times New Roman"/>
              </w:rPr>
            </w:pPr>
            <w:r>
              <w:rPr>
                <w:rFonts w:hint="default" w:ascii="Times New Roman" w:hAnsi="Times New Roman" w:cs="Times New Roman"/>
              </w:rPr>
              <w:t>项目运营期玉米淀粉年用量为240t/a、硼砂6.2t/a、氢氧化钠3.7t/a，总量为249.9t/a。则投料过程粉尘产生量为0.034t/a。项目调胶工序工作时间较短，每天工作时间约3h，年工作时间990h，则调胶粉尘排放量为0.034t/a，排放速率为0.035kg/h。调胶废气在车间无组织排放，通过加强车间通风，降低无组织废气影响。</w:t>
            </w:r>
          </w:p>
          <w:p w14:paraId="04A0F6E0">
            <w:pPr>
              <w:widowControl/>
              <w:ind w:firstLine="480" w:firstLineChars="200"/>
              <w:jc w:val="both"/>
              <w:rPr>
                <w:rFonts w:hint="default" w:ascii="Times New Roman" w:hAnsi="Times New Roman" w:cs="Times New Roman"/>
              </w:rPr>
            </w:pPr>
            <w:r>
              <w:rPr>
                <w:rFonts w:hint="default" w:ascii="Times New Roman" w:hAnsi="Times New Roman" w:cs="Times New Roman"/>
              </w:rPr>
              <w:t>2、印刷废气</w:t>
            </w:r>
          </w:p>
          <w:p w14:paraId="2E2B9F41">
            <w:pPr>
              <w:widowControl/>
              <w:ind w:firstLine="480" w:firstLineChars="200"/>
              <w:jc w:val="both"/>
              <w:rPr>
                <w:rFonts w:hint="default" w:ascii="Times New Roman" w:hAnsi="Times New Roman" w:cs="Times New Roman"/>
                <w:color w:val="000000"/>
                <w:kern w:val="0"/>
                <w:lang w:bidi="ar"/>
              </w:rPr>
            </w:pPr>
            <w:r>
              <w:rPr>
                <w:rFonts w:hint="default" w:ascii="Times New Roman" w:hAnsi="Times New Roman" w:cs="Times New Roman"/>
              </w:rPr>
              <w:t>本项目印刷工序会产生印刷废气。根据《纸包装印刷挥发性有机物治理实用手册》（生态环境部大气环境司编，2020年6月30日发布），纸包装印刷企业在2021年4月1日起使用的油墨中VOCs含量应符合表1的要求水性油墨-柔印油墨-吸收性承印物中VOCs含量限值≤5%。项目使用油墨为水性油墨，根据企业提供的</w:t>
            </w:r>
            <w:r>
              <w:rPr>
                <w:rFonts w:hint="default" w:ascii="Times New Roman" w:hAnsi="Times New Roman" w:cs="Times New Roman"/>
                <w:color w:val="000000"/>
                <w:kern w:val="0"/>
                <w:lang w:bidi="ar"/>
              </w:rPr>
              <w:t>水性油墨MSDS报告及SGS检测报告（编号：SHAHL22000401002）</w:t>
            </w:r>
            <w:r>
              <w:rPr>
                <w:rFonts w:hint="default" w:ascii="Times New Roman" w:hAnsi="Times New Roman" w:cs="Times New Roman"/>
              </w:rPr>
              <w:t>（见附件11），企业使用的水性油墨VOCs为未检出，本次计算VOCs含量按《油墨中可挥发性有机化合物（VOCs）含量的限值》（GB38507-2020）中水性油墨-柔性油墨（吸收性承印物）标准限值（≤5%）折半计算，取值2.5%，全部挥发。</w:t>
            </w:r>
          </w:p>
          <w:p w14:paraId="5A895D13">
            <w:pPr>
              <w:widowControl/>
              <w:ind w:firstLine="480" w:firstLineChars="200"/>
              <w:jc w:val="both"/>
              <w:rPr>
                <w:rFonts w:hint="default" w:ascii="Times New Roman" w:hAnsi="Times New Roman" w:cs="Times New Roman"/>
              </w:rPr>
            </w:pPr>
            <w:r>
              <w:rPr>
                <w:rFonts w:hint="default" w:ascii="Times New Roman" w:hAnsi="Times New Roman" w:cs="Times New Roman"/>
              </w:rPr>
              <w:t>项目在印刷设备上方废气产生点位设置集气罩，收集的废气经二级活性炭吸附装置处理，处理后的废气经一根15m高排气筒（DA001）排放。根据《2022年主要污染物总量减排核算技术指南》（环办综合函[2022]350号），收集效率取90%；根据《安徽省挥发性有机物污染整治工作方案》（GB 37822-2019）要求，原则上VOCs净化效率不低于90%，本项目二级活性炭吸附装置处理效率取90%，风机风量3100m</w:t>
            </w:r>
            <w:r>
              <w:rPr>
                <w:rFonts w:hint="default" w:ascii="Times New Roman" w:hAnsi="Times New Roman" w:cs="Times New Roman"/>
                <w:vertAlign w:val="superscript"/>
              </w:rPr>
              <w:t>3</w:t>
            </w:r>
            <w:r>
              <w:rPr>
                <w:rFonts w:hint="default" w:ascii="Times New Roman" w:hAnsi="Times New Roman" w:cs="Times New Roman"/>
              </w:rPr>
              <w:t>/h，年工作时间约1200小时。</w:t>
            </w:r>
          </w:p>
          <w:p w14:paraId="62C48149">
            <w:pPr>
              <w:widowControl/>
              <w:ind w:firstLine="480" w:firstLineChars="200"/>
              <w:jc w:val="both"/>
              <w:rPr>
                <w:rFonts w:hint="default" w:ascii="Times New Roman" w:hAnsi="Times New Roman" w:cs="Times New Roman"/>
              </w:rPr>
            </w:pPr>
            <w:r>
              <w:rPr>
                <w:rFonts w:hint="default" w:ascii="Times New Roman" w:hAnsi="Times New Roman" w:cs="Times New Roman"/>
              </w:rPr>
              <w:t>企业水性油墨年使用量0.5t/a，年工作时间为1200h，油墨中挥发性有机物含量为2.5%，则有机废气产生量约为0.0125t/a、产生速率为0.0104kg/h。有机废气经集气罩收集后进入二级活性炭吸附装置处理后由15m高排气筒排放（DA001），收集率按90%计、去除率按90%计算，则非甲烷总烃有组织排放量为0.0011t/a、排放速率0.0009kg/h、排放浓度0.302mg/m</w:t>
            </w:r>
            <w:r>
              <w:rPr>
                <w:rFonts w:hint="default" w:ascii="Times New Roman" w:hAnsi="Times New Roman" w:cs="Times New Roman"/>
                <w:vertAlign w:val="superscript"/>
              </w:rPr>
              <w:t>3</w:t>
            </w:r>
            <w:r>
              <w:rPr>
                <w:rFonts w:hint="default" w:ascii="Times New Roman" w:hAnsi="Times New Roman" w:cs="Times New Roman"/>
              </w:rPr>
              <w:t>，无组织非甲烷总烃排放量为0.00125t/a、排放速率0.001kg/h。</w:t>
            </w:r>
          </w:p>
          <w:p w14:paraId="27A0B021">
            <w:pPr>
              <w:widowControl/>
              <w:ind w:firstLine="480" w:firstLineChars="200"/>
              <w:jc w:val="both"/>
              <w:rPr>
                <w:rFonts w:hint="default" w:ascii="Times New Roman" w:hAnsi="Times New Roman" w:cs="Times New Roman"/>
              </w:rPr>
            </w:pPr>
            <w:r>
              <w:rPr>
                <w:rFonts w:hint="default" w:ascii="Times New Roman" w:hAnsi="Times New Roman" w:cs="Times New Roman"/>
              </w:rPr>
              <w:t>风量核算：</w:t>
            </w:r>
          </w:p>
          <w:p w14:paraId="5A9196F6">
            <w:pPr>
              <w:ind w:firstLine="480" w:firstLineChars="200"/>
              <w:rPr>
                <w:rFonts w:hint="default" w:ascii="Times New Roman" w:hAnsi="Times New Roman" w:cs="Times New Roman"/>
              </w:rPr>
            </w:pPr>
            <w:r>
              <w:rPr>
                <w:rFonts w:hint="default" w:ascii="Times New Roman" w:hAnsi="Times New Roman" w:cs="Times New Roman"/>
              </w:rPr>
              <w:t>风量计算方法根据《大气污染控制工程》中的控制风速法计算。计算公式如下：</w:t>
            </w:r>
          </w:p>
          <w:p w14:paraId="1E594551">
            <w:pPr>
              <w:jc w:val="center"/>
              <w:rPr>
                <w:rFonts w:hint="default" w:ascii="Times New Roman" w:hAnsi="Times New Roman" w:cs="Times New Roman"/>
              </w:rPr>
            </w:pPr>
            <w:r>
              <w:rPr>
                <w:rFonts w:hint="default" w:ascii="Times New Roman" w:hAnsi="Times New Roman" w:cs="Times New Roman"/>
              </w:rPr>
              <w:t>Q=3600×K×P×H×V</w:t>
            </w:r>
            <w:r>
              <w:rPr>
                <w:rFonts w:hint="default" w:ascii="Times New Roman" w:hAnsi="Times New Roman" w:cs="Times New Roman"/>
                <w:vertAlign w:val="subscript"/>
              </w:rPr>
              <w:t>X</w:t>
            </w:r>
          </w:p>
          <w:p w14:paraId="61C5081E">
            <w:pPr>
              <w:jc w:val="left"/>
              <w:rPr>
                <w:rFonts w:hint="default" w:ascii="Times New Roman" w:hAnsi="Times New Roman" w:cs="Times New Roman"/>
              </w:rPr>
            </w:pPr>
            <w:r>
              <w:rPr>
                <w:rFonts w:hint="default" w:ascii="Times New Roman" w:hAnsi="Times New Roman" w:cs="Times New Roman"/>
              </w:rPr>
              <w:t>其中：Q为风量，m³/h；</w:t>
            </w:r>
          </w:p>
          <w:p w14:paraId="5ED562FA">
            <w:pPr>
              <w:jc w:val="left"/>
              <w:rPr>
                <w:rFonts w:hint="default" w:ascii="Times New Roman" w:hAnsi="Times New Roman" w:cs="Times New Roman"/>
              </w:rPr>
            </w:pPr>
            <w:r>
              <w:rPr>
                <w:rFonts w:hint="default" w:ascii="Times New Roman" w:hAnsi="Times New Roman" w:cs="Times New Roman"/>
              </w:rPr>
              <w:t>K：考虑沿高度速度不均匀的安全系数，通常取1.4；</w:t>
            </w:r>
          </w:p>
          <w:p w14:paraId="3B43093B">
            <w:pPr>
              <w:jc w:val="left"/>
              <w:rPr>
                <w:rFonts w:hint="default" w:ascii="Times New Roman" w:hAnsi="Times New Roman" w:cs="Times New Roman"/>
              </w:rPr>
            </w:pPr>
            <w:r>
              <w:rPr>
                <w:rFonts w:hint="default" w:ascii="Times New Roman" w:hAnsi="Times New Roman" w:cs="Times New Roman"/>
              </w:rPr>
              <w:t>P：罩口周长，m；</w:t>
            </w:r>
          </w:p>
          <w:p w14:paraId="15C5F24E">
            <w:pPr>
              <w:jc w:val="left"/>
              <w:rPr>
                <w:rFonts w:hint="default" w:ascii="Times New Roman" w:hAnsi="Times New Roman" w:cs="Times New Roman"/>
              </w:rPr>
            </w:pPr>
            <w:r>
              <w:rPr>
                <w:rFonts w:hint="default" w:ascii="Times New Roman" w:hAnsi="Times New Roman" w:cs="Times New Roman"/>
              </w:rPr>
              <w:t>H：罩口至污染源的距离，m；</w:t>
            </w:r>
          </w:p>
          <w:p w14:paraId="65ED53F4">
            <w:pPr>
              <w:jc w:val="left"/>
              <w:rPr>
                <w:rFonts w:hint="default" w:ascii="Times New Roman" w:hAnsi="Times New Roman" w:cs="Times New Roman"/>
              </w:rPr>
            </w:pPr>
            <w:r>
              <w:rPr>
                <w:rFonts w:hint="default" w:ascii="Times New Roman" w:hAnsi="Times New Roman" w:cs="Times New Roman"/>
              </w:rPr>
              <w:t>V</w:t>
            </w:r>
            <w:r>
              <w:rPr>
                <w:rFonts w:hint="default" w:ascii="Times New Roman" w:hAnsi="Times New Roman" w:cs="Times New Roman"/>
                <w:vertAlign w:val="subscript"/>
              </w:rPr>
              <w:t>X</w:t>
            </w:r>
            <w:r>
              <w:rPr>
                <w:rFonts w:hint="default" w:ascii="Times New Roman" w:hAnsi="Times New Roman" w:cs="Times New Roman"/>
              </w:rPr>
              <w:t>：污染源控制速度，m/s；</w:t>
            </w:r>
          </w:p>
          <w:p w14:paraId="5CBAABA1">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表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1</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本项目印刷工序设备风量表</w:t>
            </w:r>
          </w:p>
          <w:tbl>
            <w:tblPr>
              <w:tblStyle w:val="22"/>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1"/>
              <w:gridCol w:w="1001"/>
              <w:gridCol w:w="692"/>
              <w:gridCol w:w="1134"/>
              <w:gridCol w:w="1050"/>
              <w:gridCol w:w="955"/>
              <w:gridCol w:w="1528"/>
              <w:gridCol w:w="698"/>
            </w:tblGrid>
            <w:tr w14:paraId="2A795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6" w:type="pct"/>
                  <w:vAlign w:val="center"/>
                </w:tcPr>
                <w:p w14:paraId="0057203A">
                  <w:pPr>
                    <w:pStyle w:val="29"/>
                    <w:rPr>
                      <w:b/>
                      <w:bCs/>
                      <w:sz w:val="21"/>
                      <w:szCs w:val="21"/>
                    </w:rPr>
                  </w:pPr>
                  <w:r>
                    <w:rPr>
                      <w:b/>
                      <w:bCs/>
                      <w:sz w:val="21"/>
                      <w:szCs w:val="21"/>
                    </w:rPr>
                    <w:t>序号</w:t>
                  </w:r>
                </w:p>
              </w:tc>
              <w:tc>
                <w:tcPr>
                  <w:tcW w:w="654" w:type="pct"/>
                  <w:vAlign w:val="center"/>
                </w:tcPr>
                <w:p w14:paraId="297BF14B">
                  <w:pPr>
                    <w:pStyle w:val="29"/>
                    <w:rPr>
                      <w:b/>
                      <w:bCs/>
                      <w:sz w:val="21"/>
                      <w:szCs w:val="21"/>
                    </w:rPr>
                  </w:pPr>
                  <w:r>
                    <w:rPr>
                      <w:b/>
                      <w:bCs/>
                      <w:sz w:val="21"/>
                      <w:szCs w:val="21"/>
                    </w:rPr>
                    <w:t>设备名称</w:t>
                  </w:r>
                </w:p>
              </w:tc>
              <w:tc>
                <w:tcPr>
                  <w:tcW w:w="452" w:type="pct"/>
                  <w:vAlign w:val="center"/>
                </w:tcPr>
                <w:p w14:paraId="12E481C6">
                  <w:pPr>
                    <w:pStyle w:val="29"/>
                    <w:rPr>
                      <w:b/>
                      <w:bCs/>
                      <w:sz w:val="21"/>
                      <w:szCs w:val="21"/>
                    </w:rPr>
                  </w:pPr>
                  <w:r>
                    <w:rPr>
                      <w:b/>
                      <w:bCs/>
                      <w:sz w:val="21"/>
                      <w:szCs w:val="21"/>
                    </w:rPr>
                    <w:t>数量</w:t>
                  </w:r>
                </w:p>
              </w:tc>
              <w:tc>
                <w:tcPr>
                  <w:tcW w:w="741" w:type="pct"/>
                  <w:vAlign w:val="center"/>
                </w:tcPr>
                <w:p w14:paraId="63533B48">
                  <w:pPr>
                    <w:pStyle w:val="29"/>
                    <w:rPr>
                      <w:b/>
                      <w:bCs/>
                      <w:sz w:val="21"/>
                      <w:szCs w:val="21"/>
                    </w:rPr>
                  </w:pPr>
                  <w:r>
                    <w:rPr>
                      <w:b/>
                      <w:bCs/>
                      <w:sz w:val="21"/>
                      <w:szCs w:val="21"/>
                    </w:rPr>
                    <w:t>集气罩尺寸</w:t>
                  </w:r>
                </w:p>
              </w:tc>
              <w:tc>
                <w:tcPr>
                  <w:tcW w:w="686" w:type="pct"/>
                  <w:vAlign w:val="center"/>
                </w:tcPr>
                <w:p w14:paraId="0B161566">
                  <w:pPr>
                    <w:pStyle w:val="29"/>
                    <w:rPr>
                      <w:b/>
                      <w:bCs/>
                      <w:sz w:val="21"/>
                      <w:szCs w:val="21"/>
                    </w:rPr>
                  </w:pPr>
                  <w:r>
                    <w:rPr>
                      <w:b/>
                      <w:bCs/>
                      <w:sz w:val="21"/>
                      <w:szCs w:val="21"/>
                    </w:rPr>
                    <w:t>罩口至污染源的距离H（m）</w:t>
                  </w:r>
                </w:p>
              </w:tc>
              <w:tc>
                <w:tcPr>
                  <w:tcW w:w="624" w:type="pct"/>
                  <w:vAlign w:val="center"/>
                </w:tcPr>
                <w:p w14:paraId="693F8E2B">
                  <w:pPr>
                    <w:pStyle w:val="29"/>
                    <w:rPr>
                      <w:b/>
                      <w:bCs/>
                      <w:sz w:val="21"/>
                      <w:szCs w:val="21"/>
                    </w:rPr>
                  </w:pPr>
                  <w:r>
                    <w:rPr>
                      <w:b/>
                      <w:bCs/>
                      <w:sz w:val="21"/>
                      <w:szCs w:val="21"/>
                    </w:rPr>
                    <w:t>污染源控制速度V</w:t>
                  </w:r>
                  <w:r>
                    <w:rPr>
                      <w:b/>
                      <w:bCs/>
                      <w:sz w:val="21"/>
                      <w:szCs w:val="21"/>
                      <w:vertAlign w:val="subscript"/>
                    </w:rPr>
                    <w:t>X</w:t>
                  </w:r>
                  <w:r>
                    <w:rPr>
                      <w:b/>
                      <w:bCs/>
                      <w:sz w:val="21"/>
                      <w:szCs w:val="21"/>
                    </w:rPr>
                    <w:t>（m/s）</w:t>
                  </w:r>
                </w:p>
              </w:tc>
              <w:tc>
                <w:tcPr>
                  <w:tcW w:w="998" w:type="pct"/>
                  <w:vAlign w:val="center"/>
                </w:tcPr>
                <w:p w14:paraId="463DF697">
                  <w:pPr>
                    <w:pStyle w:val="29"/>
                    <w:rPr>
                      <w:b/>
                      <w:bCs/>
                      <w:sz w:val="21"/>
                      <w:szCs w:val="21"/>
                    </w:rPr>
                  </w:pPr>
                  <w:r>
                    <w:rPr>
                      <w:b/>
                      <w:bCs/>
                      <w:sz w:val="21"/>
                      <w:szCs w:val="21"/>
                    </w:rPr>
                    <w:t>考虑沿高度速度不均匀的安全系数K</w:t>
                  </w:r>
                </w:p>
              </w:tc>
              <w:tc>
                <w:tcPr>
                  <w:tcW w:w="455" w:type="pct"/>
                  <w:vAlign w:val="center"/>
                </w:tcPr>
                <w:p w14:paraId="5229D911">
                  <w:pPr>
                    <w:pStyle w:val="29"/>
                    <w:rPr>
                      <w:b/>
                      <w:bCs/>
                      <w:sz w:val="21"/>
                      <w:szCs w:val="21"/>
                    </w:rPr>
                  </w:pPr>
                  <w:r>
                    <w:rPr>
                      <w:b/>
                      <w:bCs/>
                      <w:sz w:val="21"/>
                      <w:szCs w:val="21"/>
                    </w:rPr>
                    <w:t>风量m³/h</w:t>
                  </w:r>
                </w:p>
              </w:tc>
            </w:tr>
            <w:tr w14:paraId="742ED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6" w:type="pct"/>
                  <w:vAlign w:val="center"/>
                </w:tcPr>
                <w:p w14:paraId="0BD92C17">
                  <w:pPr>
                    <w:pStyle w:val="29"/>
                    <w:rPr>
                      <w:sz w:val="21"/>
                      <w:szCs w:val="21"/>
                    </w:rPr>
                  </w:pPr>
                  <w:r>
                    <w:rPr>
                      <w:sz w:val="21"/>
                      <w:szCs w:val="21"/>
                    </w:rPr>
                    <w:t>1</w:t>
                  </w:r>
                </w:p>
              </w:tc>
              <w:tc>
                <w:tcPr>
                  <w:tcW w:w="654" w:type="pct"/>
                  <w:vAlign w:val="center"/>
                </w:tcPr>
                <w:p w14:paraId="257D1818">
                  <w:pPr>
                    <w:pStyle w:val="29"/>
                    <w:rPr>
                      <w:sz w:val="21"/>
                      <w:szCs w:val="21"/>
                    </w:rPr>
                  </w:pPr>
                  <w:r>
                    <w:rPr>
                      <w:sz w:val="21"/>
                      <w:szCs w:val="21"/>
                    </w:rPr>
                    <w:t>印刷机</w:t>
                  </w:r>
                </w:p>
              </w:tc>
              <w:tc>
                <w:tcPr>
                  <w:tcW w:w="452" w:type="pct"/>
                  <w:vAlign w:val="center"/>
                </w:tcPr>
                <w:p w14:paraId="4B120ADD">
                  <w:pPr>
                    <w:pStyle w:val="29"/>
                    <w:rPr>
                      <w:sz w:val="21"/>
                      <w:szCs w:val="21"/>
                    </w:rPr>
                  </w:pPr>
                  <w:r>
                    <w:rPr>
                      <w:sz w:val="21"/>
                      <w:szCs w:val="21"/>
                    </w:rPr>
                    <w:t>1台</w:t>
                  </w:r>
                </w:p>
              </w:tc>
              <w:tc>
                <w:tcPr>
                  <w:tcW w:w="741" w:type="pct"/>
                  <w:vAlign w:val="center"/>
                </w:tcPr>
                <w:p w14:paraId="0E379854">
                  <w:pPr>
                    <w:pStyle w:val="29"/>
                    <w:rPr>
                      <w:sz w:val="21"/>
                      <w:szCs w:val="21"/>
                    </w:rPr>
                  </w:pPr>
                  <w:r>
                    <w:rPr>
                      <w:sz w:val="21"/>
                      <w:szCs w:val="21"/>
                    </w:rPr>
                    <w:t>2m*1m</w:t>
                  </w:r>
                </w:p>
              </w:tc>
              <w:tc>
                <w:tcPr>
                  <w:tcW w:w="686" w:type="pct"/>
                  <w:vAlign w:val="center"/>
                </w:tcPr>
                <w:p w14:paraId="05DB9268">
                  <w:pPr>
                    <w:pStyle w:val="29"/>
                    <w:rPr>
                      <w:sz w:val="21"/>
                      <w:szCs w:val="21"/>
                    </w:rPr>
                  </w:pPr>
                  <w:r>
                    <w:rPr>
                      <w:sz w:val="21"/>
                      <w:szCs w:val="21"/>
                    </w:rPr>
                    <w:t>0.2</w:t>
                  </w:r>
                </w:p>
              </w:tc>
              <w:tc>
                <w:tcPr>
                  <w:tcW w:w="624" w:type="pct"/>
                  <w:vAlign w:val="center"/>
                </w:tcPr>
                <w:p w14:paraId="538C429F">
                  <w:pPr>
                    <w:pStyle w:val="29"/>
                    <w:rPr>
                      <w:sz w:val="21"/>
                      <w:szCs w:val="21"/>
                    </w:rPr>
                  </w:pPr>
                  <w:r>
                    <w:rPr>
                      <w:sz w:val="21"/>
                      <w:szCs w:val="21"/>
                    </w:rPr>
                    <w:t>0.5</w:t>
                  </w:r>
                </w:p>
              </w:tc>
              <w:tc>
                <w:tcPr>
                  <w:tcW w:w="998" w:type="pct"/>
                  <w:vAlign w:val="center"/>
                </w:tcPr>
                <w:p w14:paraId="46E4B95C">
                  <w:pPr>
                    <w:pStyle w:val="29"/>
                    <w:rPr>
                      <w:sz w:val="21"/>
                      <w:szCs w:val="21"/>
                    </w:rPr>
                  </w:pPr>
                  <w:r>
                    <w:rPr>
                      <w:sz w:val="21"/>
                      <w:szCs w:val="21"/>
                    </w:rPr>
                    <w:t>1.4</w:t>
                  </w:r>
                </w:p>
              </w:tc>
              <w:tc>
                <w:tcPr>
                  <w:tcW w:w="455" w:type="pct"/>
                  <w:vAlign w:val="center"/>
                </w:tcPr>
                <w:p w14:paraId="4FA7D1F7">
                  <w:pPr>
                    <w:pStyle w:val="29"/>
                    <w:rPr>
                      <w:sz w:val="21"/>
                      <w:szCs w:val="21"/>
                    </w:rPr>
                  </w:pPr>
                  <w:r>
                    <w:rPr>
                      <w:sz w:val="21"/>
                      <w:szCs w:val="21"/>
                    </w:rPr>
                    <w:t>3024</w:t>
                  </w:r>
                </w:p>
              </w:tc>
            </w:tr>
          </w:tbl>
          <w:p w14:paraId="452911AA">
            <w:pPr>
              <w:widowControl/>
              <w:ind w:firstLine="480" w:firstLineChars="200"/>
              <w:rPr>
                <w:rFonts w:hint="default" w:ascii="Times New Roman" w:hAnsi="Times New Roman" w:cs="Times New Roman"/>
              </w:rPr>
            </w:pPr>
            <w:r>
              <w:rPr>
                <w:rFonts w:hint="default" w:ascii="Times New Roman" w:hAnsi="Times New Roman" w:cs="Times New Roman"/>
              </w:rPr>
              <w:t>根据风量公式进行计算，项目印刷工序集气罩所需风量约为3024m³/h，</w:t>
            </w:r>
            <w:r>
              <w:rPr>
                <w:rFonts w:hint="default" w:ascii="Times New Roman" w:hAnsi="Times New Roman" w:cs="Times New Roman"/>
                <w:snapToGrid w:val="0"/>
              </w:rPr>
              <w:t>考虑到管道风阻等因素造成的风量损失，</w:t>
            </w:r>
            <w:r>
              <w:rPr>
                <w:rFonts w:hint="default" w:ascii="Times New Roman" w:hAnsi="Times New Roman" w:cs="Times New Roman"/>
              </w:rPr>
              <w:t>收集风量取3100m³/h。</w:t>
            </w:r>
          </w:p>
          <w:p w14:paraId="53977BF3">
            <w:pPr>
              <w:widowControl/>
              <w:ind w:left="480" w:leftChars="200"/>
              <w:jc w:val="left"/>
              <w:rPr>
                <w:rFonts w:hint="default" w:ascii="Times New Roman" w:hAnsi="Times New Roman" w:cs="Times New Roman"/>
              </w:rPr>
            </w:pPr>
            <w:r>
              <w:rPr>
                <w:rFonts w:hint="default" w:ascii="Times New Roman" w:hAnsi="Times New Roman" w:cs="Times New Roman"/>
              </w:rPr>
              <w:t>3、天然气锅炉废气</w:t>
            </w:r>
          </w:p>
          <w:p w14:paraId="757B0745">
            <w:pPr>
              <w:pStyle w:val="45"/>
              <w:ind w:firstLine="480"/>
              <w:rPr>
                <w:rFonts w:hint="default" w:ascii="Times New Roman" w:hAnsi="Times New Roman" w:cs="Times New Roman"/>
                <w:szCs w:val="22"/>
              </w:rPr>
            </w:pPr>
            <w:r>
              <w:rPr>
                <w:rFonts w:hint="default" w:ascii="Times New Roman" w:hAnsi="Times New Roman" w:cs="Times New Roman"/>
              </w:rPr>
              <w:t>本项目天然气锅炉主要用于纸板预热以及烘压定型，采用天然气为燃料，天然气属于清洁能源，燃烧产生的废气污染物为烟尘、SO</w:t>
            </w:r>
            <w:r>
              <w:rPr>
                <w:rFonts w:hint="default" w:ascii="Times New Roman" w:hAnsi="Times New Roman" w:cs="Times New Roman"/>
                <w:vertAlign w:val="subscript"/>
              </w:rPr>
              <w:t>2</w:t>
            </w:r>
            <w:r>
              <w:rPr>
                <w:rFonts w:hint="default" w:ascii="Times New Roman" w:hAnsi="Times New Roman" w:cs="Times New Roman"/>
              </w:rPr>
              <w:t>、NOx，车间内</w:t>
            </w:r>
            <w:r>
              <w:rPr>
                <w:rFonts w:hint="default" w:ascii="Times New Roman" w:hAnsi="Times New Roman" w:cs="Times New Roman"/>
                <w:szCs w:val="22"/>
              </w:rPr>
              <w:t>无组织排放；</w:t>
            </w:r>
          </w:p>
          <w:p w14:paraId="0BD2D4C9">
            <w:pPr>
              <w:pStyle w:val="45"/>
              <w:ind w:firstLine="480"/>
              <w:rPr>
                <w:rFonts w:hint="default" w:ascii="Times New Roman" w:hAnsi="Times New Roman" w:cs="Times New Roman"/>
                <w:szCs w:val="22"/>
              </w:rPr>
            </w:pPr>
            <w:r>
              <w:rPr>
                <w:rFonts w:hint="default" w:ascii="Times New Roman" w:hAnsi="Times New Roman" w:cs="Times New Roman"/>
              </w:rPr>
              <w:t>本项目使用2t/h锅炉，</w:t>
            </w:r>
            <w:r>
              <w:rPr>
                <w:rFonts w:hint="default" w:ascii="Times New Roman" w:hAnsi="Times New Roman" w:cs="Times New Roman"/>
                <w:szCs w:val="22"/>
              </w:rPr>
              <w:t>根据建设单位提供资料，本项目天然气锅炉年使用时长3000t/h。</w:t>
            </w:r>
          </w:p>
          <w:p w14:paraId="3239DA18">
            <w:pPr>
              <w:pStyle w:val="45"/>
              <w:ind w:firstLine="480"/>
              <w:rPr>
                <w:rFonts w:hint="default" w:ascii="Times New Roman" w:hAnsi="Times New Roman" w:cs="Times New Roman"/>
              </w:rPr>
            </w:pPr>
            <w:r>
              <w:rPr>
                <w:rFonts w:hint="default" w:ascii="Times New Roman" w:hAnsi="Times New Roman" w:cs="Times New Roman"/>
              </w:rPr>
              <w:t>天然气蒸汽锅炉每小时耗气量=燃气锅炉功率*时间/燃料热值/燃气锅炉热值利用率。</w:t>
            </w:r>
          </w:p>
          <w:p w14:paraId="70709199">
            <w:pPr>
              <w:pStyle w:val="45"/>
              <w:ind w:firstLine="480"/>
              <w:rPr>
                <w:rFonts w:hint="default" w:ascii="Times New Roman" w:hAnsi="Times New Roman" w:cs="Times New Roman"/>
                <w:szCs w:val="22"/>
              </w:rPr>
            </w:pPr>
            <w:r>
              <w:rPr>
                <w:rFonts w:hint="default" w:ascii="Times New Roman" w:hAnsi="Times New Roman" w:cs="Times New Roman"/>
              </w:rPr>
              <w:t>2吨天然气锅炉在满负荷的状态下连续工作1小时，设计效率按92%计算，那么2吨天然气锅炉运行小时需要的气量=1.4MW*3600s/36.22MJ/Nm</w:t>
            </w:r>
            <w:r>
              <w:rPr>
                <w:rFonts w:hint="default" w:ascii="Times New Roman" w:hAnsi="Times New Roman" w:cs="Times New Roman"/>
                <w:vertAlign w:val="superscript"/>
              </w:rPr>
              <w:t>3</w:t>
            </w:r>
            <w:r>
              <w:rPr>
                <w:rFonts w:hint="default" w:ascii="Times New Roman" w:hAnsi="Times New Roman" w:cs="Times New Roman"/>
              </w:rPr>
              <w:t>/92%=150m</w:t>
            </w:r>
            <w:r>
              <w:rPr>
                <w:rFonts w:hint="default" w:ascii="Times New Roman" w:hAnsi="Times New Roman" w:cs="Times New Roman"/>
                <w:vertAlign w:val="superscript"/>
              </w:rPr>
              <w:t>3</w:t>
            </w:r>
            <w:r>
              <w:rPr>
                <w:rFonts w:hint="default" w:ascii="Times New Roman" w:hAnsi="Times New Roman" w:cs="Times New Roman"/>
              </w:rPr>
              <w:t>/h。</w:t>
            </w:r>
          </w:p>
          <w:p w14:paraId="298E9458">
            <w:pPr>
              <w:pStyle w:val="45"/>
              <w:ind w:firstLine="480"/>
              <w:rPr>
                <w:rFonts w:hint="default" w:ascii="Times New Roman" w:hAnsi="Times New Roman" w:cs="Times New Roman"/>
                <w:szCs w:val="22"/>
              </w:rPr>
            </w:pPr>
            <w:r>
              <w:rPr>
                <w:rFonts w:hint="default" w:ascii="Times New Roman" w:hAnsi="Times New Roman" w:cs="Times New Roman"/>
                <w:szCs w:val="22"/>
              </w:rPr>
              <w:t>故本项目锅炉天然气用量为45万</w:t>
            </w:r>
            <w:r>
              <w:rPr>
                <w:rFonts w:hint="default" w:ascii="Times New Roman" w:hAnsi="Times New Roman" w:cs="Times New Roman"/>
              </w:rPr>
              <w:t>m</w:t>
            </w:r>
            <w:r>
              <w:rPr>
                <w:rFonts w:hint="default" w:ascii="Times New Roman" w:hAnsi="Times New Roman" w:cs="Times New Roman"/>
                <w:vertAlign w:val="superscript"/>
              </w:rPr>
              <w:t>3</w:t>
            </w:r>
            <w:r>
              <w:rPr>
                <w:rFonts w:hint="default"/>
                <w:vertAlign w:val="baseline"/>
              </w:rPr>
              <w:t>。</w:t>
            </w:r>
          </w:p>
          <w:p w14:paraId="5DDDADE3">
            <w:pPr>
              <w:pStyle w:val="45"/>
              <w:ind w:firstLine="480"/>
              <w:rPr>
                <w:rFonts w:hint="default" w:ascii="Times New Roman" w:hAnsi="Times New Roman" w:cs="Times New Roman"/>
              </w:rPr>
            </w:pPr>
            <w:r>
              <w:rPr>
                <w:rFonts w:hint="default" w:ascii="Times New Roman" w:hAnsi="Times New Roman" w:cs="Times New Roman"/>
                <w:szCs w:val="22"/>
              </w:rPr>
              <w:t>根据建设单位提供资料，本项目锅炉</w:t>
            </w:r>
            <w:r>
              <w:rPr>
                <w:rFonts w:hint="default" w:ascii="Times New Roman" w:hAnsi="Times New Roman" w:cs="Times New Roman"/>
              </w:rPr>
              <w:t>天然气用气量约45万立方。年运行时间3000小时。</w:t>
            </w:r>
          </w:p>
          <w:p w14:paraId="1C64C6F7">
            <w:pPr>
              <w:pStyle w:val="45"/>
              <w:ind w:firstLine="480"/>
              <w:rPr>
                <w:rFonts w:hint="default" w:ascii="Times New Roman" w:hAnsi="Times New Roman" w:cs="Times New Roman"/>
                <w:szCs w:val="22"/>
              </w:rPr>
            </w:pPr>
            <w:r>
              <w:rPr>
                <w:rFonts w:hint="default" w:ascii="Times New Roman" w:hAnsi="Times New Roman" w:cs="Times New Roman"/>
                <w:szCs w:val="22"/>
              </w:rPr>
              <w:t>项目使用的天然气属于清洁原料，其燃烧产生的污染物较少，依据《关于发布排放源统计调查产污核算方法和系数手册的公告》(环境保护部公告2021年第24号)-《锅炉产排污量核算系数手册》中的“D4430工业锅炉(热力生产和供应行业)产污系数表-燃气工业锅炉”，每燃烧1万m</w:t>
            </w:r>
            <w:r>
              <w:rPr>
                <w:rFonts w:hint="default" w:ascii="Times New Roman" w:hAnsi="Times New Roman" w:cs="Times New Roman"/>
                <w:szCs w:val="22"/>
                <w:vertAlign w:val="superscript"/>
              </w:rPr>
              <w:t>3</w:t>
            </w:r>
            <w:r>
              <w:rPr>
                <w:rFonts w:hint="default" w:ascii="Times New Roman" w:hAnsi="Times New Roman" w:cs="Times New Roman"/>
                <w:szCs w:val="22"/>
              </w:rPr>
              <w:t>天然气产生废气量为107753Nm</w:t>
            </w:r>
            <w:r>
              <w:rPr>
                <w:rFonts w:hint="default" w:ascii="Times New Roman" w:hAnsi="Times New Roman" w:cs="Times New Roman"/>
                <w:szCs w:val="22"/>
                <w:vertAlign w:val="superscript"/>
              </w:rPr>
              <w:t>3</w:t>
            </w:r>
            <w:r>
              <w:rPr>
                <w:rFonts w:hint="default" w:ascii="Times New Roman" w:hAnsi="Times New Roman" w:cs="Times New Roman"/>
                <w:szCs w:val="22"/>
              </w:rPr>
              <w:t>，产生二氧化硫为0.02Skg，产生NOx为3.03kg(低氮燃烧-国际领先)，其中S含量是指燃气收到基硫分含量，单位为mg/m</w:t>
            </w:r>
            <w:r>
              <w:rPr>
                <w:rFonts w:hint="default" w:ascii="Times New Roman" w:hAnsi="Times New Roman" w:cs="Times New Roman"/>
                <w:szCs w:val="22"/>
                <w:vertAlign w:val="superscript"/>
              </w:rPr>
              <w:t>3</w:t>
            </w:r>
            <w:r>
              <w:rPr>
                <w:rFonts w:hint="default" w:ascii="Times New Roman" w:hAnsi="Times New Roman" w:cs="Times New Roman"/>
                <w:szCs w:val="22"/>
              </w:rPr>
              <w:t>，项目使用天然气总硫含量为100mg/m</w:t>
            </w:r>
            <w:r>
              <w:rPr>
                <w:rFonts w:hint="default" w:ascii="Times New Roman" w:hAnsi="Times New Roman" w:cs="Times New Roman"/>
                <w:szCs w:val="22"/>
                <w:vertAlign w:val="superscript"/>
              </w:rPr>
              <w:t>3</w:t>
            </w:r>
            <w:r>
              <w:rPr>
                <w:rFonts w:hint="default" w:ascii="Times New Roman" w:hAnsi="Times New Roman" w:cs="Times New Roman"/>
                <w:szCs w:val="22"/>
              </w:rPr>
              <w:t>。</w:t>
            </w:r>
          </w:p>
          <w:p w14:paraId="6131C1FA">
            <w:pPr>
              <w:pStyle w:val="45"/>
              <w:ind w:firstLine="480"/>
              <w:rPr>
                <w:rFonts w:hint="default" w:ascii="Times New Roman" w:hAnsi="Times New Roman" w:cs="Times New Roman"/>
                <w:szCs w:val="22"/>
              </w:rPr>
            </w:pPr>
            <w:r>
              <w:rPr>
                <w:rFonts w:hint="default" w:ascii="Times New Roman" w:hAnsi="Times New Roman" w:cs="Times New Roman"/>
                <w:szCs w:val="22"/>
              </w:rPr>
              <w:t>依据《关于发布计算污染物排放量的排污系数和物料衡算方法的公告》(环境保护部公告2017年第81号)的附件1-《纳入排污许可管理的火电等17个行业污染物排放量计算方法(含排污系数、物料衡算方法)(试行)》中附录A，每燃烧1m</w:t>
            </w:r>
            <w:r>
              <w:rPr>
                <w:rFonts w:hint="default" w:ascii="Times New Roman" w:hAnsi="Times New Roman" w:cs="Times New Roman"/>
                <w:szCs w:val="22"/>
                <w:vertAlign w:val="superscript"/>
              </w:rPr>
              <w:t>3</w:t>
            </w:r>
            <w:r>
              <w:rPr>
                <w:rFonts w:hint="default" w:ascii="Times New Roman" w:hAnsi="Times New Roman" w:cs="Times New Roman"/>
                <w:szCs w:val="22"/>
              </w:rPr>
              <w:t>天然气产生颗粒物为103.90mg。</w:t>
            </w:r>
          </w:p>
          <w:p w14:paraId="4CEB8244">
            <w:pPr>
              <w:widowControl/>
              <w:wordWrap w:val="0"/>
              <w:spacing w:line="460" w:lineRule="exact"/>
              <w:ind w:firstLine="464" w:firstLineChars="200"/>
              <w:rPr>
                <w:rFonts w:hint="default" w:ascii="Times New Roman" w:hAnsi="Times New Roman" w:cs="Times New Roman"/>
                <w:lang w:bidi="en-US"/>
              </w:rPr>
            </w:pPr>
            <w:r>
              <w:rPr>
                <w:rFonts w:hint="default" w:ascii="Times New Roman" w:hAnsi="Times New Roman" w:cs="Times New Roman" w:eastAsiaTheme="minorEastAsia"/>
                <w:spacing w:val="-4"/>
                <w:lang w:bidi="en-US"/>
              </w:rPr>
              <w:t>天</w:t>
            </w:r>
            <w:r>
              <w:rPr>
                <w:rFonts w:hint="default" w:ascii="Times New Roman" w:hAnsi="Times New Roman" w:cs="Times New Roman" w:eastAsiaTheme="minorEastAsia"/>
                <w:lang w:bidi="en-US"/>
              </w:rPr>
              <w:t>然气锅炉</w:t>
            </w:r>
            <w:r>
              <w:rPr>
                <w:rFonts w:hint="default" w:ascii="Times New Roman" w:hAnsi="Times New Roman" w:cs="Times New Roman"/>
                <w:lang w:bidi="en-US"/>
              </w:rPr>
              <w:t>的排污系数如下表所示：</w:t>
            </w:r>
          </w:p>
          <w:p w14:paraId="01F13A82">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表4-2  天然气锅炉废气产排污系数表</w:t>
            </w:r>
          </w:p>
          <w:tbl>
            <w:tblPr>
              <w:tblStyle w:val="21"/>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972"/>
              <w:gridCol w:w="1219"/>
              <w:gridCol w:w="1069"/>
              <w:gridCol w:w="1102"/>
              <w:gridCol w:w="3295"/>
            </w:tblGrid>
            <w:tr w14:paraId="4BF24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970" w:type="dxa"/>
                  <w:vAlign w:val="center"/>
                </w:tcPr>
                <w:p w14:paraId="1E5E2B80">
                  <w:pPr>
                    <w:widowControl/>
                    <w:adjustRightInd w:val="0"/>
                    <w:snapToGrid w:val="0"/>
                    <w:spacing w:line="240" w:lineRule="auto"/>
                    <w:jc w:val="center"/>
                    <w:rPr>
                      <w:b/>
                      <w:bCs/>
                      <w:sz w:val="21"/>
                      <w:szCs w:val="21"/>
                      <w:lang w:val="zh-CN"/>
                    </w:rPr>
                  </w:pPr>
                  <w:r>
                    <w:rPr>
                      <w:b/>
                      <w:bCs/>
                      <w:sz w:val="21"/>
                      <w:szCs w:val="21"/>
                      <w:lang w:val="zh-CN"/>
                    </w:rPr>
                    <w:t>原料名称</w:t>
                  </w:r>
                </w:p>
              </w:tc>
              <w:tc>
                <w:tcPr>
                  <w:tcW w:w="1217" w:type="dxa"/>
                  <w:vAlign w:val="center"/>
                </w:tcPr>
                <w:p w14:paraId="1DB78FAB">
                  <w:pPr>
                    <w:widowControl/>
                    <w:adjustRightInd w:val="0"/>
                    <w:snapToGrid w:val="0"/>
                    <w:spacing w:line="240" w:lineRule="auto"/>
                    <w:jc w:val="center"/>
                    <w:rPr>
                      <w:b/>
                      <w:bCs/>
                      <w:sz w:val="21"/>
                      <w:szCs w:val="21"/>
                      <w:lang w:val="zh-CN"/>
                    </w:rPr>
                  </w:pPr>
                  <w:r>
                    <w:rPr>
                      <w:b/>
                      <w:bCs/>
                      <w:sz w:val="21"/>
                      <w:szCs w:val="21"/>
                      <w:lang w:val="zh-CN"/>
                    </w:rPr>
                    <w:t>污染物指标</w:t>
                  </w:r>
                </w:p>
              </w:tc>
              <w:tc>
                <w:tcPr>
                  <w:tcW w:w="1067" w:type="dxa"/>
                  <w:vAlign w:val="center"/>
                </w:tcPr>
                <w:p w14:paraId="260F4626">
                  <w:pPr>
                    <w:widowControl/>
                    <w:adjustRightInd w:val="0"/>
                    <w:snapToGrid w:val="0"/>
                    <w:spacing w:line="240" w:lineRule="auto"/>
                    <w:jc w:val="center"/>
                    <w:rPr>
                      <w:b/>
                      <w:bCs/>
                      <w:sz w:val="21"/>
                      <w:szCs w:val="21"/>
                      <w:lang w:val="zh-CN"/>
                    </w:rPr>
                  </w:pPr>
                  <w:r>
                    <w:rPr>
                      <w:b/>
                      <w:bCs/>
                      <w:sz w:val="21"/>
                      <w:szCs w:val="21"/>
                      <w:lang w:val="zh-CN"/>
                    </w:rPr>
                    <w:t>单位</w:t>
                  </w:r>
                </w:p>
              </w:tc>
              <w:tc>
                <w:tcPr>
                  <w:tcW w:w="1100" w:type="dxa"/>
                  <w:vAlign w:val="center"/>
                </w:tcPr>
                <w:p w14:paraId="3302EE08">
                  <w:pPr>
                    <w:widowControl/>
                    <w:adjustRightInd w:val="0"/>
                    <w:snapToGrid w:val="0"/>
                    <w:spacing w:line="240" w:lineRule="auto"/>
                    <w:jc w:val="center"/>
                    <w:rPr>
                      <w:b/>
                      <w:bCs/>
                      <w:sz w:val="21"/>
                      <w:szCs w:val="21"/>
                      <w:lang w:val="zh-CN"/>
                    </w:rPr>
                  </w:pPr>
                  <w:r>
                    <w:rPr>
                      <w:b/>
                      <w:bCs/>
                      <w:sz w:val="21"/>
                      <w:szCs w:val="21"/>
                      <w:lang w:val="zh-CN"/>
                    </w:rPr>
                    <w:t>产污系数</w:t>
                  </w:r>
                </w:p>
              </w:tc>
              <w:tc>
                <w:tcPr>
                  <w:tcW w:w="3289" w:type="dxa"/>
                  <w:vAlign w:val="center"/>
                </w:tcPr>
                <w:p w14:paraId="127274A9">
                  <w:pPr>
                    <w:widowControl/>
                    <w:adjustRightInd w:val="0"/>
                    <w:snapToGrid w:val="0"/>
                    <w:spacing w:line="240" w:lineRule="auto"/>
                    <w:jc w:val="center"/>
                    <w:rPr>
                      <w:b/>
                      <w:bCs/>
                      <w:sz w:val="21"/>
                      <w:szCs w:val="21"/>
                      <w:lang w:val="zh-CN"/>
                    </w:rPr>
                  </w:pPr>
                  <w:r>
                    <w:rPr>
                      <w:b/>
                      <w:bCs/>
                      <w:sz w:val="21"/>
                      <w:szCs w:val="21"/>
                      <w:lang w:val="zh-CN"/>
                    </w:rPr>
                    <w:t>来源</w:t>
                  </w:r>
                </w:p>
              </w:tc>
            </w:tr>
            <w:tr w14:paraId="5ADAB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4" w:hRule="atLeast"/>
                <w:jc w:val="center"/>
              </w:trPr>
              <w:tc>
                <w:tcPr>
                  <w:tcW w:w="970" w:type="dxa"/>
                  <w:vMerge w:val="restart"/>
                  <w:vAlign w:val="center"/>
                </w:tcPr>
                <w:p w14:paraId="280F7465">
                  <w:pPr>
                    <w:adjustRightInd w:val="0"/>
                    <w:snapToGrid w:val="0"/>
                    <w:spacing w:line="240" w:lineRule="auto"/>
                    <w:jc w:val="center"/>
                    <w:rPr>
                      <w:sz w:val="21"/>
                      <w:szCs w:val="21"/>
                      <w:lang w:val="zh-CN"/>
                    </w:rPr>
                  </w:pPr>
                  <w:r>
                    <w:rPr>
                      <w:sz w:val="21"/>
                      <w:szCs w:val="21"/>
                      <w:lang w:val="zh-CN"/>
                    </w:rPr>
                    <w:t>天然气</w:t>
                  </w:r>
                </w:p>
              </w:tc>
              <w:tc>
                <w:tcPr>
                  <w:tcW w:w="1217" w:type="dxa"/>
                  <w:vAlign w:val="center"/>
                </w:tcPr>
                <w:p w14:paraId="73F11B35">
                  <w:pPr>
                    <w:widowControl/>
                    <w:adjustRightInd w:val="0"/>
                    <w:snapToGrid w:val="0"/>
                    <w:spacing w:line="240" w:lineRule="auto"/>
                    <w:jc w:val="center"/>
                    <w:rPr>
                      <w:sz w:val="21"/>
                      <w:szCs w:val="21"/>
                      <w:lang w:val="zh-CN"/>
                    </w:rPr>
                  </w:pPr>
                  <w:r>
                    <w:rPr>
                      <w:sz w:val="21"/>
                      <w:szCs w:val="21"/>
                      <w:lang w:val="zh-CN"/>
                    </w:rPr>
                    <w:t>烟气量</w:t>
                  </w:r>
                </w:p>
              </w:tc>
              <w:tc>
                <w:tcPr>
                  <w:tcW w:w="1067" w:type="dxa"/>
                  <w:vAlign w:val="center"/>
                </w:tcPr>
                <w:p w14:paraId="03ADBC44">
                  <w:pPr>
                    <w:pStyle w:val="56"/>
                    <w:rPr>
                      <w:sz w:val="21"/>
                      <w:szCs w:val="21"/>
                      <w:lang w:val="zh-CN"/>
                    </w:rPr>
                  </w:pPr>
                  <w:r>
                    <w:rPr>
                      <w:rFonts w:eastAsiaTheme="minorEastAsia"/>
                      <w:sz w:val="21"/>
                      <w:szCs w:val="21"/>
                    </w:rPr>
                    <w:t>Nm</w:t>
                  </w:r>
                  <w:r>
                    <w:rPr>
                      <w:rFonts w:eastAsiaTheme="minorEastAsia"/>
                      <w:sz w:val="21"/>
                      <w:szCs w:val="21"/>
                      <w:vertAlign w:val="superscript"/>
                    </w:rPr>
                    <w:t>3</w:t>
                  </w:r>
                  <w:r>
                    <w:rPr>
                      <w:rFonts w:eastAsiaTheme="minorEastAsia"/>
                      <w:sz w:val="21"/>
                      <w:szCs w:val="21"/>
                    </w:rPr>
                    <w:t>/万m</w:t>
                  </w:r>
                  <w:r>
                    <w:rPr>
                      <w:rFonts w:eastAsiaTheme="minorEastAsia"/>
                      <w:sz w:val="21"/>
                      <w:szCs w:val="21"/>
                      <w:vertAlign w:val="superscript"/>
                    </w:rPr>
                    <w:t>3</w:t>
                  </w:r>
                  <w:r>
                    <w:rPr>
                      <w:rFonts w:eastAsiaTheme="minorEastAsia"/>
                      <w:sz w:val="21"/>
                      <w:szCs w:val="21"/>
                    </w:rPr>
                    <w:t>天然气</w:t>
                  </w:r>
                </w:p>
              </w:tc>
              <w:tc>
                <w:tcPr>
                  <w:tcW w:w="1100" w:type="dxa"/>
                  <w:vAlign w:val="center"/>
                </w:tcPr>
                <w:p w14:paraId="3B1C217E">
                  <w:pPr>
                    <w:pStyle w:val="56"/>
                    <w:rPr>
                      <w:sz w:val="21"/>
                      <w:szCs w:val="21"/>
                      <w:lang w:val="zh-CN"/>
                    </w:rPr>
                  </w:pPr>
                  <w:r>
                    <w:rPr>
                      <w:rFonts w:eastAsiaTheme="minorEastAsia"/>
                      <w:sz w:val="21"/>
                      <w:szCs w:val="21"/>
                    </w:rPr>
                    <w:t>107753</w:t>
                  </w:r>
                </w:p>
              </w:tc>
              <w:tc>
                <w:tcPr>
                  <w:tcW w:w="3289" w:type="dxa"/>
                  <w:vMerge w:val="restart"/>
                  <w:vAlign w:val="center"/>
                </w:tcPr>
                <w:p w14:paraId="413DBFBB">
                  <w:pPr>
                    <w:pStyle w:val="56"/>
                    <w:rPr>
                      <w:rFonts w:eastAsiaTheme="minorEastAsia"/>
                      <w:sz w:val="21"/>
                      <w:szCs w:val="21"/>
                    </w:rPr>
                  </w:pPr>
                  <w:r>
                    <w:rPr>
                      <w:rFonts w:eastAsiaTheme="minorEastAsia"/>
                      <w:sz w:val="21"/>
                      <w:szCs w:val="21"/>
                    </w:rPr>
                    <w:t>《关于发布排放源统计调查产污核算方法和系数手册的公告》(环境保护部公告2021年第24号)-《锅炉产排污量核算系数手册》中的“D4430工业锅炉(热力生产和供应行业)产污系数表-燃气工业锅炉</w:t>
                  </w:r>
                </w:p>
                <w:p w14:paraId="78F1446B">
                  <w:pPr>
                    <w:pStyle w:val="56"/>
                    <w:rPr>
                      <w:rFonts w:eastAsiaTheme="minorEastAsia"/>
                      <w:sz w:val="21"/>
                      <w:szCs w:val="21"/>
                      <w:lang w:val="zh-CN"/>
                    </w:rPr>
                  </w:pPr>
                  <w:r>
                    <w:rPr>
                      <w:rFonts w:eastAsiaTheme="minorEastAsia"/>
                      <w:sz w:val="21"/>
                      <w:szCs w:val="21"/>
                    </w:rPr>
                    <w:t>《关于发布计算污染物排放量的排污系数和物料衡算方法的公告》(环境保护部公告2017年第81号)的附件1-《纳入排污许可管理的火电等17个行业污染物排放量计算方法(含排污系数、物料衡算方法)(试行)》</w:t>
                  </w:r>
                </w:p>
              </w:tc>
            </w:tr>
            <w:tr w14:paraId="45AE9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90" w:hRule="atLeast"/>
                <w:jc w:val="center"/>
              </w:trPr>
              <w:tc>
                <w:tcPr>
                  <w:tcW w:w="970" w:type="dxa"/>
                  <w:vMerge w:val="continue"/>
                  <w:vAlign w:val="center"/>
                </w:tcPr>
                <w:p w14:paraId="135541EF">
                  <w:pPr>
                    <w:widowControl/>
                    <w:adjustRightInd w:val="0"/>
                    <w:snapToGrid w:val="0"/>
                    <w:spacing w:line="240" w:lineRule="auto"/>
                    <w:jc w:val="center"/>
                    <w:rPr>
                      <w:sz w:val="21"/>
                      <w:szCs w:val="21"/>
                      <w:lang w:val="zh-CN"/>
                    </w:rPr>
                  </w:pPr>
                </w:p>
              </w:tc>
              <w:tc>
                <w:tcPr>
                  <w:tcW w:w="1217" w:type="dxa"/>
                  <w:vAlign w:val="center"/>
                </w:tcPr>
                <w:p w14:paraId="48CF1DEE">
                  <w:pPr>
                    <w:widowControl/>
                    <w:adjustRightInd w:val="0"/>
                    <w:snapToGrid w:val="0"/>
                    <w:spacing w:line="240" w:lineRule="auto"/>
                    <w:jc w:val="center"/>
                    <w:rPr>
                      <w:sz w:val="21"/>
                      <w:szCs w:val="21"/>
                      <w:lang w:val="zh-CN"/>
                    </w:rPr>
                  </w:pPr>
                  <w:r>
                    <w:rPr>
                      <w:sz w:val="21"/>
                      <w:szCs w:val="21"/>
                      <w:lang w:val="zh-CN"/>
                    </w:rPr>
                    <w:t>颗粒物</w:t>
                  </w:r>
                </w:p>
              </w:tc>
              <w:tc>
                <w:tcPr>
                  <w:tcW w:w="1067" w:type="dxa"/>
                  <w:vAlign w:val="center"/>
                </w:tcPr>
                <w:p w14:paraId="4CBBFE77">
                  <w:pPr>
                    <w:pStyle w:val="56"/>
                    <w:rPr>
                      <w:sz w:val="21"/>
                      <w:szCs w:val="21"/>
                      <w:lang w:val="zh-CN"/>
                    </w:rPr>
                  </w:pPr>
                  <w:r>
                    <w:rPr>
                      <w:rFonts w:eastAsiaTheme="minorEastAsia"/>
                      <w:sz w:val="21"/>
                      <w:szCs w:val="21"/>
                    </w:rPr>
                    <w:t>mg/m</w:t>
                  </w:r>
                  <w:r>
                    <w:rPr>
                      <w:rFonts w:eastAsiaTheme="minorEastAsia"/>
                      <w:sz w:val="21"/>
                      <w:szCs w:val="21"/>
                      <w:vertAlign w:val="superscript"/>
                    </w:rPr>
                    <w:t>3</w:t>
                  </w:r>
                  <w:r>
                    <w:rPr>
                      <w:rFonts w:eastAsiaTheme="minorEastAsia"/>
                      <w:sz w:val="21"/>
                      <w:szCs w:val="21"/>
                    </w:rPr>
                    <w:t>天然气</w:t>
                  </w:r>
                </w:p>
              </w:tc>
              <w:tc>
                <w:tcPr>
                  <w:tcW w:w="1100" w:type="dxa"/>
                  <w:vAlign w:val="center"/>
                </w:tcPr>
                <w:p w14:paraId="631DEE40">
                  <w:pPr>
                    <w:pStyle w:val="56"/>
                    <w:rPr>
                      <w:sz w:val="21"/>
                      <w:szCs w:val="21"/>
                    </w:rPr>
                  </w:pPr>
                  <w:r>
                    <w:rPr>
                      <w:rFonts w:eastAsiaTheme="minorEastAsia"/>
                      <w:sz w:val="21"/>
                      <w:szCs w:val="21"/>
                    </w:rPr>
                    <w:t>103.9</w:t>
                  </w:r>
                </w:p>
              </w:tc>
              <w:tc>
                <w:tcPr>
                  <w:tcW w:w="3289" w:type="dxa"/>
                  <w:vMerge w:val="continue"/>
                  <w:vAlign w:val="center"/>
                </w:tcPr>
                <w:p w14:paraId="0E49F0FC">
                  <w:pPr>
                    <w:adjustRightInd w:val="0"/>
                    <w:snapToGrid w:val="0"/>
                    <w:spacing w:line="240" w:lineRule="auto"/>
                    <w:jc w:val="center"/>
                    <w:rPr>
                      <w:sz w:val="21"/>
                      <w:szCs w:val="21"/>
                      <w:lang w:val="zh-CN"/>
                    </w:rPr>
                  </w:pPr>
                </w:p>
              </w:tc>
            </w:tr>
            <w:tr w14:paraId="42E5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34" w:hRule="atLeast"/>
                <w:jc w:val="center"/>
              </w:trPr>
              <w:tc>
                <w:tcPr>
                  <w:tcW w:w="970" w:type="dxa"/>
                  <w:vMerge w:val="continue"/>
                  <w:vAlign w:val="center"/>
                </w:tcPr>
                <w:p w14:paraId="56EE9280">
                  <w:pPr>
                    <w:widowControl/>
                    <w:adjustRightInd w:val="0"/>
                    <w:snapToGrid w:val="0"/>
                    <w:spacing w:line="240" w:lineRule="auto"/>
                    <w:jc w:val="center"/>
                    <w:rPr>
                      <w:sz w:val="21"/>
                      <w:szCs w:val="21"/>
                      <w:lang w:val="zh-CN"/>
                    </w:rPr>
                  </w:pPr>
                </w:p>
              </w:tc>
              <w:tc>
                <w:tcPr>
                  <w:tcW w:w="1217" w:type="dxa"/>
                  <w:vAlign w:val="center"/>
                </w:tcPr>
                <w:p w14:paraId="197711D1">
                  <w:pPr>
                    <w:widowControl/>
                    <w:adjustRightInd w:val="0"/>
                    <w:snapToGrid w:val="0"/>
                    <w:spacing w:line="240" w:lineRule="auto"/>
                    <w:jc w:val="center"/>
                    <w:rPr>
                      <w:sz w:val="21"/>
                      <w:szCs w:val="21"/>
                      <w:lang w:val="zh-CN"/>
                    </w:rPr>
                  </w:pPr>
                  <w:r>
                    <w:rPr>
                      <w:sz w:val="21"/>
                      <w:szCs w:val="21"/>
                      <w:lang w:val="zh-CN"/>
                    </w:rPr>
                    <w:t>二氧化硫</w:t>
                  </w:r>
                </w:p>
              </w:tc>
              <w:tc>
                <w:tcPr>
                  <w:tcW w:w="1067" w:type="dxa"/>
                  <w:vAlign w:val="center"/>
                </w:tcPr>
                <w:p w14:paraId="07F34630">
                  <w:pPr>
                    <w:pStyle w:val="56"/>
                    <w:rPr>
                      <w:sz w:val="21"/>
                      <w:szCs w:val="21"/>
                      <w:lang w:val="zh-CN"/>
                    </w:rPr>
                  </w:pPr>
                  <w:r>
                    <w:rPr>
                      <w:rFonts w:eastAsiaTheme="minorEastAsia"/>
                      <w:sz w:val="21"/>
                      <w:szCs w:val="21"/>
                    </w:rPr>
                    <w:t>kg/万m</w:t>
                  </w:r>
                  <w:r>
                    <w:rPr>
                      <w:rFonts w:eastAsiaTheme="minorEastAsia"/>
                      <w:sz w:val="21"/>
                      <w:szCs w:val="21"/>
                      <w:vertAlign w:val="superscript"/>
                    </w:rPr>
                    <w:t>3</w:t>
                  </w:r>
                  <w:r>
                    <w:rPr>
                      <w:rFonts w:eastAsiaTheme="minorEastAsia"/>
                      <w:sz w:val="21"/>
                      <w:szCs w:val="21"/>
                    </w:rPr>
                    <w:t>天然气</w:t>
                  </w:r>
                </w:p>
              </w:tc>
              <w:tc>
                <w:tcPr>
                  <w:tcW w:w="1100" w:type="dxa"/>
                  <w:vAlign w:val="center"/>
                </w:tcPr>
                <w:p w14:paraId="1AD848F3">
                  <w:pPr>
                    <w:pStyle w:val="56"/>
                    <w:rPr>
                      <w:sz w:val="21"/>
                      <w:szCs w:val="21"/>
                      <w:lang w:val="zh-CN"/>
                    </w:rPr>
                  </w:pPr>
                  <w:r>
                    <w:rPr>
                      <w:rFonts w:eastAsiaTheme="minorEastAsia"/>
                      <w:sz w:val="21"/>
                      <w:szCs w:val="21"/>
                    </w:rPr>
                    <w:t>0.02S</w:t>
                  </w:r>
                </w:p>
              </w:tc>
              <w:tc>
                <w:tcPr>
                  <w:tcW w:w="3289" w:type="dxa"/>
                  <w:vMerge w:val="continue"/>
                  <w:vAlign w:val="center"/>
                </w:tcPr>
                <w:p w14:paraId="76735DE1">
                  <w:pPr>
                    <w:widowControl/>
                    <w:adjustRightInd w:val="0"/>
                    <w:snapToGrid w:val="0"/>
                    <w:spacing w:line="240" w:lineRule="auto"/>
                    <w:jc w:val="center"/>
                    <w:rPr>
                      <w:sz w:val="21"/>
                      <w:szCs w:val="21"/>
                      <w:lang w:val="zh-CN"/>
                    </w:rPr>
                  </w:pPr>
                </w:p>
              </w:tc>
            </w:tr>
            <w:tr w14:paraId="5DBB9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970" w:type="dxa"/>
                  <w:vMerge w:val="continue"/>
                  <w:vAlign w:val="center"/>
                </w:tcPr>
                <w:p w14:paraId="7565FF33">
                  <w:pPr>
                    <w:widowControl/>
                    <w:adjustRightInd w:val="0"/>
                    <w:snapToGrid w:val="0"/>
                    <w:spacing w:line="240" w:lineRule="auto"/>
                    <w:jc w:val="center"/>
                    <w:rPr>
                      <w:sz w:val="21"/>
                      <w:szCs w:val="21"/>
                      <w:lang w:val="zh-CN"/>
                    </w:rPr>
                  </w:pPr>
                </w:p>
              </w:tc>
              <w:tc>
                <w:tcPr>
                  <w:tcW w:w="1217" w:type="dxa"/>
                  <w:vAlign w:val="center"/>
                </w:tcPr>
                <w:p w14:paraId="64FC41A9">
                  <w:pPr>
                    <w:widowControl/>
                    <w:adjustRightInd w:val="0"/>
                    <w:snapToGrid w:val="0"/>
                    <w:spacing w:line="240" w:lineRule="auto"/>
                    <w:jc w:val="center"/>
                    <w:rPr>
                      <w:sz w:val="21"/>
                      <w:szCs w:val="21"/>
                      <w:lang w:val="zh-CN"/>
                    </w:rPr>
                  </w:pPr>
                  <w:r>
                    <w:rPr>
                      <w:sz w:val="21"/>
                      <w:szCs w:val="21"/>
                      <w:lang w:val="zh-CN"/>
                    </w:rPr>
                    <w:t>氮氧化物</w:t>
                  </w:r>
                </w:p>
              </w:tc>
              <w:tc>
                <w:tcPr>
                  <w:tcW w:w="1067" w:type="dxa"/>
                  <w:vAlign w:val="center"/>
                </w:tcPr>
                <w:p w14:paraId="3C6FCD3B">
                  <w:pPr>
                    <w:pStyle w:val="56"/>
                    <w:rPr>
                      <w:sz w:val="21"/>
                      <w:szCs w:val="21"/>
                      <w:lang w:val="zh-CN"/>
                    </w:rPr>
                  </w:pPr>
                  <w:r>
                    <w:rPr>
                      <w:rFonts w:eastAsiaTheme="minorEastAsia"/>
                      <w:sz w:val="21"/>
                      <w:szCs w:val="21"/>
                    </w:rPr>
                    <w:t>kg/万m</w:t>
                  </w:r>
                  <w:r>
                    <w:rPr>
                      <w:rFonts w:eastAsiaTheme="minorEastAsia"/>
                      <w:sz w:val="21"/>
                      <w:szCs w:val="21"/>
                      <w:vertAlign w:val="superscript"/>
                    </w:rPr>
                    <w:t>3</w:t>
                  </w:r>
                  <w:r>
                    <w:rPr>
                      <w:rFonts w:eastAsiaTheme="minorEastAsia"/>
                      <w:sz w:val="21"/>
                      <w:szCs w:val="21"/>
                    </w:rPr>
                    <w:t>天然气</w:t>
                  </w:r>
                </w:p>
              </w:tc>
              <w:tc>
                <w:tcPr>
                  <w:tcW w:w="1100" w:type="dxa"/>
                  <w:vAlign w:val="center"/>
                </w:tcPr>
                <w:p w14:paraId="28212C4C">
                  <w:pPr>
                    <w:pStyle w:val="56"/>
                    <w:rPr>
                      <w:sz w:val="21"/>
                      <w:szCs w:val="21"/>
                    </w:rPr>
                  </w:pPr>
                  <w:r>
                    <w:rPr>
                      <w:rFonts w:eastAsiaTheme="minorEastAsia"/>
                      <w:sz w:val="21"/>
                      <w:szCs w:val="21"/>
                    </w:rPr>
                    <w:t>3.03</w:t>
                  </w:r>
                </w:p>
              </w:tc>
              <w:tc>
                <w:tcPr>
                  <w:tcW w:w="3289" w:type="dxa"/>
                  <w:vMerge w:val="continue"/>
                  <w:vAlign w:val="center"/>
                </w:tcPr>
                <w:p w14:paraId="1BAD2D9D">
                  <w:pPr>
                    <w:widowControl/>
                    <w:adjustRightInd w:val="0"/>
                    <w:snapToGrid w:val="0"/>
                    <w:spacing w:line="240" w:lineRule="auto"/>
                    <w:jc w:val="center"/>
                    <w:rPr>
                      <w:sz w:val="21"/>
                      <w:szCs w:val="21"/>
                      <w:lang w:val="zh-CN"/>
                    </w:rPr>
                  </w:pPr>
                </w:p>
              </w:tc>
            </w:tr>
            <w:tr w14:paraId="6A20B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7643" w:type="dxa"/>
                  <w:gridSpan w:val="5"/>
                  <w:vAlign w:val="center"/>
                </w:tcPr>
                <w:p w14:paraId="00983472">
                  <w:pPr>
                    <w:spacing w:line="240" w:lineRule="auto"/>
                    <w:ind w:left="531" w:hanging="620" w:hangingChars="294"/>
                    <w:rPr>
                      <w:sz w:val="21"/>
                      <w:szCs w:val="21"/>
                    </w:rPr>
                  </w:pPr>
                  <w:r>
                    <w:rPr>
                      <w:b/>
                      <w:sz w:val="21"/>
                      <w:szCs w:val="21"/>
                    </w:rPr>
                    <w:t>注：</w:t>
                  </w:r>
                  <w:r>
                    <w:rPr>
                      <w:sz w:val="21"/>
                      <w:szCs w:val="21"/>
                    </w:rPr>
                    <w:t>①产排污系数表中二氧化硫的产排污系数是以含硫量（S）的形式表示的，其中含硫量（S）是指燃气收到基硫分含量，单位为毫克/立方米。根据《天然气》（GB17820-2018）表1天然气质量要求二类天然气中总硫（以硫计）含量≤100mg/m</w:t>
                  </w:r>
                  <w:r>
                    <w:rPr>
                      <w:sz w:val="21"/>
                      <w:szCs w:val="21"/>
                      <w:vertAlign w:val="superscript"/>
                    </w:rPr>
                    <w:t>3</w:t>
                  </w:r>
                  <w:r>
                    <w:rPr>
                      <w:sz w:val="21"/>
                      <w:szCs w:val="21"/>
                    </w:rPr>
                    <w:t>，本次评价S取100）。</w:t>
                  </w:r>
                </w:p>
              </w:tc>
            </w:tr>
          </w:tbl>
          <w:p w14:paraId="03788E4A">
            <w:pPr>
              <w:widowControl/>
              <w:wordWrap w:val="0"/>
              <w:spacing w:line="460" w:lineRule="exact"/>
              <w:ind w:left="480" w:leftChars="200"/>
              <w:rPr>
                <w:rFonts w:hint="default" w:ascii="Times New Roman" w:hAnsi="Times New Roman" w:cs="Times New Roman"/>
                <w:b/>
                <w:sz w:val="21"/>
                <w:szCs w:val="22"/>
              </w:rPr>
            </w:pPr>
            <w:r>
              <w:rPr>
                <w:rFonts w:hint="default" w:ascii="Times New Roman" w:hAnsi="Times New Roman" w:cs="Times New Roman"/>
                <w:lang w:bidi="en-US"/>
              </w:rPr>
              <w:t>由上表计算可得：</w:t>
            </w:r>
          </w:p>
          <w:p w14:paraId="42F758B7">
            <w:pPr>
              <w:spacing w:line="460" w:lineRule="exact"/>
              <w:jc w:val="center"/>
              <w:rPr>
                <w:rFonts w:hint="default" w:ascii="Times New Roman" w:hAnsi="Times New Roman" w:cs="Times New Roman"/>
                <w:b/>
                <w:kern w:val="0"/>
                <w:sz w:val="21"/>
                <w:szCs w:val="22"/>
                <w:lang w:val="zh-CN"/>
              </w:rPr>
            </w:pPr>
            <w:r>
              <w:rPr>
                <w:rFonts w:hint="default" w:ascii="Times New Roman" w:hAnsi="Times New Roman" w:cs="Times New Roman"/>
                <w:b/>
                <w:kern w:val="0"/>
                <w:sz w:val="21"/>
                <w:szCs w:val="22"/>
                <w:lang w:val="zh-CN"/>
              </w:rPr>
              <w:t>表</w:t>
            </w:r>
            <w:r>
              <w:rPr>
                <w:rFonts w:hint="default" w:ascii="Times New Roman" w:hAnsi="Times New Roman" w:cs="Times New Roman"/>
                <w:b/>
                <w:kern w:val="0"/>
                <w:sz w:val="21"/>
                <w:szCs w:val="22"/>
              </w:rPr>
              <w:t>4-3</w:t>
            </w:r>
            <w:r>
              <w:rPr>
                <w:rFonts w:hint="default" w:ascii="Times New Roman" w:hAnsi="Times New Roman" w:cs="Times New Roman"/>
                <w:b/>
                <w:kern w:val="0"/>
                <w:sz w:val="21"/>
                <w:szCs w:val="22"/>
                <w:lang w:val="zh-CN"/>
              </w:rPr>
              <w:t xml:space="preserve"> 锅炉废气产排情况表</w:t>
            </w:r>
          </w:p>
          <w:tbl>
            <w:tblPr>
              <w:tblStyle w:val="21"/>
              <w:tblpPr w:leftFromText="180" w:rightFromText="180" w:vertAnchor="text" w:tblpXSpec="center" w:tblpY="1"/>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18"/>
              <w:gridCol w:w="818"/>
              <w:gridCol w:w="1470"/>
              <w:gridCol w:w="697"/>
              <w:gridCol w:w="698"/>
              <w:gridCol w:w="712"/>
              <w:gridCol w:w="617"/>
              <w:gridCol w:w="665"/>
              <w:gridCol w:w="591"/>
              <w:gridCol w:w="565"/>
            </w:tblGrid>
            <w:tr w14:paraId="33E46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75" w:hRule="atLeast"/>
              </w:trPr>
              <w:tc>
                <w:tcPr>
                  <w:tcW w:w="534" w:type="pct"/>
                  <w:vMerge w:val="restart"/>
                  <w:vAlign w:val="center"/>
                </w:tcPr>
                <w:p w14:paraId="26134849">
                  <w:pPr>
                    <w:pStyle w:val="46"/>
                    <w:framePr w:hSpace="0" w:wrap="auto" w:vAnchor="margin" w:hAnchor="text" w:xAlign="left" w:yAlign="inline"/>
                    <w:rPr>
                      <w:rFonts w:cs="Times New Roman"/>
                      <w:b/>
                      <w:bCs/>
                      <w:sz w:val="21"/>
                      <w:lang w:val="en-US"/>
                    </w:rPr>
                  </w:pPr>
                  <w:r>
                    <w:rPr>
                      <w:rFonts w:cs="Times New Roman"/>
                      <w:b/>
                      <w:bCs/>
                      <w:sz w:val="21"/>
                    </w:rPr>
                    <w:t>污染源</w:t>
                  </w:r>
                </w:p>
              </w:tc>
              <w:tc>
                <w:tcPr>
                  <w:tcW w:w="534" w:type="pct"/>
                  <w:vMerge w:val="restart"/>
                  <w:vAlign w:val="center"/>
                </w:tcPr>
                <w:p w14:paraId="4CC8F043">
                  <w:pPr>
                    <w:pStyle w:val="46"/>
                    <w:framePr w:hSpace="0" w:wrap="auto" w:vAnchor="margin" w:hAnchor="text" w:xAlign="left" w:yAlign="inline"/>
                    <w:rPr>
                      <w:rFonts w:cs="Times New Roman"/>
                      <w:b/>
                      <w:bCs/>
                      <w:sz w:val="21"/>
                      <w:lang w:val="en-US"/>
                    </w:rPr>
                  </w:pPr>
                  <w:r>
                    <w:rPr>
                      <w:rFonts w:cs="Times New Roman"/>
                      <w:b/>
                      <w:bCs/>
                      <w:sz w:val="21"/>
                    </w:rPr>
                    <w:t>污染物</w:t>
                  </w:r>
                </w:p>
              </w:tc>
              <w:tc>
                <w:tcPr>
                  <w:tcW w:w="960" w:type="pct"/>
                  <w:vMerge w:val="restart"/>
                  <w:vAlign w:val="center"/>
                </w:tcPr>
                <w:p w14:paraId="53B608B7">
                  <w:pPr>
                    <w:widowControl/>
                    <w:adjustRightInd w:val="0"/>
                    <w:snapToGrid w:val="0"/>
                    <w:spacing w:line="240" w:lineRule="auto"/>
                    <w:jc w:val="center"/>
                    <w:rPr>
                      <w:b/>
                      <w:bCs/>
                      <w:sz w:val="21"/>
                      <w:szCs w:val="21"/>
                    </w:rPr>
                  </w:pPr>
                  <w:r>
                    <w:rPr>
                      <w:b/>
                      <w:bCs/>
                      <w:sz w:val="21"/>
                      <w:szCs w:val="21"/>
                    </w:rPr>
                    <w:t>废气量</w:t>
                  </w:r>
                </w:p>
                <w:p w14:paraId="09792E2C">
                  <w:pPr>
                    <w:widowControl/>
                    <w:adjustRightInd w:val="0"/>
                    <w:snapToGrid w:val="0"/>
                    <w:spacing w:line="240" w:lineRule="auto"/>
                    <w:jc w:val="center"/>
                    <w:rPr>
                      <w:b/>
                      <w:bCs/>
                      <w:sz w:val="21"/>
                      <w:szCs w:val="21"/>
                    </w:rPr>
                  </w:pPr>
                  <w:r>
                    <w:rPr>
                      <w:b/>
                      <w:bCs/>
                      <w:sz w:val="21"/>
                      <w:szCs w:val="21"/>
                    </w:rPr>
                    <w:t>（万Nm</w:t>
                  </w:r>
                  <w:r>
                    <w:rPr>
                      <w:b/>
                      <w:bCs/>
                      <w:sz w:val="21"/>
                      <w:szCs w:val="21"/>
                      <w:vertAlign w:val="superscript"/>
                    </w:rPr>
                    <w:t>3</w:t>
                  </w:r>
                  <w:r>
                    <w:rPr>
                      <w:b/>
                      <w:bCs/>
                      <w:sz w:val="21"/>
                      <w:szCs w:val="21"/>
                    </w:rPr>
                    <w:t>/a）</w:t>
                  </w:r>
                </w:p>
              </w:tc>
              <w:tc>
                <w:tcPr>
                  <w:tcW w:w="1376" w:type="pct"/>
                  <w:gridSpan w:val="3"/>
                  <w:vAlign w:val="center"/>
                </w:tcPr>
                <w:p w14:paraId="08ED11B9">
                  <w:pPr>
                    <w:pStyle w:val="46"/>
                    <w:framePr w:hSpace="0" w:wrap="auto" w:vAnchor="margin" w:hAnchor="text" w:xAlign="left" w:yAlign="inline"/>
                    <w:rPr>
                      <w:rFonts w:cs="Times New Roman"/>
                      <w:b/>
                      <w:bCs/>
                      <w:sz w:val="21"/>
                      <w:lang w:val="en-US"/>
                    </w:rPr>
                  </w:pPr>
                  <w:r>
                    <w:rPr>
                      <w:rFonts w:cs="Times New Roman"/>
                      <w:b/>
                      <w:bCs/>
                      <w:sz w:val="21"/>
                    </w:rPr>
                    <w:t>产生情况</w:t>
                  </w:r>
                </w:p>
              </w:tc>
              <w:tc>
                <w:tcPr>
                  <w:tcW w:w="1223" w:type="pct"/>
                  <w:gridSpan w:val="3"/>
                  <w:vAlign w:val="center"/>
                </w:tcPr>
                <w:p w14:paraId="09CDA17B">
                  <w:pPr>
                    <w:pStyle w:val="46"/>
                    <w:framePr w:hSpace="0" w:wrap="auto" w:vAnchor="margin" w:hAnchor="text" w:xAlign="left" w:yAlign="inline"/>
                    <w:rPr>
                      <w:rFonts w:cs="Times New Roman"/>
                      <w:b/>
                      <w:bCs/>
                      <w:sz w:val="21"/>
                      <w:lang w:val="en-US"/>
                    </w:rPr>
                  </w:pPr>
                  <w:r>
                    <w:rPr>
                      <w:rFonts w:cs="Times New Roman"/>
                      <w:b/>
                      <w:bCs/>
                      <w:sz w:val="21"/>
                    </w:rPr>
                    <w:t>排放情况</w:t>
                  </w:r>
                </w:p>
              </w:tc>
              <w:tc>
                <w:tcPr>
                  <w:tcW w:w="369" w:type="pct"/>
                  <w:vMerge w:val="restart"/>
                  <w:vAlign w:val="center"/>
                </w:tcPr>
                <w:p w14:paraId="30B892CC">
                  <w:pPr>
                    <w:pStyle w:val="46"/>
                    <w:framePr w:hSpace="0" w:wrap="auto" w:vAnchor="margin" w:hAnchor="text" w:xAlign="left" w:yAlign="inline"/>
                    <w:rPr>
                      <w:rFonts w:cs="Times New Roman"/>
                      <w:b/>
                      <w:bCs/>
                      <w:sz w:val="21"/>
                      <w:lang w:val="en-US"/>
                    </w:rPr>
                  </w:pPr>
                  <w:r>
                    <w:rPr>
                      <w:rFonts w:cs="Times New Roman"/>
                      <w:b/>
                      <w:bCs/>
                      <w:sz w:val="21"/>
                    </w:rPr>
                    <w:t>排放方式</w:t>
                  </w:r>
                </w:p>
              </w:tc>
            </w:tr>
            <w:tr w14:paraId="64C52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534" w:type="pct"/>
                  <w:vMerge w:val="continue"/>
                  <w:vAlign w:val="center"/>
                </w:tcPr>
                <w:p w14:paraId="5D7F891B">
                  <w:pPr>
                    <w:pStyle w:val="46"/>
                    <w:framePr w:hSpace="0" w:wrap="auto" w:vAnchor="margin" w:hAnchor="text" w:xAlign="left" w:yAlign="inline"/>
                    <w:rPr>
                      <w:rFonts w:cs="Times New Roman"/>
                      <w:sz w:val="21"/>
                      <w:lang w:val="en-US"/>
                    </w:rPr>
                  </w:pPr>
                </w:p>
              </w:tc>
              <w:tc>
                <w:tcPr>
                  <w:tcW w:w="534" w:type="pct"/>
                  <w:vMerge w:val="continue"/>
                  <w:vAlign w:val="center"/>
                </w:tcPr>
                <w:p w14:paraId="00BBADF3">
                  <w:pPr>
                    <w:pStyle w:val="46"/>
                    <w:framePr w:hSpace="0" w:wrap="auto" w:vAnchor="margin" w:hAnchor="text" w:xAlign="left" w:yAlign="inline"/>
                    <w:rPr>
                      <w:rFonts w:cs="Times New Roman"/>
                      <w:sz w:val="21"/>
                      <w:lang w:val="en-US"/>
                    </w:rPr>
                  </w:pPr>
                </w:p>
              </w:tc>
              <w:tc>
                <w:tcPr>
                  <w:tcW w:w="960" w:type="pct"/>
                  <w:vMerge w:val="continue"/>
                  <w:vAlign w:val="center"/>
                </w:tcPr>
                <w:p w14:paraId="3B0CEE49">
                  <w:pPr>
                    <w:pStyle w:val="46"/>
                    <w:framePr w:hSpace="0" w:wrap="auto" w:vAnchor="margin" w:hAnchor="text" w:xAlign="left" w:yAlign="inline"/>
                    <w:rPr>
                      <w:rFonts w:cs="Times New Roman"/>
                      <w:sz w:val="21"/>
                      <w:lang w:val="en-US"/>
                    </w:rPr>
                  </w:pPr>
                </w:p>
              </w:tc>
              <w:tc>
                <w:tcPr>
                  <w:tcW w:w="455" w:type="pct"/>
                  <w:vAlign w:val="center"/>
                </w:tcPr>
                <w:p w14:paraId="7A1E4A66">
                  <w:pPr>
                    <w:pStyle w:val="46"/>
                    <w:framePr w:hSpace="0" w:wrap="auto" w:vAnchor="margin" w:hAnchor="text" w:xAlign="left" w:yAlign="inline"/>
                    <w:rPr>
                      <w:rFonts w:cs="Times New Roman"/>
                      <w:b/>
                      <w:bCs/>
                      <w:sz w:val="21"/>
                      <w:lang w:val="en-US"/>
                    </w:rPr>
                  </w:pPr>
                  <w:r>
                    <w:rPr>
                      <w:rFonts w:cs="Times New Roman"/>
                      <w:b/>
                      <w:bCs/>
                      <w:sz w:val="21"/>
                    </w:rPr>
                    <w:t>产生速率</w:t>
                  </w:r>
                </w:p>
                <w:p w14:paraId="7719153A">
                  <w:pPr>
                    <w:pStyle w:val="46"/>
                    <w:framePr w:hSpace="0" w:wrap="auto" w:vAnchor="margin" w:hAnchor="text" w:xAlign="left" w:yAlign="inline"/>
                    <w:rPr>
                      <w:rFonts w:cs="Times New Roman"/>
                      <w:b/>
                      <w:bCs/>
                      <w:sz w:val="21"/>
                      <w:lang w:val="en-US"/>
                    </w:rPr>
                  </w:pPr>
                  <w:r>
                    <w:rPr>
                      <w:rFonts w:cs="Times New Roman"/>
                      <w:b/>
                      <w:bCs/>
                      <w:sz w:val="21"/>
                      <w:lang w:val="en-US"/>
                    </w:rPr>
                    <w:t>kg/h</w:t>
                  </w:r>
                </w:p>
              </w:tc>
              <w:tc>
                <w:tcPr>
                  <w:tcW w:w="456" w:type="pct"/>
                  <w:vAlign w:val="center"/>
                </w:tcPr>
                <w:p w14:paraId="18503ABF">
                  <w:pPr>
                    <w:pStyle w:val="46"/>
                    <w:framePr w:hSpace="0" w:wrap="auto" w:vAnchor="margin" w:hAnchor="text" w:xAlign="left" w:yAlign="inline"/>
                    <w:rPr>
                      <w:rFonts w:cs="Times New Roman"/>
                      <w:b/>
                      <w:bCs/>
                      <w:sz w:val="21"/>
                      <w:lang w:val="en-US"/>
                    </w:rPr>
                  </w:pPr>
                  <w:r>
                    <w:rPr>
                      <w:rFonts w:cs="Times New Roman"/>
                      <w:b/>
                      <w:bCs/>
                      <w:sz w:val="21"/>
                    </w:rPr>
                    <w:t>产生浓度</w:t>
                  </w:r>
                  <w:r>
                    <w:rPr>
                      <w:rFonts w:cs="Times New Roman"/>
                      <w:b/>
                      <w:bCs/>
                      <w:sz w:val="21"/>
                      <w:lang w:val="en-US"/>
                    </w:rPr>
                    <w:t>mg/m</w:t>
                  </w:r>
                  <w:r>
                    <w:rPr>
                      <w:rFonts w:cs="Times New Roman"/>
                      <w:b/>
                      <w:bCs/>
                      <w:sz w:val="21"/>
                      <w:vertAlign w:val="superscript"/>
                      <w:lang w:val="en-US"/>
                    </w:rPr>
                    <w:t>3</w:t>
                  </w:r>
                </w:p>
              </w:tc>
              <w:tc>
                <w:tcPr>
                  <w:tcW w:w="464" w:type="pct"/>
                  <w:vAlign w:val="center"/>
                </w:tcPr>
                <w:p w14:paraId="58EA81C9">
                  <w:pPr>
                    <w:pStyle w:val="46"/>
                    <w:framePr w:hSpace="0" w:wrap="auto" w:vAnchor="margin" w:hAnchor="text" w:xAlign="left" w:yAlign="inline"/>
                    <w:rPr>
                      <w:rFonts w:cs="Times New Roman"/>
                      <w:b/>
                      <w:bCs/>
                      <w:sz w:val="21"/>
                      <w:lang w:val="en-US"/>
                    </w:rPr>
                  </w:pPr>
                  <w:r>
                    <w:rPr>
                      <w:rFonts w:cs="Times New Roman"/>
                      <w:b/>
                      <w:bCs/>
                      <w:sz w:val="21"/>
                    </w:rPr>
                    <w:t>产生量</w:t>
                  </w:r>
                </w:p>
                <w:p w14:paraId="3781D20A">
                  <w:pPr>
                    <w:pStyle w:val="46"/>
                    <w:framePr w:hSpace="0" w:wrap="auto" w:vAnchor="margin" w:hAnchor="text" w:xAlign="left" w:yAlign="inline"/>
                    <w:rPr>
                      <w:rFonts w:cs="Times New Roman"/>
                      <w:b/>
                      <w:bCs/>
                      <w:sz w:val="21"/>
                      <w:lang w:val="en-US"/>
                    </w:rPr>
                  </w:pPr>
                  <w:r>
                    <w:rPr>
                      <w:rFonts w:cs="Times New Roman"/>
                      <w:b/>
                      <w:bCs/>
                      <w:sz w:val="21"/>
                      <w:lang w:val="en-US"/>
                    </w:rPr>
                    <w:t>t/a</w:t>
                  </w:r>
                </w:p>
              </w:tc>
              <w:tc>
                <w:tcPr>
                  <w:tcW w:w="403" w:type="pct"/>
                  <w:vAlign w:val="center"/>
                </w:tcPr>
                <w:p w14:paraId="0A639131">
                  <w:pPr>
                    <w:pStyle w:val="46"/>
                    <w:framePr w:hSpace="0" w:wrap="auto" w:vAnchor="margin" w:hAnchor="text" w:xAlign="left" w:yAlign="inline"/>
                    <w:rPr>
                      <w:rFonts w:cs="Times New Roman"/>
                      <w:b/>
                      <w:bCs/>
                      <w:sz w:val="21"/>
                      <w:lang w:val="en-US"/>
                    </w:rPr>
                  </w:pPr>
                  <w:r>
                    <w:rPr>
                      <w:rFonts w:cs="Times New Roman"/>
                      <w:b/>
                      <w:bCs/>
                      <w:sz w:val="21"/>
                    </w:rPr>
                    <w:t>排放速率</w:t>
                  </w:r>
                  <w:r>
                    <w:rPr>
                      <w:rFonts w:cs="Times New Roman"/>
                      <w:b/>
                      <w:bCs/>
                      <w:sz w:val="21"/>
                      <w:lang w:val="en-US"/>
                    </w:rPr>
                    <w:t>kg/h</w:t>
                  </w:r>
                </w:p>
              </w:tc>
              <w:tc>
                <w:tcPr>
                  <w:tcW w:w="434" w:type="pct"/>
                  <w:vAlign w:val="center"/>
                </w:tcPr>
                <w:p w14:paraId="28C5CA30">
                  <w:pPr>
                    <w:pStyle w:val="46"/>
                    <w:framePr w:hSpace="0" w:wrap="auto" w:vAnchor="margin" w:hAnchor="text" w:xAlign="left" w:yAlign="inline"/>
                    <w:rPr>
                      <w:rFonts w:cs="Times New Roman"/>
                      <w:b/>
                      <w:bCs/>
                      <w:sz w:val="21"/>
                      <w:lang w:val="en-US"/>
                    </w:rPr>
                  </w:pPr>
                  <w:r>
                    <w:rPr>
                      <w:rFonts w:cs="Times New Roman"/>
                      <w:b/>
                      <w:bCs/>
                      <w:sz w:val="21"/>
                    </w:rPr>
                    <w:t>排放浓度</w:t>
                  </w:r>
                  <w:r>
                    <w:rPr>
                      <w:rFonts w:cs="Times New Roman"/>
                      <w:b/>
                      <w:bCs/>
                      <w:sz w:val="21"/>
                      <w:lang w:val="en-US"/>
                    </w:rPr>
                    <w:t>mg/m</w:t>
                  </w:r>
                  <w:r>
                    <w:rPr>
                      <w:rFonts w:cs="Times New Roman"/>
                      <w:b/>
                      <w:bCs/>
                      <w:sz w:val="21"/>
                      <w:vertAlign w:val="superscript"/>
                      <w:lang w:val="en-US"/>
                    </w:rPr>
                    <w:t>3</w:t>
                  </w:r>
                </w:p>
              </w:tc>
              <w:tc>
                <w:tcPr>
                  <w:tcW w:w="384" w:type="pct"/>
                  <w:vAlign w:val="center"/>
                </w:tcPr>
                <w:p w14:paraId="46EA4E8E">
                  <w:pPr>
                    <w:pStyle w:val="46"/>
                    <w:framePr w:hSpace="0" w:wrap="auto" w:vAnchor="margin" w:hAnchor="text" w:xAlign="left" w:yAlign="inline"/>
                    <w:rPr>
                      <w:rFonts w:cs="Times New Roman"/>
                      <w:b/>
                      <w:bCs/>
                      <w:sz w:val="21"/>
                      <w:lang w:val="en-US"/>
                    </w:rPr>
                  </w:pPr>
                  <w:r>
                    <w:rPr>
                      <w:rFonts w:cs="Times New Roman"/>
                      <w:b/>
                      <w:bCs/>
                      <w:sz w:val="21"/>
                    </w:rPr>
                    <w:t>排放量</w:t>
                  </w:r>
                  <w:r>
                    <w:rPr>
                      <w:rFonts w:cs="Times New Roman"/>
                      <w:b/>
                      <w:bCs/>
                      <w:sz w:val="21"/>
                      <w:lang w:val="en-US"/>
                    </w:rPr>
                    <w:t>t/a</w:t>
                  </w:r>
                </w:p>
              </w:tc>
              <w:tc>
                <w:tcPr>
                  <w:tcW w:w="369" w:type="pct"/>
                  <w:vMerge w:val="continue"/>
                  <w:vAlign w:val="center"/>
                </w:tcPr>
                <w:p w14:paraId="25D4837E">
                  <w:pPr>
                    <w:pStyle w:val="46"/>
                    <w:framePr w:hSpace="0" w:wrap="auto" w:vAnchor="margin" w:hAnchor="text" w:xAlign="left" w:yAlign="inline"/>
                    <w:rPr>
                      <w:rFonts w:cs="Times New Roman"/>
                      <w:sz w:val="21"/>
                      <w:lang w:val="en-US"/>
                    </w:rPr>
                  </w:pPr>
                </w:p>
              </w:tc>
            </w:tr>
            <w:tr w14:paraId="2C6D5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534" w:type="pct"/>
                  <w:vMerge w:val="restart"/>
                  <w:vAlign w:val="center"/>
                </w:tcPr>
                <w:p w14:paraId="7B6D62D9">
                  <w:pPr>
                    <w:pStyle w:val="46"/>
                    <w:framePr w:hSpace="0" w:wrap="auto" w:vAnchor="margin" w:hAnchor="text" w:xAlign="left" w:yAlign="inline"/>
                    <w:rPr>
                      <w:rFonts w:cs="Times New Roman"/>
                      <w:sz w:val="21"/>
                      <w:lang w:val="en-US"/>
                    </w:rPr>
                  </w:pPr>
                  <w:r>
                    <w:rPr>
                      <w:rFonts w:cs="Times New Roman"/>
                      <w:sz w:val="21"/>
                    </w:rPr>
                    <w:t>天然气锅炉</w:t>
                  </w:r>
                </w:p>
              </w:tc>
              <w:tc>
                <w:tcPr>
                  <w:tcW w:w="534" w:type="pct"/>
                  <w:vAlign w:val="center"/>
                </w:tcPr>
                <w:p w14:paraId="2E762960">
                  <w:pPr>
                    <w:pStyle w:val="46"/>
                    <w:framePr w:hSpace="0" w:wrap="auto" w:vAnchor="margin" w:hAnchor="text" w:xAlign="left" w:yAlign="inline"/>
                    <w:rPr>
                      <w:rFonts w:cs="Times New Roman"/>
                      <w:sz w:val="21"/>
                      <w:lang w:val="en-US"/>
                    </w:rPr>
                  </w:pPr>
                  <w:r>
                    <w:rPr>
                      <w:rFonts w:cs="Times New Roman"/>
                      <w:sz w:val="21"/>
                      <w:lang w:val="en-US"/>
                    </w:rPr>
                    <w:t>颗粒物</w:t>
                  </w:r>
                </w:p>
              </w:tc>
              <w:tc>
                <w:tcPr>
                  <w:tcW w:w="960" w:type="pct"/>
                  <w:vMerge w:val="restart"/>
                  <w:vAlign w:val="center"/>
                </w:tcPr>
                <w:p w14:paraId="061E1C2C">
                  <w:pPr>
                    <w:pStyle w:val="46"/>
                    <w:framePr w:hSpace="0" w:wrap="auto" w:vAnchor="margin" w:hAnchor="text" w:xAlign="left" w:yAlign="inline"/>
                    <w:rPr>
                      <w:rFonts w:cs="Times New Roman"/>
                      <w:sz w:val="21"/>
                      <w:lang w:val="en-US"/>
                    </w:rPr>
                  </w:pPr>
                  <w:r>
                    <w:rPr>
                      <w:rFonts w:cs="Times New Roman"/>
                      <w:sz w:val="21"/>
                      <w:lang w:val="en-US"/>
                    </w:rPr>
                    <w:t>484.88</w:t>
                  </w:r>
                </w:p>
                <w:p w14:paraId="4C2B84B9">
                  <w:pPr>
                    <w:pStyle w:val="46"/>
                    <w:framePr w:hSpace="0" w:wrap="auto" w:vAnchor="margin" w:hAnchor="text" w:xAlign="left" w:yAlign="inline"/>
                    <w:rPr>
                      <w:rFonts w:cs="Times New Roman"/>
                      <w:sz w:val="21"/>
                      <w:lang w:val="en-US"/>
                    </w:rPr>
                  </w:pPr>
                  <w:r>
                    <w:rPr>
                      <w:rFonts w:cs="Times New Roman"/>
                      <w:sz w:val="21"/>
                      <w:lang w:val="en-US"/>
                    </w:rPr>
                    <w:t>(1616.29</w:t>
                  </w:r>
                  <w:r>
                    <w:rPr>
                      <w:rFonts w:cs="Times New Roman"/>
                      <w:sz w:val="21"/>
                      <w:szCs w:val="21"/>
                      <w:lang w:val="en-US"/>
                    </w:rPr>
                    <w:t>m</w:t>
                  </w:r>
                  <w:r>
                    <w:rPr>
                      <w:rFonts w:cs="Times New Roman"/>
                      <w:sz w:val="21"/>
                      <w:szCs w:val="21"/>
                      <w:vertAlign w:val="superscript"/>
                      <w:lang w:val="en-US"/>
                    </w:rPr>
                    <w:t>3</w:t>
                  </w:r>
                  <w:r>
                    <w:rPr>
                      <w:rFonts w:cs="Times New Roman"/>
                      <w:sz w:val="21"/>
                      <w:szCs w:val="21"/>
                      <w:lang w:val="en-US"/>
                    </w:rPr>
                    <w:t>/h</w:t>
                  </w:r>
                  <w:r>
                    <w:rPr>
                      <w:rFonts w:cs="Times New Roman"/>
                      <w:sz w:val="21"/>
                      <w:lang w:val="en-US"/>
                    </w:rPr>
                    <w:t>)</w:t>
                  </w:r>
                </w:p>
              </w:tc>
              <w:tc>
                <w:tcPr>
                  <w:tcW w:w="455" w:type="pct"/>
                  <w:vAlign w:val="center"/>
                </w:tcPr>
                <w:p w14:paraId="3C8F84A6">
                  <w:pPr>
                    <w:widowControl/>
                    <w:adjustRightInd w:val="0"/>
                    <w:snapToGrid w:val="0"/>
                    <w:spacing w:line="240" w:lineRule="auto"/>
                    <w:jc w:val="center"/>
                    <w:rPr>
                      <w:sz w:val="21"/>
                      <w:szCs w:val="21"/>
                    </w:rPr>
                  </w:pPr>
                  <w:r>
                    <w:rPr>
                      <w:sz w:val="21"/>
                      <w:szCs w:val="21"/>
                    </w:rPr>
                    <w:t>0.015</w:t>
                  </w:r>
                </w:p>
              </w:tc>
              <w:tc>
                <w:tcPr>
                  <w:tcW w:w="456" w:type="pct"/>
                  <w:vAlign w:val="center"/>
                </w:tcPr>
                <w:p w14:paraId="68E0AD2B">
                  <w:pPr>
                    <w:widowControl/>
                    <w:adjustRightInd w:val="0"/>
                    <w:snapToGrid w:val="0"/>
                    <w:spacing w:line="240" w:lineRule="auto"/>
                    <w:jc w:val="center"/>
                    <w:rPr>
                      <w:sz w:val="21"/>
                      <w:szCs w:val="21"/>
                    </w:rPr>
                  </w:pPr>
                  <w:r>
                    <w:rPr>
                      <w:sz w:val="21"/>
                      <w:szCs w:val="21"/>
                    </w:rPr>
                    <w:t>9.64</w:t>
                  </w:r>
                </w:p>
              </w:tc>
              <w:tc>
                <w:tcPr>
                  <w:tcW w:w="464" w:type="pct"/>
                  <w:vAlign w:val="center"/>
                </w:tcPr>
                <w:p w14:paraId="0E6034CC">
                  <w:pPr>
                    <w:widowControl/>
                    <w:adjustRightInd w:val="0"/>
                    <w:snapToGrid w:val="0"/>
                    <w:spacing w:line="240" w:lineRule="auto"/>
                    <w:jc w:val="center"/>
                    <w:rPr>
                      <w:sz w:val="21"/>
                      <w:szCs w:val="21"/>
                    </w:rPr>
                  </w:pPr>
                  <w:r>
                    <w:rPr>
                      <w:sz w:val="21"/>
                      <w:szCs w:val="21"/>
                    </w:rPr>
                    <w:t>0.046</w:t>
                  </w:r>
                </w:p>
              </w:tc>
              <w:tc>
                <w:tcPr>
                  <w:tcW w:w="403" w:type="pct"/>
                  <w:vAlign w:val="center"/>
                </w:tcPr>
                <w:p w14:paraId="1BD63859">
                  <w:pPr>
                    <w:widowControl/>
                    <w:adjustRightInd w:val="0"/>
                    <w:snapToGrid w:val="0"/>
                    <w:spacing w:line="240" w:lineRule="auto"/>
                    <w:jc w:val="center"/>
                    <w:rPr>
                      <w:sz w:val="21"/>
                      <w:szCs w:val="21"/>
                    </w:rPr>
                  </w:pPr>
                  <w:r>
                    <w:rPr>
                      <w:sz w:val="21"/>
                      <w:szCs w:val="21"/>
                    </w:rPr>
                    <w:t>0.0138</w:t>
                  </w:r>
                </w:p>
              </w:tc>
              <w:tc>
                <w:tcPr>
                  <w:tcW w:w="434" w:type="pct"/>
                  <w:vAlign w:val="center"/>
                </w:tcPr>
                <w:p w14:paraId="043C77B1">
                  <w:pPr>
                    <w:widowControl/>
                    <w:adjustRightInd w:val="0"/>
                    <w:snapToGrid w:val="0"/>
                    <w:spacing w:line="240" w:lineRule="auto"/>
                    <w:jc w:val="center"/>
                    <w:rPr>
                      <w:sz w:val="21"/>
                      <w:szCs w:val="21"/>
                    </w:rPr>
                  </w:pPr>
                  <w:r>
                    <w:rPr>
                      <w:sz w:val="21"/>
                      <w:szCs w:val="21"/>
                    </w:rPr>
                    <w:t>9.64</w:t>
                  </w:r>
                </w:p>
              </w:tc>
              <w:tc>
                <w:tcPr>
                  <w:tcW w:w="384" w:type="pct"/>
                  <w:vAlign w:val="center"/>
                </w:tcPr>
                <w:p w14:paraId="1EC86E1C">
                  <w:pPr>
                    <w:widowControl/>
                    <w:adjustRightInd w:val="0"/>
                    <w:snapToGrid w:val="0"/>
                    <w:spacing w:line="240" w:lineRule="auto"/>
                    <w:jc w:val="center"/>
                    <w:rPr>
                      <w:sz w:val="21"/>
                      <w:szCs w:val="21"/>
                    </w:rPr>
                  </w:pPr>
                  <w:r>
                    <w:rPr>
                      <w:sz w:val="21"/>
                      <w:szCs w:val="21"/>
                    </w:rPr>
                    <w:t>0.046</w:t>
                  </w:r>
                </w:p>
              </w:tc>
              <w:tc>
                <w:tcPr>
                  <w:tcW w:w="369" w:type="pct"/>
                  <w:vMerge w:val="restart"/>
                  <w:vAlign w:val="center"/>
                </w:tcPr>
                <w:p w14:paraId="0A34F37A">
                  <w:pPr>
                    <w:pStyle w:val="46"/>
                    <w:framePr w:hSpace="0" w:wrap="auto" w:vAnchor="margin" w:hAnchor="text" w:xAlign="left" w:yAlign="inline"/>
                    <w:rPr>
                      <w:rFonts w:cs="Times New Roman"/>
                      <w:sz w:val="21"/>
                      <w:lang w:val="en-US"/>
                    </w:rPr>
                  </w:pPr>
                  <w:r>
                    <w:rPr>
                      <w:rFonts w:cs="Times New Roman"/>
                      <w:sz w:val="21"/>
                      <w:lang w:val="en-US"/>
                    </w:rPr>
                    <w:t>15m排气筒排放</w:t>
                  </w:r>
                </w:p>
              </w:tc>
            </w:tr>
            <w:tr w14:paraId="02F4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534" w:type="pct"/>
                  <w:vMerge w:val="continue"/>
                  <w:vAlign w:val="center"/>
                </w:tcPr>
                <w:p w14:paraId="79D01970">
                  <w:pPr>
                    <w:pStyle w:val="46"/>
                    <w:framePr w:hSpace="0" w:wrap="auto" w:vAnchor="margin" w:hAnchor="text" w:xAlign="left" w:yAlign="inline"/>
                    <w:rPr>
                      <w:rFonts w:cs="Times New Roman"/>
                      <w:sz w:val="21"/>
                      <w:lang w:val="en-US"/>
                    </w:rPr>
                  </w:pPr>
                </w:p>
              </w:tc>
              <w:tc>
                <w:tcPr>
                  <w:tcW w:w="534" w:type="pct"/>
                  <w:vAlign w:val="center"/>
                </w:tcPr>
                <w:p w14:paraId="3F6CD653">
                  <w:pPr>
                    <w:pStyle w:val="46"/>
                    <w:framePr w:hSpace="0" w:wrap="auto" w:vAnchor="margin" w:hAnchor="text" w:xAlign="left" w:yAlign="inline"/>
                    <w:rPr>
                      <w:rFonts w:cs="Times New Roman"/>
                      <w:sz w:val="21"/>
                      <w:lang w:val="en-US"/>
                    </w:rPr>
                  </w:pPr>
                  <w:r>
                    <w:rPr>
                      <w:rFonts w:cs="Times New Roman"/>
                      <w:sz w:val="21"/>
                      <w:lang w:val="en-US"/>
                    </w:rPr>
                    <w:t>SO</w:t>
                  </w:r>
                  <w:r>
                    <w:rPr>
                      <w:rFonts w:cs="Times New Roman"/>
                      <w:sz w:val="21"/>
                      <w:vertAlign w:val="subscript"/>
                      <w:lang w:val="en-US"/>
                    </w:rPr>
                    <w:t>2</w:t>
                  </w:r>
                </w:p>
              </w:tc>
              <w:tc>
                <w:tcPr>
                  <w:tcW w:w="960" w:type="pct"/>
                  <w:vMerge w:val="continue"/>
                  <w:vAlign w:val="center"/>
                </w:tcPr>
                <w:p w14:paraId="4D66F2B6">
                  <w:pPr>
                    <w:pStyle w:val="46"/>
                    <w:framePr w:hSpace="0" w:wrap="auto" w:vAnchor="margin" w:hAnchor="text" w:xAlign="left" w:yAlign="inline"/>
                    <w:rPr>
                      <w:rFonts w:cs="Times New Roman"/>
                      <w:sz w:val="21"/>
                      <w:lang w:val="en-US"/>
                    </w:rPr>
                  </w:pPr>
                </w:p>
              </w:tc>
              <w:tc>
                <w:tcPr>
                  <w:tcW w:w="455" w:type="pct"/>
                  <w:vAlign w:val="center"/>
                </w:tcPr>
                <w:p w14:paraId="017A11AE">
                  <w:pPr>
                    <w:widowControl/>
                    <w:adjustRightInd w:val="0"/>
                    <w:snapToGrid w:val="0"/>
                    <w:spacing w:line="240" w:lineRule="auto"/>
                    <w:jc w:val="center"/>
                    <w:rPr>
                      <w:sz w:val="21"/>
                      <w:szCs w:val="21"/>
                    </w:rPr>
                  </w:pPr>
                  <w:r>
                    <w:rPr>
                      <w:sz w:val="21"/>
                      <w:szCs w:val="21"/>
                    </w:rPr>
                    <w:t>0.03</w:t>
                  </w:r>
                </w:p>
              </w:tc>
              <w:tc>
                <w:tcPr>
                  <w:tcW w:w="456" w:type="pct"/>
                  <w:vAlign w:val="center"/>
                </w:tcPr>
                <w:p w14:paraId="4304E05B">
                  <w:pPr>
                    <w:widowControl/>
                    <w:adjustRightInd w:val="0"/>
                    <w:snapToGrid w:val="0"/>
                    <w:spacing w:line="240" w:lineRule="auto"/>
                    <w:jc w:val="center"/>
                    <w:rPr>
                      <w:sz w:val="21"/>
                      <w:szCs w:val="21"/>
                    </w:rPr>
                  </w:pPr>
                  <w:r>
                    <w:rPr>
                      <w:sz w:val="21"/>
                      <w:szCs w:val="21"/>
                    </w:rPr>
                    <w:t>18.56</w:t>
                  </w:r>
                </w:p>
              </w:tc>
              <w:tc>
                <w:tcPr>
                  <w:tcW w:w="464" w:type="pct"/>
                  <w:vAlign w:val="center"/>
                </w:tcPr>
                <w:p w14:paraId="2D1FD9FA">
                  <w:pPr>
                    <w:widowControl/>
                    <w:adjustRightInd w:val="0"/>
                    <w:snapToGrid w:val="0"/>
                    <w:spacing w:line="240" w:lineRule="auto"/>
                    <w:jc w:val="center"/>
                    <w:rPr>
                      <w:sz w:val="21"/>
                      <w:szCs w:val="21"/>
                    </w:rPr>
                  </w:pPr>
                  <w:r>
                    <w:rPr>
                      <w:sz w:val="21"/>
                      <w:szCs w:val="21"/>
                    </w:rPr>
                    <w:t>0.09</w:t>
                  </w:r>
                </w:p>
              </w:tc>
              <w:tc>
                <w:tcPr>
                  <w:tcW w:w="403" w:type="pct"/>
                  <w:vAlign w:val="center"/>
                </w:tcPr>
                <w:p w14:paraId="39FA25BC">
                  <w:pPr>
                    <w:widowControl/>
                    <w:adjustRightInd w:val="0"/>
                    <w:snapToGrid w:val="0"/>
                    <w:spacing w:line="240" w:lineRule="auto"/>
                    <w:jc w:val="center"/>
                    <w:rPr>
                      <w:sz w:val="21"/>
                      <w:szCs w:val="21"/>
                    </w:rPr>
                  </w:pPr>
                  <w:r>
                    <w:rPr>
                      <w:sz w:val="21"/>
                      <w:szCs w:val="21"/>
                    </w:rPr>
                    <w:t>0.026</w:t>
                  </w:r>
                </w:p>
              </w:tc>
              <w:tc>
                <w:tcPr>
                  <w:tcW w:w="434" w:type="pct"/>
                  <w:vAlign w:val="center"/>
                </w:tcPr>
                <w:p w14:paraId="4C8675F0">
                  <w:pPr>
                    <w:widowControl/>
                    <w:adjustRightInd w:val="0"/>
                    <w:snapToGrid w:val="0"/>
                    <w:spacing w:line="240" w:lineRule="auto"/>
                    <w:jc w:val="center"/>
                    <w:rPr>
                      <w:sz w:val="21"/>
                      <w:szCs w:val="21"/>
                    </w:rPr>
                  </w:pPr>
                  <w:r>
                    <w:rPr>
                      <w:sz w:val="21"/>
                      <w:szCs w:val="21"/>
                    </w:rPr>
                    <w:t>18.56</w:t>
                  </w:r>
                </w:p>
              </w:tc>
              <w:tc>
                <w:tcPr>
                  <w:tcW w:w="384" w:type="pct"/>
                  <w:vAlign w:val="center"/>
                </w:tcPr>
                <w:p w14:paraId="5D674D74">
                  <w:pPr>
                    <w:widowControl/>
                    <w:adjustRightInd w:val="0"/>
                    <w:snapToGrid w:val="0"/>
                    <w:spacing w:line="240" w:lineRule="auto"/>
                    <w:jc w:val="center"/>
                    <w:rPr>
                      <w:sz w:val="21"/>
                      <w:szCs w:val="21"/>
                    </w:rPr>
                  </w:pPr>
                  <w:r>
                    <w:rPr>
                      <w:sz w:val="21"/>
                      <w:szCs w:val="21"/>
                    </w:rPr>
                    <w:t>0.09</w:t>
                  </w:r>
                </w:p>
              </w:tc>
              <w:tc>
                <w:tcPr>
                  <w:tcW w:w="369" w:type="pct"/>
                  <w:vMerge w:val="continue"/>
                  <w:vAlign w:val="center"/>
                </w:tcPr>
                <w:p w14:paraId="5F13501A">
                  <w:pPr>
                    <w:pStyle w:val="46"/>
                    <w:framePr w:hSpace="0" w:wrap="auto" w:vAnchor="margin" w:hAnchor="text" w:xAlign="left" w:yAlign="inline"/>
                    <w:rPr>
                      <w:rFonts w:cs="Times New Roman"/>
                      <w:sz w:val="21"/>
                      <w:lang w:val="en-US"/>
                    </w:rPr>
                  </w:pPr>
                </w:p>
              </w:tc>
            </w:tr>
            <w:tr w14:paraId="2115B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534" w:type="pct"/>
                  <w:vMerge w:val="continue"/>
                  <w:vAlign w:val="center"/>
                </w:tcPr>
                <w:p w14:paraId="07DD315F">
                  <w:pPr>
                    <w:pStyle w:val="46"/>
                    <w:framePr w:hSpace="0" w:wrap="auto" w:vAnchor="margin" w:hAnchor="text" w:xAlign="left" w:yAlign="inline"/>
                    <w:rPr>
                      <w:rFonts w:cs="Times New Roman"/>
                      <w:sz w:val="21"/>
                      <w:lang w:val="en-US"/>
                    </w:rPr>
                  </w:pPr>
                </w:p>
              </w:tc>
              <w:tc>
                <w:tcPr>
                  <w:tcW w:w="534" w:type="pct"/>
                  <w:vAlign w:val="center"/>
                </w:tcPr>
                <w:p w14:paraId="4BBBC5E8">
                  <w:pPr>
                    <w:pStyle w:val="46"/>
                    <w:framePr w:hSpace="0" w:wrap="auto" w:vAnchor="margin" w:hAnchor="text" w:xAlign="left" w:yAlign="inline"/>
                    <w:rPr>
                      <w:rFonts w:cs="Times New Roman"/>
                      <w:sz w:val="21"/>
                      <w:lang w:val="en-US"/>
                    </w:rPr>
                  </w:pPr>
                  <w:r>
                    <w:rPr>
                      <w:rFonts w:cs="Times New Roman"/>
                      <w:sz w:val="21"/>
                      <w:lang w:val="en-US"/>
                    </w:rPr>
                    <w:t>NOx</w:t>
                  </w:r>
                </w:p>
              </w:tc>
              <w:tc>
                <w:tcPr>
                  <w:tcW w:w="960" w:type="pct"/>
                  <w:vMerge w:val="continue"/>
                  <w:vAlign w:val="center"/>
                </w:tcPr>
                <w:p w14:paraId="7DA42F2F">
                  <w:pPr>
                    <w:pStyle w:val="46"/>
                    <w:framePr w:hSpace="0" w:wrap="auto" w:vAnchor="margin" w:hAnchor="text" w:xAlign="left" w:yAlign="inline"/>
                    <w:rPr>
                      <w:rFonts w:cs="Times New Roman"/>
                      <w:sz w:val="21"/>
                      <w:lang w:val="en-US"/>
                    </w:rPr>
                  </w:pPr>
                </w:p>
              </w:tc>
              <w:tc>
                <w:tcPr>
                  <w:tcW w:w="455" w:type="pct"/>
                  <w:vAlign w:val="center"/>
                </w:tcPr>
                <w:p w14:paraId="1EB30DCB">
                  <w:pPr>
                    <w:widowControl/>
                    <w:adjustRightInd w:val="0"/>
                    <w:snapToGrid w:val="0"/>
                    <w:spacing w:line="240" w:lineRule="auto"/>
                    <w:jc w:val="center"/>
                    <w:rPr>
                      <w:sz w:val="21"/>
                      <w:szCs w:val="21"/>
                    </w:rPr>
                  </w:pPr>
                  <w:r>
                    <w:rPr>
                      <w:sz w:val="21"/>
                      <w:szCs w:val="21"/>
                    </w:rPr>
                    <w:t>0.045</w:t>
                  </w:r>
                </w:p>
              </w:tc>
              <w:tc>
                <w:tcPr>
                  <w:tcW w:w="456" w:type="pct"/>
                  <w:vAlign w:val="center"/>
                </w:tcPr>
                <w:p w14:paraId="5624F7FE">
                  <w:pPr>
                    <w:widowControl/>
                    <w:adjustRightInd w:val="0"/>
                    <w:snapToGrid w:val="0"/>
                    <w:spacing w:line="240" w:lineRule="auto"/>
                    <w:jc w:val="center"/>
                    <w:rPr>
                      <w:sz w:val="21"/>
                      <w:szCs w:val="21"/>
                    </w:rPr>
                  </w:pPr>
                  <w:r>
                    <w:rPr>
                      <w:sz w:val="21"/>
                      <w:szCs w:val="21"/>
                    </w:rPr>
                    <w:t>27.84</w:t>
                  </w:r>
                </w:p>
              </w:tc>
              <w:tc>
                <w:tcPr>
                  <w:tcW w:w="464" w:type="pct"/>
                  <w:vAlign w:val="center"/>
                </w:tcPr>
                <w:p w14:paraId="634A9D8B">
                  <w:pPr>
                    <w:widowControl/>
                    <w:adjustRightInd w:val="0"/>
                    <w:snapToGrid w:val="0"/>
                    <w:spacing w:line="240" w:lineRule="auto"/>
                    <w:jc w:val="center"/>
                    <w:rPr>
                      <w:sz w:val="21"/>
                      <w:szCs w:val="21"/>
                    </w:rPr>
                  </w:pPr>
                  <w:r>
                    <w:rPr>
                      <w:sz w:val="21"/>
                      <w:szCs w:val="21"/>
                    </w:rPr>
                    <w:t>0.135</w:t>
                  </w:r>
                </w:p>
              </w:tc>
              <w:tc>
                <w:tcPr>
                  <w:tcW w:w="403" w:type="pct"/>
                  <w:vAlign w:val="center"/>
                </w:tcPr>
                <w:p w14:paraId="408AC845">
                  <w:pPr>
                    <w:widowControl/>
                    <w:adjustRightInd w:val="0"/>
                    <w:snapToGrid w:val="0"/>
                    <w:spacing w:line="240" w:lineRule="auto"/>
                    <w:jc w:val="center"/>
                    <w:rPr>
                      <w:sz w:val="21"/>
                      <w:szCs w:val="21"/>
                    </w:rPr>
                  </w:pPr>
                  <w:r>
                    <w:rPr>
                      <w:sz w:val="21"/>
                      <w:szCs w:val="21"/>
                    </w:rPr>
                    <w:t>0.04</w:t>
                  </w:r>
                </w:p>
              </w:tc>
              <w:tc>
                <w:tcPr>
                  <w:tcW w:w="434" w:type="pct"/>
                  <w:vAlign w:val="center"/>
                </w:tcPr>
                <w:p w14:paraId="2731D2B0">
                  <w:pPr>
                    <w:widowControl/>
                    <w:adjustRightInd w:val="0"/>
                    <w:snapToGrid w:val="0"/>
                    <w:spacing w:line="240" w:lineRule="auto"/>
                    <w:jc w:val="center"/>
                    <w:rPr>
                      <w:sz w:val="21"/>
                      <w:szCs w:val="21"/>
                    </w:rPr>
                  </w:pPr>
                  <w:r>
                    <w:rPr>
                      <w:sz w:val="21"/>
                      <w:szCs w:val="21"/>
                    </w:rPr>
                    <w:t>27.84</w:t>
                  </w:r>
                </w:p>
              </w:tc>
              <w:tc>
                <w:tcPr>
                  <w:tcW w:w="384" w:type="pct"/>
                  <w:vAlign w:val="center"/>
                </w:tcPr>
                <w:p w14:paraId="3D6C78B0">
                  <w:pPr>
                    <w:widowControl/>
                    <w:adjustRightInd w:val="0"/>
                    <w:snapToGrid w:val="0"/>
                    <w:spacing w:line="240" w:lineRule="auto"/>
                    <w:jc w:val="center"/>
                    <w:rPr>
                      <w:sz w:val="21"/>
                      <w:szCs w:val="21"/>
                    </w:rPr>
                  </w:pPr>
                  <w:r>
                    <w:rPr>
                      <w:sz w:val="21"/>
                      <w:szCs w:val="21"/>
                    </w:rPr>
                    <w:t>0.135</w:t>
                  </w:r>
                </w:p>
              </w:tc>
              <w:tc>
                <w:tcPr>
                  <w:tcW w:w="369" w:type="pct"/>
                  <w:vMerge w:val="continue"/>
                  <w:vAlign w:val="center"/>
                </w:tcPr>
                <w:p w14:paraId="055ECE1C">
                  <w:pPr>
                    <w:pStyle w:val="46"/>
                    <w:framePr w:hSpace="0" w:wrap="auto" w:vAnchor="margin" w:hAnchor="text" w:xAlign="left" w:yAlign="inline"/>
                    <w:rPr>
                      <w:rFonts w:cs="Times New Roman"/>
                      <w:sz w:val="21"/>
                      <w:lang w:val="en-US"/>
                    </w:rPr>
                  </w:pPr>
                </w:p>
              </w:tc>
            </w:tr>
          </w:tbl>
          <w:p w14:paraId="5925E87A">
            <w:pPr>
              <w:widowControl/>
              <w:wordWrap w:val="0"/>
              <w:spacing w:line="460" w:lineRule="exact"/>
              <w:ind w:left="480" w:leftChars="200"/>
              <w:rPr>
                <w:rFonts w:hint="default" w:ascii="Times New Roman" w:hAnsi="Times New Roman" w:cs="Times New Roman"/>
                <w:lang w:bidi="en-US"/>
              </w:rPr>
            </w:pPr>
            <w:r>
              <w:rPr>
                <w:rFonts w:hint="default" w:ascii="Times New Roman" w:hAnsi="Times New Roman" w:cs="Times New Roman"/>
                <w:lang w:bidi="en-US"/>
              </w:rPr>
              <w:t>4、食堂油烟</w:t>
            </w:r>
          </w:p>
          <w:p w14:paraId="1E54728E">
            <w:pPr>
              <w:pStyle w:val="45"/>
              <w:ind w:firstLine="480"/>
              <w:rPr>
                <w:rFonts w:hint="default" w:ascii="Times New Roman" w:hAnsi="Times New Roman" w:cs="Times New Roman"/>
                <w:szCs w:val="22"/>
              </w:rPr>
            </w:pPr>
            <w:r>
              <w:rPr>
                <w:rFonts w:hint="default" w:ascii="Times New Roman" w:hAnsi="Times New Roman" w:cs="Times New Roman"/>
                <w:szCs w:val="22"/>
              </w:rPr>
              <w:t>本次项目建成后全厂食堂就餐人数约40人，食堂用油量按30g/人•d计，油烟产生量按使用量的3%计，则油烟年产生量为0.012t/a。根据工程分析，食堂设置1个灶头。食堂油烟通过集气+油烟净化器处理后引至屋顶排放，油烟净化效率80%，风量为3000m</w:t>
            </w:r>
            <w:r>
              <w:rPr>
                <w:rFonts w:hint="default" w:ascii="Times New Roman" w:hAnsi="Times New Roman" w:cs="Times New Roman"/>
                <w:szCs w:val="22"/>
                <w:vertAlign w:val="superscript"/>
              </w:rPr>
              <w:t>3</w:t>
            </w:r>
            <w:r>
              <w:rPr>
                <w:rFonts w:hint="default" w:ascii="Times New Roman" w:hAnsi="Times New Roman" w:cs="Times New Roman"/>
                <w:szCs w:val="22"/>
              </w:rPr>
              <w:t>/h，年工作</w:t>
            </w:r>
            <w:r>
              <w:rPr>
                <w:rFonts w:hint="default" w:ascii="Times New Roman" w:hAnsi="Times New Roman" w:cs="Times New Roman"/>
                <w:szCs w:val="22"/>
                <w:lang w:val="en-US" w:eastAsia="zh-CN"/>
              </w:rPr>
              <w:t>990</w:t>
            </w:r>
            <w:r>
              <w:rPr>
                <w:rFonts w:hint="default" w:ascii="Times New Roman" w:hAnsi="Times New Roman" w:cs="Times New Roman"/>
                <w:szCs w:val="22"/>
              </w:rPr>
              <w:t>h。食堂油烟排放量为0.0024t/a，排放速率为0.002kg/h，排放浓度为0.8mg/m</w:t>
            </w:r>
            <w:r>
              <w:rPr>
                <w:rFonts w:hint="default" w:ascii="Times New Roman" w:hAnsi="Times New Roman" w:cs="Times New Roman"/>
                <w:szCs w:val="22"/>
                <w:vertAlign w:val="superscript"/>
              </w:rPr>
              <w:t>3</w:t>
            </w:r>
            <w:r>
              <w:rPr>
                <w:rFonts w:hint="default" w:ascii="Times New Roman" w:hAnsi="Times New Roman" w:cs="Times New Roman"/>
                <w:szCs w:val="22"/>
              </w:rPr>
              <w:t>。食堂油烟排放满足《饮食业油烟排放标准（试行）》（GB18483-2001）标准要求中小型饮食业单位的相关要求（油烟最高允许排放浓度2.0mg/m</w:t>
            </w:r>
            <w:r>
              <w:rPr>
                <w:rFonts w:hint="default" w:ascii="Times New Roman" w:hAnsi="Times New Roman" w:cs="Times New Roman"/>
                <w:szCs w:val="22"/>
                <w:vertAlign w:val="superscript"/>
              </w:rPr>
              <w:t>3</w:t>
            </w:r>
            <w:r>
              <w:rPr>
                <w:rFonts w:hint="default" w:ascii="Times New Roman" w:hAnsi="Times New Roman" w:cs="Times New Roman"/>
                <w:szCs w:val="22"/>
              </w:rPr>
              <w:t>，净化设施最低去除效率75%）。</w:t>
            </w:r>
          </w:p>
          <w:p w14:paraId="28BB6A15">
            <w:pPr>
              <w:pStyle w:val="55"/>
              <w:keepNext w:val="0"/>
              <w:keepLines w:val="0"/>
              <w:pageBreakBefore w:val="0"/>
              <w:kinsoku/>
              <w:wordWrap/>
              <w:overflowPunct/>
              <w:topLinePunct w:val="0"/>
              <w:autoSpaceDE/>
              <w:autoSpaceDN/>
              <w:bidi w:val="0"/>
              <w:adjustRightInd w:val="0"/>
              <w:snapToGrid w:val="0"/>
              <w:spacing w:line="460" w:lineRule="exact"/>
              <w:ind w:firstLine="0" w:firstLineChars="0"/>
              <w:textAlignment w:val="auto"/>
              <w:rPr>
                <w:rFonts w:hint="default" w:ascii="Times New Roman" w:hAnsi="Times New Roman" w:cs="Times New Roman"/>
                <w:kern w:val="0"/>
                <w:szCs w:val="20"/>
              </w:rPr>
            </w:pPr>
            <w:r>
              <w:rPr>
                <w:rFonts w:hint="default" w:ascii="Times New Roman" w:hAnsi="Times New Roman" w:cs="Times New Roman"/>
                <w:kern w:val="0"/>
                <w:szCs w:val="20"/>
              </w:rPr>
              <w:t>4.2.2废气产排情况</w:t>
            </w:r>
          </w:p>
          <w:p w14:paraId="38E17FD2">
            <w:pPr>
              <w:pStyle w:val="48"/>
              <w:keepNext w:val="0"/>
              <w:keepLines w:val="0"/>
              <w:pageBreakBefore w:val="0"/>
              <w:kinsoku/>
              <w:wordWrap/>
              <w:overflowPunct/>
              <w:topLinePunct w:val="0"/>
              <w:autoSpaceDE/>
              <w:autoSpaceDN/>
              <w:bidi w:val="0"/>
              <w:adjustRightInd w:val="0"/>
              <w:snapToGrid w:val="0"/>
              <w:spacing w:line="460" w:lineRule="exact"/>
              <w:ind w:firstLine="482"/>
              <w:textAlignment w:val="auto"/>
              <w:rPr>
                <w:rFonts w:hint="default" w:ascii="Times New Roman" w:hAnsi="Times New Roman" w:cs="Times New Roman"/>
                <w:b/>
              </w:rPr>
            </w:pPr>
            <w:r>
              <w:rPr>
                <w:rFonts w:hint="default" w:ascii="Times New Roman" w:hAnsi="Times New Roman" w:cs="Times New Roman"/>
                <w:b/>
              </w:rPr>
              <w:t>1、废气产、排放情况</w:t>
            </w:r>
          </w:p>
          <w:p w14:paraId="3DF16D1C">
            <w:pPr>
              <w:pStyle w:val="48"/>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（1）废气产生情况</w:t>
            </w:r>
          </w:p>
          <w:p w14:paraId="71F3B27F">
            <w:pPr>
              <w:pStyle w:val="48"/>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本项目废气产生主要来自制胶、印刷产生的工艺废气，具体见下表所示。</w:t>
            </w:r>
          </w:p>
          <w:p w14:paraId="2D139E7C">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表4-4  本项目废气产生情况一览表</w:t>
            </w:r>
          </w:p>
          <w:tbl>
            <w:tblPr>
              <w:tblStyle w:val="21"/>
              <w:tblW w:w="4998"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97"/>
              <w:gridCol w:w="1216"/>
              <w:gridCol w:w="1996"/>
              <w:gridCol w:w="1467"/>
              <w:gridCol w:w="1588"/>
            </w:tblGrid>
            <w:tr w14:paraId="7918601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tcBorders>
                    <w:top w:val="single" w:color="auto" w:sz="6" w:space="0"/>
                    <w:left w:val="single" w:color="auto" w:sz="0" w:space="0"/>
                    <w:bottom w:val="single" w:color="auto" w:sz="6" w:space="0"/>
                    <w:right w:val="single" w:color="auto" w:sz="6" w:space="0"/>
                  </w:tcBorders>
                  <w:vAlign w:val="center"/>
                </w:tcPr>
                <w:p w14:paraId="64B3C7B2">
                  <w:pPr>
                    <w:pStyle w:val="29"/>
                    <w:rPr>
                      <w:b/>
                      <w:bCs/>
                      <w:sz w:val="21"/>
                      <w:szCs w:val="21"/>
                    </w:rPr>
                  </w:pPr>
                  <w:r>
                    <w:rPr>
                      <w:b/>
                      <w:bCs/>
                      <w:sz w:val="21"/>
                      <w:szCs w:val="21"/>
                    </w:rPr>
                    <w:t>序号</w:t>
                  </w:r>
                </w:p>
              </w:tc>
              <w:tc>
                <w:tcPr>
                  <w:tcW w:w="2095" w:type="pct"/>
                  <w:gridSpan w:val="2"/>
                  <w:tcBorders>
                    <w:top w:val="single" w:color="auto" w:sz="6" w:space="0"/>
                    <w:left w:val="single" w:color="auto" w:sz="6" w:space="0"/>
                    <w:bottom w:val="single" w:color="auto" w:sz="6" w:space="0"/>
                    <w:right w:val="single" w:color="auto" w:sz="6" w:space="0"/>
                  </w:tcBorders>
                  <w:vAlign w:val="center"/>
                </w:tcPr>
                <w:p w14:paraId="6000F0E5">
                  <w:pPr>
                    <w:pStyle w:val="29"/>
                    <w:rPr>
                      <w:b/>
                      <w:bCs/>
                      <w:sz w:val="21"/>
                      <w:szCs w:val="21"/>
                    </w:rPr>
                  </w:pPr>
                  <w:r>
                    <w:rPr>
                      <w:b/>
                      <w:bCs/>
                      <w:sz w:val="21"/>
                      <w:szCs w:val="21"/>
                    </w:rPr>
                    <w:t>产生环节</w:t>
                  </w:r>
                </w:p>
              </w:tc>
              <w:tc>
                <w:tcPr>
                  <w:tcW w:w="957" w:type="pct"/>
                  <w:tcBorders>
                    <w:top w:val="single" w:color="auto" w:sz="6" w:space="0"/>
                    <w:left w:val="single" w:color="auto" w:sz="6" w:space="0"/>
                    <w:bottom w:val="single" w:color="auto" w:sz="6" w:space="0"/>
                    <w:right w:val="single" w:color="auto" w:sz="6" w:space="0"/>
                  </w:tcBorders>
                  <w:vAlign w:val="center"/>
                </w:tcPr>
                <w:p w14:paraId="1F267D5A">
                  <w:pPr>
                    <w:pStyle w:val="29"/>
                    <w:rPr>
                      <w:b/>
                      <w:bCs/>
                      <w:sz w:val="21"/>
                      <w:szCs w:val="21"/>
                    </w:rPr>
                  </w:pPr>
                  <w:r>
                    <w:rPr>
                      <w:b/>
                      <w:bCs/>
                      <w:sz w:val="21"/>
                      <w:szCs w:val="21"/>
                    </w:rPr>
                    <w:t>污染物种类</w:t>
                  </w:r>
                </w:p>
              </w:tc>
              <w:tc>
                <w:tcPr>
                  <w:tcW w:w="1035" w:type="pct"/>
                  <w:tcBorders>
                    <w:top w:val="single" w:color="auto" w:sz="6" w:space="0"/>
                    <w:left w:val="single" w:color="auto" w:sz="6" w:space="0"/>
                    <w:bottom w:val="single" w:color="auto" w:sz="6" w:space="0"/>
                    <w:right w:val="single" w:color="auto" w:sz="6" w:space="0"/>
                  </w:tcBorders>
                  <w:vAlign w:val="center"/>
                </w:tcPr>
                <w:p w14:paraId="22A39859">
                  <w:pPr>
                    <w:pStyle w:val="29"/>
                    <w:rPr>
                      <w:b/>
                      <w:bCs/>
                      <w:sz w:val="21"/>
                      <w:szCs w:val="21"/>
                    </w:rPr>
                  </w:pPr>
                  <w:r>
                    <w:rPr>
                      <w:b/>
                      <w:bCs/>
                      <w:sz w:val="21"/>
                      <w:szCs w:val="21"/>
                    </w:rPr>
                    <w:t>产生量t/a</w:t>
                  </w:r>
                </w:p>
              </w:tc>
            </w:tr>
            <w:tr w14:paraId="7FC26660">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tcBorders>
                    <w:top w:val="single" w:color="auto" w:sz="6" w:space="0"/>
                    <w:left w:val="single" w:color="auto" w:sz="4" w:space="0"/>
                    <w:bottom w:val="single" w:color="auto" w:sz="6" w:space="0"/>
                    <w:right w:val="single" w:color="auto" w:sz="6" w:space="0"/>
                  </w:tcBorders>
                  <w:vAlign w:val="center"/>
                </w:tcPr>
                <w:p w14:paraId="372ABFA0">
                  <w:pPr>
                    <w:pStyle w:val="29"/>
                    <w:rPr>
                      <w:sz w:val="21"/>
                      <w:szCs w:val="21"/>
                    </w:rPr>
                  </w:pPr>
                  <w:r>
                    <w:rPr>
                      <w:sz w:val="21"/>
                      <w:szCs w:val="21"/>
                    </w:rPr>
                    <w:t>1</w:t>
                  </w:r>
                </w:p>
              </w:tc>
              <w:tc>
                <w:tcPr>
                  <w:tcW w:w="793" w:type="pct"/>
                  <w:tcBorders>
                    <w:top w:val="single" w:color="auto" w:sz="6" w:space="0"/>
                    <w:left w:val="single" w:color="auto" w:sz="6" w:space="0"/>
                    <w:right w:val="single" w:color="auto" w:sz="6" w:space="0"/>
                  </w:tcBorders>
                  <w:vAlign w:val="center"/>
                </w:tcPr>
                <w:p w14:paraId="7E062760">
                  <w:pPr>
                    <w:pStyle w:val="29"/>
                    <w:rPr>
                      <w:sz w:val="21"/>
                      <w:szCs w:val="21"/>
                    </w:rPr>
                  </w:pPr>
                  <w:r>
                    <w:rPr>
                      <w:sz w:val="21"/>
                      <w:szCs w:val="21"/>
                    </w:rPr>
                    <w:t>制胶</w:t>
                  </w:r>
                </w:p>
              </w:tc>
              <w:tc>
                <w:tcPr>
                  <w:tcW w:w="1302" w:type="pct"/>
                  <w:tcBorders>
                    <w:top w:val="single" w:color="auto" w:sz="6" w:space="0"/>
                    <w:left w:val="single" w:color="auto" w:sz="6" w:space="0"/>
                    <w:bottom w:val="single" w:color="auto" w:sz="6" w:space="0"/>
                    <w:right w:val="single" w:color="auto" w:sz="6" w:space="0"/>
                  </w:tcBorders>
                  <w:vAlign w:val="center"/>
                </w:tcPr>
                <w:p w14:paraId="4D218E4D">
                  <w:pPr>
                    <w:pStyle w:val="29"/>
                    <w:rPr>
                      <w:sz w:val="21"/>
                      <w:szCs w:val="21"/>
                    </w:rPr>
                  </w:pPr>
                  <w:r>
                    <w:rPr>
                      <w:sz w:val="21"/>
                      <w:szCs w:val="21"/>
                    </w:rPr>
                    <w:t>投料粉尘</w:t>
                  </w:r>
                </w:p>
              </w:tc>
              <w:tc>
                <w:tcPr>
                  <w:tcW w:w="957" w:type="pct"/>
                  <w:tcBorders>
                    <w:top w:val="single" w:color="auto" w:sz="6" w:space="0"/>
                    <w:left w:val="single" w:color="auto" w:sz="6" w:space="0"/>
                    <w:bottom w:val="single" w:color="auto" w:sz="6" w:space="0"/>
                    <w:right w:val="single" w:color="auto" w:sz="6" w:space="0"/>
                  </w:tcBorders>
                  <w:vAlign w:val="center"/>
                </w:tcPr>
                <w:p w14:paraId="1B5D06B4">
                  <w:pPr>
                    <w:pStyle w:val="29"/>
                    <w:rPr>
                      <w:sz w:val="21"/>
                      <w:szCs w:val="21"/>
                    </w:rPr>
                  </w:pPr>
                  <w:r>
                    <w:rPr>
                      <w:sz w:val="21"/>
                      <w:szCs w:val="21"/>
                    </w:rPr>
                    <w:t>粉尘</w:t>
                  </w:r>
                </w:p>
              </w:tc>
              <w:tc>
                <w:tcPr>
                  <w:tcW w:w="1035" w:type="pct"/>
                  <w:tcBorders>
                    <w:top w:val="single" w:color="auto" w:sz="6" w:space="0"/>
                    <w:left w:val="single" w:color="auto" w:sz="6" w:space="0"/>
                    <w:bottom w:val="single" w:color="auto" w:sz="6" w:space="0"/>
                    <w:right w:val="single" w:color="auto" w:sz="6" w:space="0"/>
                  </w:tcBorders>
                  <w:vAlign w:val="center"/>
                </w:tcPr>
                <w:p w14:paraId="5AD6DBFD">
                  <w:pPr>
                    <w:pStyle w:val="29"/>
                    <w:rPr>
                      <w:sz w:val="21"/>
                      <w:szCs w:val="21"/>
                    </w:rPr>
                  </w:pPr>
                  <w:r>
                    <w:rPr>
                      <w:sz w:val="21"/>
                      <w:szCs w:val="21"/>
                    </w:rPr>
                    <w:t>0.034</w:t>
                  </w:r>
                </w:p>
              </w:tc>
            </w:tr>
            <w:tr w14:paraId="5A92993E">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tcBorders>
                    <w:top w:val="single" w:color="auto" w:sz="6" w:space="0"/>
                    <w:left w:val="single" w:color="auto" w:sz="4" w:space="0"/>
                    <w:bottom w:val="single" w:color="auto" w:sz="6" w:space="0"/>
                    <w:right w:val="single" w:color="auto" w:sz="6" w:space="0"/>
                  </w:tcBorders>
                  <w:vAlign w:val="center"/>
                </w:tcPr>
                <w:p w14:paraId="5FDE7F89">
                  <w:pPr>
                    <w:pStyle w:val="29"/>
                    <w:rPr>
                      <w:sz w:val="21"/>
                      <w:szCs w:val="21"/>
                    </w:rPr>
                  </w:pPr>
                  <w:r>
                    <w:rPr>
                      <w:sz w:val="21"/>
                      <w:szCs w:val="21"/>
                    </w:rPr>
                    <w:t>2</w:t>
                  </w:r>
                </w:p>
              </w:tc>
              <w:tc>
                <w:tcPr>
                  <w:tcW w:w="793" w:type="pct"/>
                  <w:tcBorders>
                    <w:left w:val="single" w:color="auto" w:sz="6" w:space="0"/>
                    <w:right w:val="single" w:color="auto" w:sz="6" w:space="0"/>
                  </w:tcBorders>
                  <w:vAlign w:val="center"/>
                </w:tcPr>
                <w:p w14:paraId="75CFA4FA">
                  <w:pPr>
                    <w:pStyle w:val="29"/>
                    <w:rPr>
                      <w:sz w:val="21"/>
                      <w:szCs w:val="21"/>
                    </w:rPr>
                  </w:pPr>
                  <w:r>
                    <w:rPr>
                      <w:sz w:val="21"/>
                      <w:szCs w:val="21"/>
                    </w:rPr>
                    <w:t>印刷</w:t>
                  </w:r>
                </w:p>
              </w:tc>
              <w:tc>
                <w:tcPr>
                  <w:tcW w:w="1302" w:type="pct"/>
                  <w:tcBorders>
                    <w:top w:val="single" w:color="auto" w:sz="6" w:space="0"/>
                    <w:left w:val="single" w:color="auto" w:sz="6" w:space="0"/>
                    <w:bottom w:val="single" w:color="auto" w:sz="6" w:space="0"/>
                    <w:right w:val="single" w:color="auto" w:sz="6" w:space="0"/>
                  </w:tcBorders>
                  <w:vAlign w:val="center"/>
                </w:tcPr>
                <w:p w14:paraId="39F8EE7A">
                  <w:pPr>
                    <w:pStyle w:val="29"/>
                    <w:rPr>
                      <w:sz w:val="21"/>
                      <w:szCs w:val="21"/>
                    </w:rPr>
                  </w:pPr>
                  <w:r>
                    <w:rPr>
                      <w:sz w:val="21"/>
                      <w:szCs w:val="21"/>
                    </w:rPr>
                    <w:t>印刷废气</w:t>
                  </w:r>
                </w:p>
              </w:tc>
              <w:tc>
                <w:tcPr>
                  <w:tcW w:w="957" w:type="pct"/>
                  <w:tcBorders>
                    <w:top w:val="single" w:color="auto" w:sz="6" w:space="0"/>
                    <w:left w:val="single" w:color="auto" w:sz="6" w:space="0"/>
                    <w:bottom w:val="single" w:color="auto" w:sz="6" w:space="0"/>
                    <w:right w:val="single" w:color="auto" w:sz="6" w:space="0"/>
                  </w:tcBorders>
                  <w:vAlign w:val="center"/>
                </w:tcPr>
                <w:p w14:paraId="1DE18847">
                  <w:pPr>
                    <w:pStyle w:val="29"/>
                    <w:rPr>
                      <w:sz w:val="21"/>
                      <w:szCs w:val="21"/>
                    </w:rPr>
                  </w:pPr>
                  <w:r>
                    <w:rPr>
                      <w:sz w:val="21"/>
                      <w:szCs w:val="21"/>
                    </w:rPr>
                    <w:t>非甲烷总烃</w:t>
                  </w:r>
                </w:p>
              </w:tc>
              <w:tc>
                <w:tcPr>
                  <w:tcW w:w="1035" w:type="pct"/>
                  <w:tcBorders>
                    <w:top w:val="single" w:color="auto" w:sz="6" w:space="0"/>
                    <w:left w:val="single" w:color="auto" w:sz="6" w:space="0"/>
                    <w:bottom w:val="single" w:color="auto" w:sz="6" w:space="0"/>
                    <w:right w:val="single" w:color="auto" w:sz="6" w:space="0"/>
                  </w:tcBorders>
                  <w:vAlign w:val="center"/>
                </w:tcPr>
                <w:p w14:paraId="7035C9FB">
                  <w:pPr>
                    <w:pStyle w:val="29"/>
                    <w:rPr>
                      <w:sz w:val="21"/>
                      <w:szCs w:val="21"/>
                    </w:rPr>
                  </w:pPr>
                  <w:r>
                    <w:rPr>
                      <w:sz w:val="21"/>
                      <w:szCs w:val="21"/>
                    </w:rPr>
                    <w:t>0.0125</w:t>
                  </w:r>
                </w:p>
              </w:tc>
            </w:tr>
            <w:tr w14:paraId="0A070F7B">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vMerge w:val="restart"/>
                  <w:tcBorders>
                    <w:top w:val="single" w:color="auto" w:sz="6" w:space="0"/>
                    <w:left w:val="single" w:color="auto" w:sz="4" w:space="0"/>
                    <w:right w:val="single" w:color="auto" w:sz="6" w:space="0"/>
                  </w:tcBorders>
                  <w:vAlign w:val="center"/>
                </w:tcPr>
                <w:p w14:paraId="450DD17D">
                  <w:pPr>
                    <w:pStyle w:val="29"/>
                    <w:rPr>
                      <w:sz w:val="21"/>
                      <w:szCs w:val="21"/>
                    </w:rPr>
                  </w:pPr>
                  <w:r>
                    <w:rPr>
                      <w:sz w:val="21"/>
                      <w:szCs w:val="21"/>
                    </w:rPr>
                    <w:t>3</w:t>
                  </w:r>
                </w:p>
              </w:tc>
              <w:tc>
                <w:tcPr>
                  <w:tcW w:w="793" w:type="pct"/>
                  <w:vMerge w:val="restart"/>
                  <w:tcBorders>
                    <w:left w:val="single" w:color="auto" w:sz="6" w:space="0"/>
                    <w:right w:val="single" w:color="auto" w:sz="6" w:space="0"/>
                  </w:tcBorders>
                  <w:vAlign w:val="center"/>
                </w:tcPr>
                <w:p w14:paraId="3E2A8CD1">
                  <w:pPr>
                    <w:pStyle w:val="29"/>
                    <w:rPr>
                      <w:sz w:val="21"/>
                      <w:szCs w:val="21"/>
                    </w:rPr>
                  </w:pPr>
                  <w:r>
                    <w:rPr>
                      <w:sz w:val="21"/>
                      <w:szCs w:val="21"/>
                    </w:rPr>
                    <w:t>锅炉</w:t>
                  </w:r>
                </w:p>
              </w:tc>
              <w:tc>
                <w:tcPr>
                  <w:tcW w:w="1302" w:type="pct"/>
                  <w:vMerge w:val="restart"/>
                  <w:tcBorders>
                    <w:top w:val="single" w:color="auto" w:sz="6" w:space="0"/>
                    <w:left w:val="single" w:color="auto" w:sz="6" w:space="0"/>
                    <w:right w:val="single" w:color="auto" w:sz="6" w:space="0"/>
                  </w:tcBorders>
                  <w:vAlign w:val="center"/>
                </w:tcPr>
                <w:p w14:paraId="0168F0B1">
                  <w:pPr>
                    <w:pStyle w:val="29"/>
                    <w:rPr>
                      <w:sz w:val="21"/>
                      <w:szCs w:val="21"/>
                    </w:rPr>
                  </w:pPr>
                  <w:r>
                    <w:rPr>
                      <w:sz w:val="21"/>
                      <w:szCs w:val="21"/>
                    </w:rPr>
                    <w:t>锅炉废气</w:t>
                  </w:r>
                </w:p>
              </w:tc>
              <w:tc>
                <w:tcPr>
                  <w:tcW w:w="957" w:type="pct"/>
                  <w:tcBorders>
                    <w:top w:val="single" w:color="auto" w:sz="6" w:space="0"/>
                    <w:left w:val="single" w:color="auto" w:sz="6" w:space="0"/>
                    <w:bottom w:val="single" w:color="auto" w:sz="6" w:space="0"/>
                    <w:right w:val="single" w:color="auto" w:sz="6" w:space="0"/>
                  </w:tcBorders>
                  <w:vAlign w:val="center"/>
                </w:tcPr>
                <w:p w14:paraId="31E663B5">
                  <w:pPr>
                    <w:pStyle w:val="29"/>
                    <w:rPr>
                      <w:sz w:val="21"/>
                      <w:szCs w:val="21"/>
                    </w:rPr>
                  </w:pPr>
                  <w:r>
                    <w:rPr>
                      <w:sz w:val="21"/>
                      <w:szCs w:val="21"/>
                    </w:rPr>
                    <w:t>粉尘</w:t>
                  </w:r>
                </w:p>
              </w:tc>
              <w:tc>
                <w:tcPr>
                  <w:tcW w:w="1588" w:type="dxa"/>
                  <w:tcBorders>
                    <w:top w:val="single" w:color="auto" w:sz="6" w:space="0"/>
                    <w:left w:val="single" w:color="auto" w:sz="6" w:space="0"/>
                    <w:bottom w:val="single" w:color="auto" w:sz="6" w:space="0"/>
                    <w:right w:val="single" w:color="auto" w:sz="6" w:space="0"/>
                  </w:tcBorders>
                  <w:vAlign w:val="center"/>
                </w:tcPr>
                <w:p w14:paraId="6E8BF370">
                  <w:pPr>
                    <w:widowControl/>
                    <w:adjustRightInd w:val="0"/>
                    <w:snapToGrid w:val="0"/>
                    <w:spacing w:line="240" w:lineRule="auto"/>
                    <w:jc w:val="center"/>
                    <w:rPr>
                      <w:sz w:val="21"/>
                      <w:szCs w:val="21"/>
                    </w:rPr>
                  </w:pPr>
                  <w:r>
                    <w:rPr>
                      <w:sz w:val="21"/>
                      <w:szCs w:val="21"/>
                    </w:rPr>
                    <w:t>0.046</w:t>
                  </w:r>
                </w:p>
              </w:tc>
            </w:tr>
            <w:tr w14:paraId="5421D61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vMerge w:val="continue"/>
                  <w:tcBorders>
                    <w:left w:val="single" w:color="auto" w:sz="4" w:space="0"/>
                    <w:right w:val="single" w:color="auto" w:sz="6" w:space="0"/>
                  </w:tcBorders>
                  <w:vAlign w:val="center"/>
                </w:tcPr>
                <w:p w14:paraId="4BE9A040">
                  <w:pPr>
                    <w:pStyle w:val="29"/>
                    <w:rPr>
                      <w:sz w:val="21"/>
                      <w:szCs w:val="21"/>
                    </w:rPr>
                  </w:pPr>
                </w:p>
              </w:tc>
              <w:tc>
                <w:tcPr>
                  <w:tcW w:w="793" w:type="pct"/>
                  <w:vMerge w:val="continue"/>
                  <w:tcBorders>
                    <w:left w:val="single" w:color="auto" w:sz="6" w:space="0"/>
                    <w:right w:val="single" w:color="auto" w:sz="6" w:space="0"/>
                  </w:tcBorders>
                  <w:vAlign w:val="center"/>
                </w:tcPr>
                <w:p w14:paraId="5CB5846D">
                  <w:pPr>
                    <w:pStyle w:val="29"/>
                    <w:rPr>
                      <w:sz w:val="21"/>
                      <w:szCs w:val="21"/>
                    </w:rPr>
                  </w:pPr>
                </w:p>
              </w:tc>
              <w:tc>
                <w:tcPr>
                  <w:tcW w:w="1302" w:type="pct"/>
                  <w:vMerge w:val="continue"/>
                  <w:tcBorders>
                    <w:left w:val="single" w:color="auto" w:sz="6" w:space="0"/>
                    <w:right w:val="single" w:color="auto" w:sz="6" w:space="0"/>
                  </w:tcBorders>
                  <w:vAlign w:val="center"/>
                </w:tcPr>
                <w:p w14:paraId="3AA626E2">
                  <w:pPr>
                    <w:pStyle w:val="29"/>
                    <w:rPr>
                      <w:sz w:val="21"/>
                      <w:szCs w:val="21"/>
                    </w:rPr>
                  </w:pPr>
                </w:p>
              </w:tc>
              <w:tc>
                <w:tcPr>
                  <w:tcW w:w="957" w:type="pct"/>
                  <w:tcBorders>
                    <w:top w:val="single" w:color="auto" w:sz="6" w:space="0"/>
                    <w:left w:val="single" w:color="auto" w:sz="6" w:space="0"/>
                    <w:bottom w:val="single" w:color="auto" w:sz="6" w:space="0"/>
                    <w:right w:val="single" w:color="auto" w:sz="6" w:space="0"/>
                  </w:tcBorders>
                  <w:vAlign w:val="center"/>
                </w:tcPr>
                <w:p w14:paraId="132E8B6A">
                  <w:pPr>
                    <w:pStyle w:val="29"/>
                    <w:rPr>
                      <w:sz w:val="21"/>
                      <w:szCs w:val="21"/>
                    </w:rPr>
                  </w:pPr>
                  <w:r>
                    <w:rPr>
                      <w:sz w:val="21"/>
                      <w:szCs w:val="21"/>
                    </w:rPr>
                    <w:t>二氧化硫</w:t>
                  </w:r>
                </w:p>
              </w:tc>
              <w:tc>
                <w:tcPr>
                  <w:tcW w:w="1588" w:type="dxa"/>
                  <w:tcBorders>
                    <w:top w:val="single" w:color="auto" w:sz="6" w:space="0"/>
                    <w:left w:val="single" w:color="auto" w:sz="6" w:space="0"/>
                    <w:bottom w:val="single" w:color="auto" w:sz="6" w:space="0"/>
                    <w:right w:val="single" w:color="auto" w:sz="6" w:space="0"/>
                  </w:tcBorders>
                  <w:vAlign w:val="center"/>
                </w:tcPr>
                <w:p w14:paraId="7BA716C7">
                  <w:pPr>
                    <w:widowControl/>
                    <w:adjustRightInd w:val="0"/>
                    <w:snapToGrid w:val="0"/>
                    <w:spacing w:line="240" w:lineRule="auto"/>
                    <w:jc w:val="center"/>
                    <w:rPr>
                      <w:sz w:val="21"/>
                      <w:szCs w:val="21"/>
                    </w:rPr>
                  </w:pPr>
                  <w:r>
                    <w:rPr>
                      <w:sz w:val="21"/>
                      <w:szCs w:val="21"/>
                    </w:rPr>
                    <w:t>0.09</w:t>
                  </w:r>
                </w:p>
              </w:tc>
            </w:tr>
            <w:tr w14:paraId="0263660D">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vMerge w:val="continue"/>
                  <w:tcBorders>
                    <w:left w:val="single" w:color="auto" w:sz="4" w:space="0"/>
                    <w:bottom w:val="single" w:color="auto" w:sz="6" w:space="0"/>
                    <w:right w:val="single" w:color="auto" w:sz="6" w:space="0"/>
                  </w:tcBorders>
                  <w:vAlign w:val="center"/>
                </w:tcPr>
                <w:p w14:paraId="31200043">
                  <w:pPr>
                    <w:pStyle w:val="29"/>
                    <w:rPr>
                      <w:sz w:val="21"/>
                      <w:szCs w:val="21"/>
                    </w:rPr>
                  </w:pPr>
                </w:p>
              </w:tc>
              <w:tc>
                <w:tcPr>
                  <w:tcW w:w="793" w:type="pct"/>
                  <w:vMerge w:val="continue"/>
                  <w:tcBorders>
                    <w:left w:val="single" w:color="auto" w:sz="6" w:space="0"/>
                    <w:right w:val="single" w:color="auto" w:sz="6" w:space="0"/>
                  </w:tcBorders>
                  <w:vAlign w:val="center"/>
                </w:tcPr>
                <w:p w14:paraId="33B6C921">
                  <w:pPr>
                    <w:pStyle w:val="29"/>
                    <w:rPr>
                      <w:sz w:val="21"/>
                      <w:szCs w:val="21"/>
                    </w:rPr>
                  </w:pPr>
                </w:p>
              </w:tc>
              <w:tc>
                <w:tcPr>
                  <w:tcW w:w="1302" w:type="pct"/>
                  <w:vMerge w:val="continue"/>
                  <w:tcBorders>
                    <w:left w:val="single" w:color="auto" w:sz="6" w:space="0"/>
                    <w:bottom w:val="single" w:color="auto" w:sz="6" w:space="0"/>
                    <w:right w:val="single" w:color="auto" w:sz="6" w:space="0"/>
                  </w:tcBorders>
                  <w:vAlign w:val="center"/>
                </w:tcPr>
                <w:p w14:paraId="064ED913">
                  <w:pPr>
                    <w:pStyle w:val="29"/>
                    <w:rPr>
                      <w:sz w:val="21"/>
                      <w:szCs w:val="21"/>
                    </w:rPr>
                  </w:pPr>
                </w:p>
              </w:tc>
              <w:tc>
                <w:tcPr>
                  <w:tcW w:w="957" w:type="pct"/>
                  <w:tcBorders>
                    <w:top w:val="single" w:color="auto" w:sz="6" w:space="0"/>
                    <w:left w:val="single" w:color="auto" w:sz="6" w:space="0"/>
                    <w:bottom w:val="single" w:color="auto" w:sz="6" w:space="0"/>
                    <w:right w:val="single" w:color="auto" w:sz="6" w:space="0"/>
                  </w:tcBorders>
                  <w:vAlign w:val="center"/>
                </w:tcPr>
                <w:p w14:paraId="19EA5877">
                  <w:pPr>
                    <w:pStyle w:val="29"/>
                    <w:rPr>
                      <w:sz w:val="21"/>
                      <w:szCs w:val="21"/>
                    </w:rPr>
                  </w:pPr>
                  <w:r>
                    <w:rPr>
                      <w:sz w:val="21"/>
                      <w:szCs w:val="21"/>
                    </w:rPr>
                    <w:t>氮氧化物</w:t>
                  </w:r>
                </w:p>
              </w:tc>
              <w:tc>
                <w:tcPr>
                  <w:tcW w:w="1588" w:type="dxa"/>
                  <w:tcBorders>
                    <w:top w:val="single" w:color="auto" w:sz="6" w:space="0"/>
                    <w:left w:val="single" w:color="auto" w:sz="6" w:space="0"/>
                    <w:bottom w:val="single" w:color="auto" w:sz="6" w:space="0"/>
                    <w:right w:val="single" w:color="auto" w:sz="6" w:space="0"/>
                  </w:tcBorders>
                  <w:vAlign w:val="center"/>
                </w:tcPr>
                <w:p w14:paraId="4E50874D">
                  <w:pPr>
                    <w:widowControl/>
                    <w:adjustRightInd w:val="0"/>
                    <w:snapToGrid w:val="0"/>
                    <w:spacing w:line="240" w:lineRule="auto"/>
                    <w:jc w:val="center"/>
                    <w:rPr>
                      <w:sz w:val="21"/>
                      <w:szCs w:val="21"/>
                    </w:rPr>
                  </w:pPr>
                  <w:r>
                    <w:rPr>
                      <w:sz w:val="21"/>
                      <w:szCs w:val="21"/>
                    </w:rPr>
                    <w:t>0.135</w:t>
                  </w:r>
                </w:p>
              </w:tc>
            </w:tr>
            <w:tr w14:paraId="14370A85">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1" w:type="pct"/>
                  <w:tcBorders>
                    <w:top w:val="single" w:color="auto" w:sz="6" w:space="0"/>
                    <w:left w:val="single" w:color="auto" w:sz="4" w:space="0"/>
                    <w:bottom w:val="single" w:color="auto" w:sz="6" w:space="0"/>
                    <w:right w:val="single" w:color="auto" w:sz="6" w:space="0"/>
                  </w:tcBorders>
                  <w:vAlign w:val="center"/>
                </w:tcPr>
                <w:p w14:paraId="3A4EA25E">
                  <w:pPr>
                    <w:pStyle w:val="29"/>
                    <w:rPr>
                      <w:sz w:val="21"/>
                      <w:szCs w:val="21"/>
                    </w:rPr>
                  </w:pPr>
                  <w:r>
                    <w:rPr>
                      <w:sz w:val="21"/>
                      <w:szCs w:val="21"/>
                    </w:rPr>
                    <w:t>4</w:t>
                  </w:r>
                </w:p>
              </w:tc>
              <w:tc>
                <w:tcPr>
                  <w:tcW w:w="793" w:type="pct"/>
                  <w:tcBorders>
                    <w:top w:val="single" w:color="auto" w:sz="6" w:space="0"/>
                    <w:left w:val="single" w:color="auto" w:sz="6" w:space="0"/>
                    <w:bottom w:val="single" w:color="auto" w:sz="6" w:space="0"/>
                    <w:right w:val="single" w:color="auto" w:sz="6" w:space="0"/>
                  </w:tcBorders>
                  <w:vAlign w:val="center"/>
                </w:tcPr>
                <w:p w14:paraId="75B7B8FA">
                  <w:pPr>
                    <w:pStyle w:val="29"/>
                    <w:rPr>
                      <w:sz w:val="21"/>
                      <w:szCs w:val="21"/>
                    </w:rPr>
                  </w:pPr>
                  <w:r>
                    <w:rPr>
                      <w:sz w:val="21"/>
                      <w:szCs w:val="21"/>
                    </w:rPr>
                    <w:t>食堂</w:t>
                  </w:r>
                </w:p>
              </w:tc>
              <w:tc>
                <w:tcPr>
                  <w:tcW w:w="1302" w:type="pct"/>
                  <w:tcBorders>
                    <w:top w:val="single" w:color="auto" w:sz="6" w:space="0"/>
                    <w:left w:val="single" w:color="auto" w:sz="6" w:space="0"/>
                    <w:bottom w:val="single" w:color="auto" w:sz="6" w:space="0"/>
                    <w:right w:val="single" w:color="auto" w:sz="6" w:space="0"/>
                  </w:tcBorders>
                  <w:vAlign w:val="center"/>
                </w:tcPr>
                <w:p w14:paraId="244054F2">
                  <w:pPr>
                    <w:pStyle w:val="29"/>
                    <w:rPr>
                      <w:sz w:val="21"/>
                      <w:szCs w:val="21"/>
                    </w:rPr>
                  </w:pPr>
                  <w:r>
                    <w:rPr>
                      <w:sz w:val="21"/>
                      <w:szCs w:val="21"/>
                    </w:rPr>
                    <w:t>食堂</w:t>
                  </w:r>
                </w:p>
              </w:tc>
              <w:tc>
                <w:tcPr>
                  <w:tcW w:w="957" w:type="pct"/>
                  <w:tcBorders>
                    <w:top w:val="single" w:color="auto" w:sz="6" w:space="0"/>
                    <w:left w:val="single" w:color="auto" w:sz="6" w:space="0"/>
                    <w:bottom w:val="single" w:color="auto" w:sz="6" w:space="0"/>
                    <w:right w:val="single" w:color="auto" w:sz="6" w:space="0"/>
                  </w:tcBorders>
                  <w:vAlign w:val="center"/>
                </w:tcPr>
                <w:p w14:paraId="530780C9">
                  <w:pPr>
                    <w:pStyle w:val="29"/>
                    <w:rPr>
                      <w:sz w:val="21"/>
                      <w:szCs w:val="21"/>
                    </w:rPr>
                  </w:pPr>
                  <w:r>
                    <w:rPr>
                      <w:sz w:val="21"/>
                      <w:szCs w:val="21"/>
                    </w:rPr>
                    <w:t>食堂油烟</w:t>
                  </w:r>
                </w:p>
              </w:tc>
              <w:tc>
                <w:tcPr>
                  <w:tcW w:w="1035" w:type="pct"/>
                  <w:tcBorders>
                    <w:top w:val="single" w:color="auto" w:sz="6" w:space="0"/>
                    <w:left w:val="single" w:color="auto" w:sz="6" w:space="0"/>
                    <w:bottom w:val="single" w:color="auto" w:sz="6" w:space="0"/>
                    <w:right w:val="single" w:color="auto" w:sz="6" w:space="0"/>
                  </w:tcBorders>
                  <w:vAlign w:val="center"/>
                </w:tcPr>
                <w:p w14:paraId="61E473B0">
                  <w:pPr>
                    <w:pStyle w:val="29"/>
                    <w:rPr>
                      <w:sz w:val="21"/>
                      <w:szCs w:val="21"/>
                    </w:rPr>
                  </w:pPr>
                  <w:r>
                    <w:rPr>
                      <w:sz w:val="21"/>
                      <w:szCs w:val="21"/>
                    </w:rPr>
                    <w:t>0.012</w:t>
                  </w:r>
                </w:p>
              </w:tc>
            </w:tr>
          </w:tbl>
          <w:p w14:paraId="1E9B5328">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表4-5   项目有组织大气污染物排放情况一览表</w:t>
            </w:r>
          </w:p>
          <w:tbl>
            <w:tblPr>
              <w:tblStyle w:val="32"/>
              <w:tblW w:w="76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47"/>
              <w:gridCol w:w="360"/>
              <w:gridCol w:w="504"/>
              <w:gridCol w:w="504"/>
              <w:gridCol w:w="628"/>
              <w:gridCol w:w="328"/>
              <w:gridCol w:w="746"/>
              <w:gridCol w:w="340"/>
              <w:gridCol w:w="340"/>
              <w:gridCol w:w="429"/>
              <w:gridCol w:w="501"/>
              <w:gridCol w:w="596"/>
              <w:gridCol w:w="633"/>
              <w:gridCol w:w="599"/>
              <w:gridCol w:w="499"/>
            </w:tblGrid>
            <w:tr w14:paraId="4AA5D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 w:hRule="atLeast"/>
              </w:trPr>
              <w:tc>
                <w:tcPr>
                  <w:tcW w:w="423" w:type="pct"/>
                  <w:vMerge w:val="restart"/>
                  <w:tcBorders>
                    <w:bottom w:val="nil"/>
                  </w:tcBorders>
                  <w:vAlign w:val="center"/>
                </w:tcPr>
                <w:p w14:paraId="47D1D9E8">
                  <w:pPr>
                    <w:pStyle w:val="29"/>
                    <w:jc w:val="center"/>
                    <w:rPr>
                      <w:b/>
                      <w:bCs/>
                      <w:sz w:val="18"/>
                      <w:szCs w:val="18"/>
                    </w:rPr>
                  </w:pPr>
                  <w:r>
                    <w:rPr>
                      <w:b/>
                      <w:bCs/>
                      <w:sz w:val="18"/>
                      <w:szCs w:val="18"/>
                    </w:rPr>
                    <w:t>产污环节</w:t>
                  </w:r>
                </w:p>
              </w:tc>
              <w:tc>
                <w:tcPr>
                  <w:tcW w:w="235" w:type="pct"/>
                  <w:vMerge w:val="restart"/>
                  <w:tcBorders>
                    <w:bottom w:val="nil"/>
                  </w:tcBorders>
                  <w:vAlign w:val="center"/>
                </w:tcPr>
                <w:p w14:paraId="58A171D8">
                  <w:pPr>
                    <w:pStyle w:val="29"/>
                    <w:jc w:val="center"/>
                    <w:rPr>
                      <w:b/>
                      <w:bCs/>
                      <w:sz w:val="18"/>
                      <w:szCs w:val="18"/>
                    </w:rPr>
                  </w:pPr>
                  <w:r>
                    <w:rPr>
                      <w:b/>
                      <w:bCs/>
                      <w:sz w:val="18"/>
                      <w:szCs w:val="18"/>
                    </w:rPr>
                    <w:t>污染物种类</w:t>
                  </w:r>
                </w:p>
              </w:tc>
              <w:tc>
                <w:tcPr>
                  <w:tcW w:w="1068" w:type="pct"/>
                  <w:gridSpan w:val="3"/>
                  <w:vAlign w:val="center"/>
                </w:tcPr>
                <w:p w14:paraId="44996022">
                  <w:pPr>
                    <w:pStyle w:val="29"/>
                    <w:jc w:val="center"/>
                    <w:rPr>
                      <w:b/>
                      <w:bCs/>
                      <w:sz w:val="18"/>
                      <w:szCs w:val="18"/>
                    </w:rPr>
                  </w:pPr>
                  <w:r>
                    <w:rPr>
                      <w:b/>
                      <w:bCs/>
                      <w:sz w:val="18"/>
                      <w:szCs w:val="18"/>
                    </w:rPr>
                    <w:t>有组织废气产生情况</w:t>
                  </w:r>
                </w:p>
              </w:tc>
              <w:tc>
                <w:tcPr>
                  <w:tcW w:w="214" w:type="pct"/>
                  <w:vMerge w:val="restart"/>
                  <w:tcBorders>
                    <w:bottom w:val="nil"/>
                  </w:tcBorders>
                  <w:vAlign w:val="center"/>
                </w:tcPr>
                <w:p w14:paraId="4B09CB12">
                  <w:pPr>
                    <w:pStyle w:val="29"/>
                    <w:jc w:val="center"/>
                    <w:rPr>
                      <w:b/>
                      <w:bCs/>
                      <w:sz w:val="18"/>
                      <w:szCs w:val="18"/>
                    </w:rPr>
                  </w:pPr>
                  <w:r>
                    <w:rPr>
                      <w:b/>
                      <w:bCs/>
                      <w:sz w:val="18"/>
                      <w:szCs w:val="18"/>
                    </w:rPr>
                    <w:t>排放形式</w:t>
                  </w:r>
                </w:p>
              </w:tc>
              <w:tc>
                <w:tcPr>
                  <w:tcW w:w="1211" w:type="pct"/>
                  <w:gridSpan w:val="4"/>
                  <w:vAlign w:val="center"/>
                </w:tcPr>
                <w:p w14:paraId="51C05FC2">
                  <w:pPr>
                    <w:pStyle w:val="29"/>
                    <w:jc w:val="center"/>
                    <w:rPr>
                      <w:b/>
                      <w:bCs/>
                      <w:sz w:val="18"/>
                      <w:szCs w:val="18"/>
                    </w:rPr>
                  </w:pPr>
                  <w:r>
                    <w:rPr>
                      <w:b/>
                      <w:bCs/>
                      <w:sz w:val="18"/>
                      <w:szCs w:val="18"/>
                    </w:rPr>
                    <w:t>治理措施</w:t>
                  </w:r>
                </w:p>
              </w:tc>
              <w:tc>
                <w:tcPr>
                  <w:tcW w:w="1846" w:type="pct"/>
                  <w:gridSpan w:val="5"/>
                  <w:vAlign w:val="center"/>
                </w:tcPr>
                <w:p w14:paraId="5C2676BB">
                  <w:pPr>
                    <w:pStyle w:val="29"/>
                    <w:jc w:val="center"/>
                    <w:rPr>
                      <w:b/>
                      <w:bCs/>
                      <w:sz w:val="18"/>
                      <w:szCs w:val="18"/>
                    </w:rPr>
                  </w:pPr>
                  <w:r>
                    <w:rPr>
                      <w:b/>
                      <w:bCs/>
                      <w:sz w:val="18"/>
                      <w:szCs w:val="18"/>
                    </w:rPr>
                    <w:t>污染物排放情况</w:t>
                  </w:r>
                </w:p>
              </w:tc>
            </w:tr>
            <w:tr w14:paraId="0107DB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6" w:hRule="atLeast"/>
              </w:trPr>
              <w:tc>
                <w:tcPr>
                  <w:tcW w:w="423" w:type="pct"/>
                  <w:vMerge w:val="continue"/>
                  <w:tcBorders>
                    <w:top w:val="nil"/>
                  </w:tcBorders>
                  <w:vAlign w:val="center"/>
                </w:tcPr>
                <w:p w14:paraId="57DAB3A5">
                  <w:pPr>
                    <w:pStyle w:val="29"/>
                    <w:jc w:val="center"/>
                    <w:rPr>
                      <w:b/>
                      <w:bCs/>
                      <w:sz w:val="18"/>
                      <w:szCs w:val="18"/>
                    </w:rPr>
                  </w:pPr>
                </w:p>
              </w:tc>
              <w:tc>
                <w:tcPr>
                  <w:tcW w:w="235" w:type="pct"/>
                  <w:vMerge w:val="continue"/>
                  <w:tcBorders>
                    <w:top w:val="nil"/>
                  </w:tcBorders>
                  <w:vAlign w:val="center"/>
                </w:tcPr>
                <w:p w14:paraId="7C2AB441">
                  <w:pPr>
                    <w:pStyle w:val="29"/>
                    <w:jc w:val="center"/>
                    <w:rPr>
                      <w:b/>
                      <w:bCs/>
                      <w:sz w:val="18"/>
                      <w:szCs w:val="18"/>
                    </w:rPr>
                  </w:pPr>
                </w:p>
              </w:tc>
              <w:tc>
                <w:tcPr>
                  <w:tcW w:w="329" w:type="pct"/>
                  <w:vAlign w:val="center"/>
                </w:tcPr>
                <w:p w14:paraId="0D52105C">
                  <w:pPr>
                    <w:pStyle w:val="29"/>
                    <w:jc w:val="center"/>
                    <w:rPr>
                      <w:b/>
                      <w:bCs/>
                      <w:sz w:val="18"/>
                      <w:szCs w:val="18"/>
                    </w:rPr>
                  </w:pPr>
                  <w:r>
                    <w:rPr>
                      <w:b/>
                      <w:bCs/>
                      <w:sz w:val="18"/>
                      <w:szCs w:val="18"/>
                    </w:rPr>
                    <w:t>产生量 (t/a)</w:t>
                  </w:r>
                </w:p>
              </w:tc>
              <w:tc>
                <w:tcPr>
                  <w:tcW w:w="329" w:type="pct"/>
                  <w:vAlign w:val="center"/>
                </w:tcPr>
                <w:p w14:paraId="204A5EE2">
                  <w:pPr>
                    <w:pStyle w:val="29"/>
                    <w:jc w:val="center"/>
                    <w:rPr>
                      <w:b/>
                      <w:bCs/>
                      <w:sz w:val="18"/>
                      <w:szCs w:val="18"/>
                    </w:rPr>
                  </w:pPr>
                  <w:r>
                    <w:rPr>
                      <w:b/>
                      <w:bCs/>
                      <w:sz w:val="18"/>
                      <w:szCs w:val="18"/>
                    </w:rPr>
                    <w:t>速率 (kg/h)</w:t>
                  </w:r>
                </w:p>
              </w:tc>
              <w:tc>
                <w:tcPr>
                  <w:tcW w:w="410" w:type="pct"/>
                  <w:vAlign w:val="center"/>
                </w:tcPr>
                <w:p w14:paraId="6026C630">
                  <w:pPr>
                    <w:pStyle w:val="29"/>
                    <w:jc w:val="center"/>
                    <w:rPr>
                      <w:b/>
                      <w:bCs/>
                      <w:sz w:val="18"/>
                      <w:szCs w:val="18"/>
                    </w:rPr>
                  </w:pPr>
                  <w:r>
                    <w:rPr>
                      <w:b/>
                      <w:bCs/>
                      <w:sz w:val="18"/>
                      <w:szCs w:val="18"/>
                    </w:rPr>
                    <w:t>浓度 (mg/m³)</w:t>
                  </w:r>
                </w:p>
              </w:tc>
              <w:tc>
                <w:tcPr>
                  <w:tcW w:w="214" w:type="pct"/>
                  <w:vMerge w:val="continue"/>
                  <w:tcBorders>
                    <w:top w:val="nil"/>
                  </w:tcBorders>
                  <w:vAlign w:val="center"/>
                </w:tcPr>
                <w:p w14:paraId="4A8E0138">
                  <w:pPr>
                    <w:pStyle w:val="29"/>
                    <w:jc w:val="center"/>
                    <w:rPr>
                      <w:b/>
                      <w:bCs/>
                      <w:sz w:val="18"/>
                      <w:szCs w:val="18"/>
                    </w:rPr>
                  </w:pPr>
                </w:p>
              </w:tc>
              <w:tc>
                <w:tcPr>
                  <w:tcW w:w="487" w:type="pct"/>
                  <w:vAlign w:val="center"/>
                </w:tcPr>
                <w:p w14:paraId="44D19CC2">
                  <w:pPr>
                    <w:pStyle w:val="29"/>
                    <w:jc w:val="center"/>
                    <w:rPr>
                      <w:b/>
                      <w:bCs/>
                      <w:sz w:val="18"/>
                      <w:szCs w:val="18"/>
                    </w:rPr>
                  </w:pPr>
                  <w:r>
                    <w:rPr>
                      <w:b/>
                      <w:bCs/>
                      <w:sz w:val="18"/>
                      <w:szCs w:val="18"/>
                    </w:rPr>
                    <w:t>污染治理</w:t>
                  </w:r>
                </w:p>
                <w:p w14:paraId="38778908">
                  <w:pPr>
                    <w:pStyle w:val="29"/>
                    <w:jc w:val="center"/>
                    <w:rPr>
                      <w:b/>
                      <w:bCs/>
                      <w:sz w:val="18"/>
                      <w:szCs w:val="18"/>
                    </w:rPr>
                  </w:pPr>
                  <w:r>
                    <w:rPr>
                      <w:b/>
                      <w:bCs/>
                      <w:sz w:val="18"/>
                      <w:szCs w:val="18"/>
                    </w:rPr>
                    <w:t>设施工艺</w:t>
                  </w:r>
                </w:p>
              </w:tc>
              <w:tc>
                <w:tcPr>
                  <w:tcW w:w="222" w:type="pct"/>
                  <w:vAlign w:val="center"/>
                </w:tcPr>
                <w:p w14:paraId="5CD0C77B">
                  <w:pPr>
                    <w:pStyle w:val="29"/>
                    <w:jc w:val="center"/>
                    <w:rPr>
                      <w:b/>
                      <w:bCs/>
                      <w:sz w:val="18"/>
                      <w:szCs w:val="18"/>
                    </w:rPr>
                  </w:pPr>
                  <w:r>
                    <w:rPr>
                      <w:b/>
                      <w:bCs/>
                      <w:sz w:val="18"/>
                      <w:szCs w:val="18"/>
                    </w:rPr>
                    <w:t>收集 效率</w:t>
                  </w:r>
                </w:p>
              </w:tc>
              <w:tc>
                <w:tcPr>
                  <w:tcW w:w="222" w:type="pct"/>
                  <w:vAlign w:val="center"/>
                </w:tcPr>
                <w:p w14:paraId="50818FC7">
                  <w:pPr>
                    <w:pStyle w:val="29"/>
                    <w:jc w:val="center"/>
                    <w:rPr>
                      <w:b/>
                      <w:bCs/>
                      <w:sz w:val="18"/>
                      <w:szCs w:val="18"/>
                    </w:rPr>
                  </w:pPr>
                  <w:r>
                    <w:rPr>
                      <w:b/>
                      <w:bCs/>
                      <w:sz w:val="18"/>
                      <w:szCs w:val="18"/>
                    </w:rPr>
                    <w:t>去除 率</w:t>
                  </w:r>
                </w:p>
              </w:tc>
              <w:tc>
                <w:tcPr>
                  <w:tcW w:w="278" w:type="pct"/>
                  <w:vAlign w:val="center"/>
                </w:tcPr>
                <w:p w14:paraId="157593D2">
                  <w:pPr>
                    <w:pStyle w:val="29"/>
                    <w:jc w:val="center"/>
                    <w:rPr>
                      <w:b/>
                      <w:bCs/>
                      <w:sz w:val="18"/>
                      <w:szCs w:val="18"/>
                    </w:rPr>
                  </w:pPr>
                  <w:r>
                    <w:rPr>
                      <w:b/>
                      <w:bCs/>
                      <w:sz w:val="18"/>
                      <w:szCs w:val="18"/>
                    </w:rPr>
                    <w:t>是否为可 行技术</w:t>
                  </w:r>
                </w:p>
              </w:tc>
              <w:tc>
                <w:tcPr>
                  <w:tcW w:w="327" w:type="pct"/>
                  <w:vAlign w:val="center"/>
                </w:tcPr>
                <w:p w14:paraId="5AB4A08D">
                  <w:pPr>
                    <w:pStyle w:val="29"/>
                    <w:jc w:val="center"/>
                    <w:rPr>
                      <w:b/>
                      <w:bCs/>
                      <w:sz w:val="18"/>
                      <w:szCs w:val="18"/>
                    </w:rPr>
                  </w:pPr>
                  <w:r>
                    <w:rPr>
                      <w:b/>
                      <w:bCs/>
                      <w:sz w:val="18"/>
                      <w:szCs w:val="18"/>
                    </w:rPr>
                    <w:t>风量 (m³/h)</w:t>
                  </w:r>
                </w:p>
              </w:tc>
              <w:tc>
                <w:tcPr>
                  <w:tcW w:w="389" w:type="pct"/>
                  <w:vAlign w:val="center"/>
                </w:tcPr>
                <w:p w14:paraId="5E802314">
                  <w:pPr>
                    <w:pStyle w:val="29"/>
                    <w:jc w:val="center"/>
                    <w:rPr>
                      <w:b/>
                      <w:bCs/>
                      <w:sz w:val="18"/>
                      <w:szCs w:val="18"/>
                    </w:rPr>
                  </w:pPr>
                  <w:r>
                    <w:rPr>
                      <w:b/>
                      <w:bCs/>
                      <w:sz w:val="18"/>
                      <w:szCs w:val="18"/>
                    </w:rPr>
                    <w:t>排放量 (t/a)</w:t>
                  </w:r>
                </w:p>
              </w:tc>
              <w:tc>
                <w:tcPr>
                  <w:tcW w:w="413" w:type="pct"/>
                  <w:vAlign w:val="center"/>
                </w:tcPr>
                <w:p w14:paraId="74CE98A5">
                  <w:pPr>
                    <w:pStyle w:val="29"/>
                    <w:jc w:val="center"/>
                    <w:rPr>
                      <w:b/>
                      <w:bCs/>
                      <w:sz w:val="18"/>
                      <w:szCs w:val="18"/>
                    </w:rPr>
                  </w:pPr>
                  <w:r>
                    <w:rPr>
                      <w:b/>
                      <w:bCs/>
                      <w:sz w:val="18"/>
                      <w:szCs w:val="18"/>
                    </w:rPr>
                    <w:t>速率 (kg/h)</w:t>
                  </w:r>
                </w:p>
              </w:tc>
              <w:tc>
                <w:tcPr>
                  <w:tcW w:w="391" w:type="pct"/>
                  <w:vAlign w:val="center"/>
                </w:tcPr>
                <w:p w14:paraId="34C2DEBD">
                  <w:pPr>
                    <w:pStyle w:val="29"/>
                    <w:jc w:val="center"/>
                    <w:rPr>
                      <w:b/>
                      <w:bCs/>
                      <w:sz w:val="18"/>
                      <w:szCs w:val="18"/>
                    </w:rPr>
                  </w:pPr>
                  <w:r>
                    <w:rPr>
                      <w:b/>
                      <w:bCs/>
                      <w:sz w:val="18"/>
                      <w:szCs w:val="18"/>
                    </w:rPr>
                    <w:t>浓度  (mg/m³)</w:t>
                  </w:r>
                </w:p>
              </w:tc>
              <w:tc>
                <w:tcPr>
                  <w:tcW w:w="324" w:type="pct"/>
                  <w:vAlign w:val="center"/>
                </w:tcPr>
                <w:p w14:paraId="32E7C89C">
                  <w:pPr>
                    <w:pStyle w:val="29"/>
                    <w:rPr>
                      <w:b/>
                      <w:bCs/>
                      <w:sz w:val="18"/>
                      <w:szCs w:val="18"/>
                    </w:rPr>
                  </w:pPr>
                  <w:r>
                    <w:rPr>
                      <w:b/>
                      <w:bCs/>
                      <w:sz w:val="18"/>
                      <w:szCs w:val="18"/>
                    </w:rPr>
                    <w:t>排放口 编号</w:t>
                  </w:r>
                </w:p>
              </w:tc>
            </w:tr>
            <w:tr w14:paraId="53071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423" w:type="pct"/>
                  <w:vAlign w:val="center"/>
                </w:tcPr>
                <w:p w14:paraId="2572B9CF">
                  <w:pPr>
                    <w:pStyle w:val="29"/>
                    <w:jc w:val="center"/>
                    <w:rPr>
                      <w:sz w:val="21"/>
                      <w:szCs w:val="21"/>
                    </w:rPr>
                  </w:pPr>
                  <w:r>
                    <w:rPr>
                      <w:sz w:val="21"/>
                      <w:szCs w:val="21"/>
                    </w:rPr>
                    <w:t>印刷</w:t>
                  </w:r>
                </w:p>
              </w:tc>
              <w:tc>
                <w:tcPr>
                  <w:tcW w:w="235" w:type="pct"/>
                  <w:vAlign w:val="center"/>
                </w:tcPr>
                <w:p w14:paraId="3D4EFD56">
                  <w:pPr>
                    <w:pStyle w:val="29"/>
                    <w:jc w:val="center"/>
                    <w:rPr>
                      <w:sz w:val="21"/>
                      <w:szCs w:val="21"/>
                    </w:rPr>
                  </w:pPr>
                  <w:r>
                    <w:rPr>
                      <w:sz w:val="21"/>
                      <w:szCs w:val="21"/>
                    </w:rPr>
                    <w:t>非甲烷总烃</w:t>
                  </w:r>
                </w:p>
              </w:tc>
              <w:tc>
                <w:tcPr>
                  <w:tcW w:w="329" w:type="pct"/>
                  <w:vAlign w:val="center"/>
                </w:tcPr>
                <w:p w14:paraId="1A59A7FF">
                  <w:pPr>
                    <w:pStyle w:val="29"/>
                    <w:jc w:val="center"/>
                    <w:rPr>
                      <w:sz w:val="21"/>
                      <w:szCs w:val="21"/>
                    </w:rPr>
                  </w:pPr>
                  <w:r>
                    <w:rPr>
                      <w:sz w:val="21"/>
                      <w:szCs w:val="21"/>
                    </w:rPr>
                    <w:t>0.0125</w:t>
                  </w:r>
                </w:p>
              </w:tc>
              <w:tc>
                <w:tcPr>
                  <w:tcW w:w="329" w:type="pct"/>
                  <w:vAlign w:val="center"/>
                </w:tcPr>
                <w:p w14:paraId="7C8E9209">
                  <w:pPr>
                    <w:pStyle w:val="29"/>
                    <w:jc w:val="center"/>
                    <w:rPr>
                      <w:sz w:val="21"/>
                      <w:szCs w:val="21"/>
                    </w:rPr>
                  </w:pPr>
                  <w:r>
                    <w:rPr>
                      <w:sz w:val="21"/>
                      <w:szCs w:val="21"/>
                    </w:rPr>
                    <w:t>0.0104</w:t>
                  </w:r>
                </w:p>
              </w:tc>
              <w:tc>
                <w:tcPr>
                  <w:tcW w:w="410" w:type="pct"/>
                  <w:vAlign w:val="center"/>
                </w:tcPr>
                <w:p w14:paraId="04857083">
                  <w:pPr>
                    <w:pStyle w:val="29"/>
                    <w:jc w:val="center"/>
                    <w:rPr>
                      <w:sz w:val="21"/>
                      <w:szCs w:val="21"/>
                    </w:rPr>
                  </w:pPr>
                  <w:r>
                    <w:rPr>
                      <w:sz w:val="21"/>
                      <w:szCs w:val="21"/>
                    </w:rPr>
                    <w:t>4.03</w:t>
                  </w:r>
                </w:p>
              </w:tc>
              <w:tc>
                <w:tcPr>
                  <w:tcW w:w="214" w:type="pct"/>
                  <w:vAlign w:val="center"/>
                </w:tcPr>
                <w:p w14:paraId="0E3A1434">
                  <w:pPr>
                    <w:pStyle w:val="29"/>
                    <w:jc w:val="center"/>
                    <w:rPr>
                      <w:sz w:val="21"/>
                      <w:szCs w:val="21"/>
                    </w:rPr>
                  </w:pPr>
                  <w:r>
                    <w:rPr>
                      <w:sz w:val="21"/>
                      <w:szCs w:val="21"/>
                    </w:rPr>
                    <w:t>有组织</w:t>
                  </w:r>
                </w:p>
              </w:tc>
              <w:tc>
                <w:tcPr>
                  <w:tcW w:w="487" w:type="pct"/>
                  <w:vAlign w:val="center"/>
                </w:tcPr>
                <w:p w14:paraId="6525D4B9">
                  <w:pPr>
                    <w:pStyle w:val="29"/>
                    <w:jc w:val="center"/>
                    <w:rPr>
                      <w:sz w:val="21"/>
                      <w:szCs w:val="21"/>
                    </w:rPr>
                  </w:pPr>
                  <w:r>
                    <w:rPr>
                      <w:sz w:val="21"/>
                      <w:szCs w:val="21"/>
                    </w:rPr>
                    <w:t>集气罩+二级活性炭</w:t>
                  </w:r>
                </w:p>
              </w:tc>
              <w:tc>
                <w:tcPr>
                  <w:tcW w:w="222" w:type="pct"/>
                  <w:vAlign w:val="center"/>
                </w:tcPr>
                <w:p w14:paraId="775EA222">
                  <w:pPr>
                    <w:pStyle w:val="29"/>
                    <w:jc w:val="center"/>
                    <w:rPr>
                      <w:sz w:val="21"/>
                      <w:szCs w:val="21"/>
                    </w:rPr>
                  </w:pPr>
                  <w:r>
                    <w:rPr>
                      <w:sz w:val="21"/>
                      <w:szCs w:val="21"/>
                    </w:rPr>
                    <w:t>90%</w:t>
                  </w:r>
                </w:p>
              </w:tc>
              <w:tc>
                <w:tcPr>
                  <w:tcW w:w="222" w:type="pct"/>
                  <w:vAlign w:val="center"/>
                </w:tcPr>
                <w:p w14:paraId="047EE5E5">
                  <w:pPr>
                    <w:pStyle w:val="29"/>
                    <w:jc w:val="center"/>
                    <w:rPr>
                      <w:sz w:val="21"/>
                      <w:szCs w:val="21"/>
                    </w:rPr>
                  </w:pPr>
                  <w:r>
                    <w:rPr>
                      <w:sz w:val="21"/>
                      <w:szCs w:val="21"/>
                    </w:rPr>
                    <w:t>90%</w:t>
                  </w:r>
                </w:p>
              </w:tc>
              <w:tc>
                <w:tcPr>
                  <w:tcW w:w="278" w:type="pct"/>
                  <w:vAlign w:val="center"/>
                </w:tcPr>
                <w:p w14:paraId="13463944">
                  <w:pPr>
                    <w:pStyle w:val="29"/>
                    <w:jc w:val="center"/>
                    <w:rPr>
                      <w:sz w:val="21"/>
                      <w:szCs w:val="21"/>
                    </w:rPr>
                  </w:pPr>
                  <w:r>
                    <w:rPr>
                      <w:sz w:val="21"/>
                      <w:szCs w:val="21"/>
                    </w:rPr>
                    <w:t>是</w:t>
                  </w:r>
                </w:p>
              </w:tc>
              <w:tc>
                <w:tcPr>
                  <w:tcW w:w="327" w:type="pct"/>
                  <w:vAlign w:val="center"/>
                </w:tcPr>
                <w:p w14:paraId="080FAC97">
                  <w:pPr>
                    <w:pStyle w:val="29"/>
                    <w:jc w:val="center"/>
                    <w:rPr>
                      <w:sz w:val="21"/>
                      <w:szCs w:val="21"/>
                    </w:rPr>
                  </w:pPr>
                  <w:r>
                    <w:rPr>
                      <w:sz w:val="21"/>
                      <w:szCs w:val="21"/>
                    </w:rPr>
                    <w:t>3100</w:t>
                  </w:r>
                </w:p>
              </w:tc>
              <w:tc>
                <w:tcPr>
                  <w:tcW w:w="389" w:type="pct"/>
                  <w:vAlign w:val="center"/>
                </w:tcPr>
                <w:p w14:paraId="5C5CC9E3">
                  <w:pPr>
                    <w:pStyle w:val="29"/>
                    <w:jc w:val="center"/>
                    <w:rPr>
                      <w:sz w:val="21"/>
                      <w:szCs w:val="21"/>
                    </w:rPr>
                  </w:pPr>
                  <w:r>
                    <w:rPr>
                      <w:sz w:val="21"/>
                      <w:szCs w:val="21"/>
                    </w:rPr>
                    <w:t>0.0012</w:t>
                  </w:r>
                </w:p>
              </w:tc>
              <w:tc>
                <w:tcPr>
                  <w:tcW w:w="413" w:type="pct"/>
                  <w:vAlign w:val="center"/>
                </w:tcPr>
                <w:p w14:paraId="6EB9E9AC">
                  <w:pPr>
                    <w:pStyle w:val="29"/>
                    <w:jc w:val="center"/>
                    <w:rPr>
                      <w:sz w:val="21"/>
                      <w:szCs w:val="21"/>
                    </w:rPr>
                  </w:pPr>
                  <w:r>
                    <w:rPr>
                      <w:sz w:val="21"/>
                      <w:szCs w:val="21"/>
                    </w:rPr>
                    <w:t>0.0009</w:t>
                  </w:r>
                </w:p>
              </w:tc>
              <w:tc>
                <w:tcPr>
                  <w:tcW w:w="391" w:type="pct"/>
                  <w:vAlign w:val="center"/>
                </w:tcPr>
                <w:p w14:paraId="6D464E03">
                  <w:pPr>
                    <w:pStyle w:val="29"/>
                    <w:jc w:val="center"/>
                    <w:rPr>
                      <w:sz w:val="21"/>
                      <w:szCs w:val="21"/>
                    </w:rPr>
                  </w:pPr>
                  <w:r>
                    <w:rPr>
                      <w:sz w:val="21"/>
                      <w:szCs w:val="21"/>
                    </w:rPr>
                    <w:t>0.302</w:t>
                  </w:r>
                </w:p>
              </w:tc>
              <w:tc>
                <w:tcPr>
                  <w:tcW w:w="324" w:type="pct"/>
                  <w:vAlign w:val="center"/>
                </w:tcPr>
                <w:p w14:paraId="3D2BC3E6">
                  <w:pPr>
                    <w:pStyle w:val="29"/>
                    <w:rPr>
                      <w:sz w:val="21"/>
                      <w:szCs w:val="21"/>
                    </w:rPr>
                  </w:pPr>
                  <w:r>
                    <w:rPr>
                      <w:sz w:val="21"/>
                      <w:szCs w:val="21"/>
                    </w:rPr>
                    <w:t>DA001</w:t>
                  </w:r>
                </w:p>
              </w:tc>
            </w:tr>
            <w:tr w14:paraId="76EA3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423" w:type="pct"/>
                  <w:vMerge w:val="restart"/>
                  <w:vAlign w:val="center"/>
                </w:tcPr>
                <w:p w14:paraId="52FC0F81">
                  <w:pPr>
                    <w:pStyle w:val="29"/>
                    <w:jc w:val="center"/>
                    <w:rPr>
                      <w:sz w:val="21"/>
                      <w:szCs w:val="21"/>
                    </w:rPr>
                  </w:pPr>
                  <w:r>
                    <w:rPr>
                      <w:sz w:val="21"/>
                      <w:szCs w:val="21"/>
                    </w:rPr>
                    <w:t>锅炉</w:t>
                  </w:r>
                </w:p>
              </w:tc>
              <w:tc>
                <w:tcPr>
                  <w:tcW w:w="235" w:type="pct"/>
                  <w:shd w:val="clear" w:color="auto" w:fill="auto"/>
                  <w:vAlign w:val="center"/>
                </w:tcPr>
                <w:p w14:paraId="2AEB9D5C">
                  <w:pPr>
                    <w:pStyle w:val="46"/>
                    <w:framePr w:hSpace="0" w:wrap="auto" w:vAnchor="margin" w:hAnchor="text" w:xAlign="left" w:yAlign="inline"/>
                    <w:jc w:val="center"/>
                    <w:rPr>
                      <w:rFonts w:cs="Times New Roman"/>
                      <w:sz w:val="21"/>
                      <w:lang w:val="en-US"/>
                    </w:rPr>
                  </w:pPr>
                  <w:r>
                    <w:rPr>
                      <w:rFonts w:cs="Times New Roman"/>
                      <w:sz w:val="21"/>
                      <w:lang w:val="en-US"/>
                    </w:rPr>
                    <w:t>颗粒物</w:t>
                  </w:r>
                </w:p>
              </w:tc>
              <w:tc>
                <w:tcPr>
                  <w:tcW w:w="329" w:type="pct"/>
                  <w:shd w:val="clear" w:color="auto" w:fill="auto"/>
                  <w:vAlign w:val="center"/>
                </w:tcPr>
                <w:p w14:paraId="2C008F91">
                  <w:pPr>
                    <w:widowControl/>
                    <w:adjustRightInd w:val="0"/>
                    <w:snapToGrid w:val="0"/>
                    <w:spacing w:line="240" w:lineRule="auto"/>
                    <w:jc w:val="center"/>
                    <w:rPr>
                      <w:sz w:val="21"/>
                      <w:szCs w:val="21"/>
                    </w:rPr>
                  </w:pPr>
                  <w:r>
                    <w:rPr>
                      <w:sz w:val="21"/>
                      <w:szCs w:val="21"/>
                    </w:rPr>
                    <w:t>0.046</w:t>
                  </w:r>
                </w:p>
              </w:tc>
              <w:tc>
                <w:tcPr>
                  <w:tcW w:w="329" w:type="pct"/>
                  <w:shd w:val="clear" w:color="auto" w:fill="auto"/>
                  <w:vAlign w:val="center"/>
                </w:tcPr>
                <w:p w14:paraId="2C90698C">
                  <w:pPr>
                    <w:widowControl/>
                    <w:adjustRightInd w:val="0"/>
                    <w:snapToGrid w:val="0"/>
                    <w:spacing w:line="240" w:lineRule="auto"/>
                    <w:jc w:val="center"/>
                    <w:rPr>
                      <w:sz w:val="21"/>
                      <w:szCs w:val="21"/>
                    </w:rPr>
                  </w:pPr>
                  <w:r>
                    <w:rPr>
                      <w:sz w:val="21"/>
                      <w:szCs w:val="21"/>
                    </w:rPr>
                    <w:t>0.0138</w:t>
                  </w:r>
                </w:p>
              </w:tc>
              <w:tc>
                <w:tcPr>
                  <w:tcW w:w="410" w:type="pct"/>
                  <w:vAlign w:val="center"/>
                </w:tcPr>
                <w:p w14:paraId="3B2DD85B">
                  <w:pPr>
                    <w:widowControl/>
                    <w:adjustRightInd w:val="0"/>
                    <w:snapToGrid w:val="0"/>
                    <w:spacing w:line="240" w:lineRule="auto"/>
                    <w:jc w:val="center"/>
                    <w:rPr>
                      <w:sz w:val="21"/>
                      <w:szCs w:val="21"/>
                    </w:rPr>
                  </w:pPr>
                  <w:r>
                    <w:rPr>
                      <w:sz w:val="21"/>
                      <w:szCs w:val="21"/>
                    </w:rPr>
                    <w:t>9.64</w:t>
                  </w:r>
                </w:p>
              </w:tc>
              <w:tc>
                <w:tcPr>
                  <w:tcW w:w="214" w:type="pct"/>
                  <w:vMerge w:val="restart"/>
                  <w:vAlign w:val="center"/>
                </w:tcPr>
                <w:p w14:paraId="68D1F33F">
                  <w:pPr>
                    <w:pStyle w:val="29"/>
                    <w:jc w:val="center"/>
                    <w:rPr>
                      <w:sz w:val="21"/>
                      <w:szCs w:val="21"/>
                    </w:rPr>
                  </w:pPr>
                  <w:r>
                    <w:rPr>
                      <w:sz w:val="21"/>
                      <w:szCs w:val="21"/>
                    </w:rPr>
                    <w:t>有组织</w:t>
                  </w:r>
                </w:p>
              </w:tc>
              <w:tc>
                <w:tcPr>
                  <w:tcW w:w="487" w:type="pct"/>
                  <w:vMerge w:val="restart"/>
                  <w:vAlign w:val="center"/>
                </w:tcPr>
                <w:p w14:paraId="596DB012">
                  <w:pPr>
                    <w:pStyle w:val="29"/>
                    <w:jc w:val="center"/>
                    <w:rPr>
                      <w:sz w:val="21"/>
                      <w:szCs w:val="21"/>
                    </w:rPr>
                  </w:pPr>
                  <w:r>
                    <w:rPr>
                      <w:sz w:val="21"/>
                      <w:szCs w:val="21"/>
                    </w:rPr>
                    <w:t>低氮燃烧+15m排气筒</w:t>
                  </w:r>
                </w:p>
              </w:tc>
              <w:tc>
                <w:tcPr>
                  <w:tcW w:w="222" w:type="pct"/>
                  <w:vMerge w:val="restart"/>
                  <w:vAlign w:val="center"/>
                </w:tcPr>
                <w:p w14:paraId="600889DD">
                  <w:pPr>
                    <w:pStyle w:val="29"/>
                    <w:jc w:val="center"/>
                    <w:rPr>
                      <w:sz w:val="21"/>
                      <w:szCs w:val="21"/>
                    </w:rPr>
                  </w:pPr>
                  <w:r>
                    <w:rPr>
                      <w:sz w:val="21"/>
                      <w:szCs w:val="21"/>
                    </w:rPr>
                    <w:t>/</w:t>
                  </w:r>
                </w:p>
              </w:tc>
              <w:tc>
                <w:tcPr>
                  <w:tcW w:w="222" w:type="pct"/>
                  <w:vMerge w:val="restart"/>
                  <w:vAlign w:val="center"/>
                </w:tcPr>
                <w:p w14:paraId="429DCFA2">
                  <w:pPr>
                    <w:pStyle w:val="29"/>
                    <w:jc w:val="center"/>
                    <w:rPr>
                      <w:sz w:val="21"/>
                      <w:szCs w:val="21"/>
                    </w:rPr>
                  </w:pPr>
                  <w:r>
                    <w:rPr>
                      <w:sz w:val="21"/>
                      <w:szCs w:val="21"/>
                    </w:rPr>
                    <w:t>/</w:t>
                  </w:r>
                </w:p>
              </w:tc>
              <w:tc>
                <w:tcPr>
                  <w:tcW w:w="278" w:type="pct"/>
                  <w:vMerge w:val="restart"/>
                  <w:vAlign w:val="center"/>
                </w:tcPr>
                <w:p w14:paraId="3B33465B">
                  <w:pPr>
                    <w:pStyle w:val="29"/>
                    <w:jc w:val="center"/>
                    <w:rPr>
                      <w:sz w:val="21"/>
                      <w:szCs w:val="21"/>
                    </w:rPr>
                  </w:pPr>
                  <w:r>
                    <w:rPr>
                      <w:sz w:val="21"/>
                      <w:szCs w:val="21"/>
                    </w:rPr>
                    <w:t>是</w:t>
                  </w:r>
                </w:p>
              </w:tc>
              <w:tc>
                <w:tcPr>
                  <w:tcW w:w="327" w:type="pct"/>
                  <w:vMerge w:val="restart"/>
                  <w:vAlign w:val="center"/>
                </w:tcPr>
                <w:p w14:paraId="391ED5FE">
                  <w:pPr>
                    <w:pStyle w:val="29"/>
                    <w:jc w:val="center"/>
                    <w:rPr>
                      <w:sz w:val="21"/>
                      <w:szCs w:val="21"/>
                    </w:rPr>
                  </w:pPr>
                  <w:r>
                    <w:rPr>
                      <w:sz w:val="21"/>
                      <w:szCs w:val="21"/>
                    </w:rPr>
                    <w:t>1616.29</w:t>
                  </w:r>
                </w:p>
              </w:tc>
              <w:tc>
                <w:tcPr>
                  <w:tcW w:w="389" w:type="pct"/>
                  <w:vAlign w:val="center"/>
                </w:tcPr>
                <w:p w14:paraId="6F044F4E">
                  <w:pPr>
                    <w:widowControl/>
                    <w:adjustRightInd w:val="0"/>
                    <w:snapToGrid w:val="0"/>
                    <w:spacing w:line="240" w:lineRule="auto"/>
                    <w:jc w:val="center"/>
                    <w:rPr>
                      <w:sz w:val="21"/>
                      <w:szCs w:val="21"/>
                    </w:rPr>
                  </w:pPr>
                  <w:r>
                    <w:rPr>
                      <w:sz w:val="21"/>
                      <w:szCs w:val="21"/>
                    </w:rPr>
                    <w:t>0.046</w:t>
                  </w:r>
                </w:p>
              </w:tc>
              <w:tc>
                <w:tcPr>
                  <w:tcW w:w="413" w:type="pct"/>
                  <w:vAlign w:val="center"/>
                </w:tcPr>
                <w:p w14:paraId="136361F8">
                  <w:pPr>
                    <w:widowControl/>
                    <w:adjustRightInd w:val="0"/>
                    <w:snapToGrid w:val="0"/>
                    <w:spacing w:line="240" w:lineRule="auto"/>
                    <w:jc w:val="center"/>
                    <w:rPr>
                      <w:sz w:val="21"/>
                      <w:szCs w:val="21"/>
                    </w:rPr>
                  </w:pPr>
                  <w:r>
                    <w:rPr>
                      <w:sz w:val="21"/>
                      <w:szCs w:val="21"/>
                    </w:rPr>
                    <w:t>0.0138</w:t>
                  </w:r>
                </w:p>
              </w:tc>
              <w:tc>
                <w:tcPr>
                  <w:tcW w:w="391" w:type="pct"/>
                  <w:vAlign w:val="center"/>
                </w:tcPr>
                <w:p w14:paraId="66B219AB">
                  <w:pPr>
                    <w:widowControl/>
                    <w:adjustRightInd w:val="0"/>
                    <w:snapToGrid w:val="0"/>
                    <w:spacing w:line="240" w:lineRule="auto"/>
                    <w:jc w:val="center"/>
                    <w:rPr>
                      <w:sz w:val="21"/>
                      <w:szCs w:val="21"/>
                    </w:rPr>
                  </w:pPr>
                  <w:r>
                    <w:rPr>
                      <w:sz w:val="21"/>
                      <w:szCs w:val="21"/>
                    </w:rPr>
                    <w:t>9.64</w:t>
                  </w:r>
                </w:p>
              </w:tc>
              <w:tc>
                <w:tcPr>
                  <w:tcW w:w="324" w:type="pct"/>
                  <w:vMerge w:val="restart"/>
                  <w:vAlign w:val="center"/>
                </w:tcPr>
                <w:p w14:paraId="598FA643">
                  <w:pPr>
                    <w:pStyle w:val="29"/>
                    <w:rPr>
                      <w:sz w:val="21"/>
                      <w:szCs w:val="21"/>
                    </w:rPr>
                  </w:pPr>
                  <w:r>
                    <w:rPr>
                      <w:sz w:val="21"/>
                      <w:szCs w:val="21"/>
                    </w:rPr>
                    <w:t>DA002</w:t>
                  </w:r>
                </w:p>
              </w:tc>
            </w:tr>
            <w:tr w14:paraId="1CDF61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423" w:type="pct"/>
                  <w:vMerge w:val="continue"/>
                  <w:vAlign w:val="center"/>
                </w:tcPr>
                <w:p w14:paraId="132C0E06">
                  <w:pPr>
                    <w:pStyle w:val="29"/>
                    <w:jc w:val="center"/>
                    <w:rPr>
                      <w:sz w:val="21"/>
                      <w:szCs w:val="21"/>
                    </w:rPr>
                  </w:pPr>
                </w:p>
              </w:tc>
              <w:tc>
                <w:tcPr>
                  <w:tcW w:w="235" w:type="pct"/>
                  <w:shd w:val="clear" w:color="auto" w:fill="auto"/>
                  <w:vAlign w:val="center"/>
                </w:tcPr>
                <w:p w14:paraId="1C22A578">
                  <w:pPr>
                    <w:pStyle w:val="46"/>
                    <w:framePr w:hSpace="0" w:wrap="auto" w:vAnchor="margin" w:hAnchor="text" w:xAlign="left" w:yAlign="inline"/>
                    <w:jc w:val="center"/>
                    <w:rPr>
                      <w:rFonts w:cs="Times New Roman"/>
                      <w:sz w:val="21"/>
                      <w:lang w:val="en-US"/>
                    </w:rPr>
                  </w:pPr>
                  <w:r>
                    <w:rPr>
                      <w:rFonts w:cs="Times New Roman"/>
                      <w:sz w:val="21"/>
                      <w:lang w:val="en-US"/>
                    </w:rPr>
                    <w:t>SO</w:t>
                  </w:r>
                  <w:r>
                    <w:rPr>
                      <w:rFonts w:cs="Times New Roman"/>
                      <w:sz w:val="21"/>
                      <w:vertAlign w:val="subscript"/>
                      <w:lang w:val="en-US"/>
                    </w:rPr>
                    <w:t>2</w:t>
                  </w:r>
                </w:p>
              </w:tc>
              <w:tc>
                <w:tcPr>
                  <w:tcW w:w="329" w:type="pct"/>
                  <w:shd w:val="clear" w:color="auto" w:fill="auto"/>
                  <w:vAlign w:val="center"/>
                </w:tcPr>
                <w:p w14:paraId="7832A34A">
                  <w:pPr>
                    <w:widowControl/>
                    <w:adjustRightInd w:val="0"/>
                    <w:snapToGrid w:val="0"/>
                    <w:spacing w:line="240" w:lineRule="auto"/>
                    <w:jc w:val="center"/>
                    <w:rPr>
                      <w:sz w:val="21"/>
                      <w:szCs w:val="21"/>
                    </w:rPr>
                  </w:pPr>
                  <w:r>
                    <w:rPr>
                      <w:sz w:val="21"/>
                      <w:szCs w:val="21"/>
                    </w:rPr>
                    <w:t>0.09</w:t>
                  </w:r>
                </w:p>
              </w:tc>
              <w:tc>
                <w:tcPr>
                  <w:tcW w:w="329" w:type="pct"/>
                  <w:shd w:val="clear" w:color="auto" w:fill="auto"/>
                  <w:vAlign w:val="center"/>
                </w:tcPr>
                <w:p w14:paraId="49AF3EA6">
                  <w:pPr>
                    <w:widowControl/>
                    <w:adjustRightInd w:val="0"/>
                    <w:snapToGrid w:val="0"/>
                    <w:spacing w:line="240" w:lineRule="auto"/>
                    <w:jc w:val="center"/>
                    <w:rPr>
                      <w:sz w:val="21"/>
                      <w:szCs w:val="21"/>
                    </w:rPr>
                  </w:pPr>
                  <w:r>
                    <w:rPr>
                      <w:sz w:val="21"/>
                      <w:szCs w:val="21"/>
                    </w:rPr>
                    <w:t>0.026</w:t>
                  </w:r>
                </w:p>
              </w:tc>
              <w:tc>
                <w:tcPr>
                  <w:tcW w:w="410" w:type="pct"/>
                  <w:vAlign w:val="center"/>
                </w:tcPr>
                <w:p w14:paraId="63034E61">
                  <w:pPr>
                    <w:widowControl/>
                    <w:adjustRightInd w:val="0"/>
                    <w:snapToGrid w:val="0"/>
                    <w:spacing w:line="240" w:lineRule="auto"/>
                    <w:jc w:val="center"/>
                    <w:rPr>
                      <w:sz w:val="21"/>
                      <w:szCs w:val="21"/>
                    </w:rPr>
                  </w:pPr>
                  <w:r>
                    <w:rPr>
                      <w:sz w:val="21"/>
                      <w:szCs w:val="21"/>
                    </w:rPr>
                    <w:t>18.56</w:t>
                  </w:r>
                </w:p>
              </w:tc>
              <w:tc>
                <w:tcPr>
                  <w:tcW w:w="214" w:type="pct"/>
                  <w:vMerge w:val="continue"/>
                  <w:vAlign w:val="center"/>
                </w:tcPr>
                <w:p w14:paraId="10E2C48B">
                  <w:pPr>
                    <w:pStyle w:val="29"/>
                    <w:jc w:val="center"/>
                    <w:rPr>
                      <w:sz w:val="21"/>
                      <w:szCs w:val="21"/>
                    </w:rPr>
                  </w:pPr>
                </w:p>
              </w:tc>
              <w:tc>
                <w:tcPr>
                  <w:tcW w:w="487" w:type="pct"/>
                  <w:vMerge w:val="continue"/>
                  <w:vAlign w:val="center"/>
                </w:tcPr>
                <w:p w14:paraId="669AD226">
                  <w:pPr>
                    <w:pStyle w:val="29"/>
                    <w:jc w:val="center"/>
                    <w:rPr>
                      <w:sz w:val="21"/>
                      <w:szCs w:val="21"/>
                    </w:rPr>
                  </w:pPr>
                </w:p>
              </w:tc>
              <w:tc>
                <w:tcPr>
                  <w:tcW w:w="222" w:type="pct"/>
                  <w:vMerge w:val="continue"/>
                  <w:vAlign w:val="center"/>
                </w:tcPr>
                <w:p w14:paraId="5C7CEAD9">
                  <w:pPr>
                    <w:pStyle w:val="29"/>
                    <w:jc w:val="center"/>
                    <w:rPr>
                      <w:sz w:val="21"/>
                      <w:szCs w:val="21"/>
                    </w:rPr>
                  </w:pPr>
                </w:p>
              </w:tc>
              <w:tc>
                <w:tcPr>
                  <w:tcW w:w="222" w:type="pct"/>
                  <w:vMerge w:val="continue"/>
                  <w:vAlign w:val="center"/>
                </w:tcPr>
                <w:p w14:paraId="3F4A6804">
                  <w:pPr>
                    <w:pStyle w:val="29"/>
                    <w:jc w:val="center"/>
                    <w:rPr>
                      <w:sz w:val="21"/>
                      <w:szCs w:val="21"/>
                    </w:rPr>
                  </w:pPr>
                </w:p>
              </w:tc>
              <w:tc>
                <w:tcPr>
                  <w:tcW w:w="278" w:type="pct"/>
                  <w:vMerge w:val="continue"/>
                  <w:vAlign w:val="center"/>
                </w:tcPr>
                <w:p w14:paraId="24852B7C">
                  <w:pPr>
                    <w:pStyle w:val="29"/>
                    <w:jc w:val="center"/>
                    <w:rPr>
                      <w:sz w:val="21"/>
                      <w:szCs w:val="21"/>
                    </w:rPr>
                  </w:pPr>
                </w:p>
              </w:tc>
              <w:tc>
                <w:tcPr>
                  <w:tcW w:w="327" w:type="pct"/>
                  <w:vMerge w:val="continue"/>
                  <w:vAlign w:val="center"/>
                </w:tcPr>
                <w:p w14:paraId="23E1F935">
                  <w:pPr>
                    <w:pStyle w:val="29"/>
                    <w:jc w:val="center"/>
                    <w:rPr>
                      <w:sz w:val="21"/>
                      <w:szCs w:val="21"/>
                    </w:rPr>
                  </w:pPr>
                </w:p>
              </w:tc>
              <w:tc>
                <w:tcPr>
                  <w:tcW w:w="389" w:type="pct"/>
                  <w:vAlign w:val="center"/>
                </w:tcPr>
                <w:p w14:paraId="2F2232D5">
                  <w:pPr>
                    <w:widowControl/>
                    <w:adjustRightInd w:val="0"/>
                    <w:snapToGrid w:val="0"/>
                    <w:spacing w:line="240" w:lineRule="auto"/>
                    <w:jc w:val="center"/>
                    <w:rPr>
                      <w:sz w:val="21"/>
                      <w:szCs w:val="21"/>
                    </w:rPr>
                  </w:pPr>
                  <w:r>
                    <w:rPr>
                      <w:sz w:val="21"/>
                      <w:szCs w:val="21"/>
                    </w:rPr>
                    <w:t>0.09</w:t>
                  </w:r>
                </w:p>
              </w:tc>
              <w:tc>
                <w:tcPr>
                  <w:tcW w:w="413" w:type="pct"/>
                  <w:vAlign w:val="center"/>
                </w:tcPr>
                <w:p w14:paraId="4E04E148">
                  <w:pPr>
                    <w:widowControl/>
                    <w:adjustRightInd w:val="0"/>
                    <w:snapToGrid w:val="0"/>
                    <w:spacing w:line="240" w:lineRule="auto"/>
                    <w:jc w:val="center"/>
                    <w:rPr>
                      <w:sz w:val="21"/>
                      <w:szCs w:val="21"/>
                    </w:rPr>
                  </w:pPr>
                  <w:r>
                    <w:rPr>
                      <w:sz w:val="21"/>
                      <w:szCs w:val="21"/>
                    </w:rPr>
                    <w:t>0.026</w:t>
                  </w:r>
                </w:p>
              </w:tc>
              <w:tc>
                <w:tcPr>
                  <w:tcW w:w="391" w:type="pct"/>
                  <w:vAlign w:val="center"/>
                </w:tcPr>
                <w:p w14:paraId="2C436112">
                  <w:pPr>
                    <w:widowControl/>
                    <w:adjustRightInd w:val="0"/>
                    <w:snapToGrid w:val="0"/>
                    <w:spacing w:line="240" w:lineRule="auto"/>
                    <w:jc w:val="center"/>
                    <w:rPr>
                      <w:sz w:val="21"/>
                      <w:szCs w:val="21"/>
                    </w:rPr>
                  </w:pPr>
                  <w:r>
                    <w:rPr>
                      <w:sz w:val="21"/>
                      <w:szCs w:val="21"/>
                    </w:rPr>
                    <w:t>18.56</w:t>
                  </w:r>
                </w:p>
              </w:tc>
              <w:tc>
                <w:tcPr>
                  <w:tcW w:w="324" w:type="pct"/>
                  <w:vMerge w:val="continue"/>
                  <w:vAlign w:val="center"/>
                </w:tcPr>
                <w:p w14:paraId="2FEFC82E">
                  <w:pPr>
                    <w:pStyle w:val="29"/>
                    <w:rPr>
                      <w:sz w:val="21"/>
                      <w:szCs w:val="21"/>
                    </w:rPr>
                  </w:pPr>
                </w:p>
              </w:tc>
            </w:tr>
            <w:tr w14:paraId="148DA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trPr>
              <w:tc>
                <w:tcPr>
                  <w:tcW w:w="423" w:type="pct"/>
                  <w:vMerge w:val="continue"/>
                  <w:vAlign w:val="center"/>
                </w:tcPr>
                <w:p w14:paraId="40BEA8C9">
                  <w:pPr>
                    <w:pStyle w:val="29"/>
                    <w:jc w:val="center"/>
                    <w:rPr>
                      <w:sz w:val="21"/>
                      <w:szCs w:val="21"/>
                    </w:rPr>
                  </w:pPr>
                </w:p>
              </w:tc>
              <w:tc>
                <w:tcPr>
                  <w:tcW w:w="235" w:type="pct"/>
                  <w:shd w:val="clear" w:color="auto" w:fill="auto"/>
                  <w:vAlign w:val="center"/>
                </w:tcPr>
                <w:p w14:paraId="6D5DEF3F">
                  <w:pPr>
                    <w:pStyle w:val="46"/>
                    <w:framePr w:hSpace="0" w:wrap="auto" w:vAnchor="margin" w:hAnchor="text" w:xAlign="left" w:yAlign="inline"/>
                    <w:jc w:val="center"/>
                    <w:rPr>
                      <w:rFonts w:cs="Times New Roman"/>
                      <w:sz w:val="21"/>
                      <w:lang w:val="en-US"/>
                    </w:rPr>
                  </w:pPr>
                  <w:r>
                    <w:rPr>
                      <w:rFonts w:cs="Times New Roman"/>
                      <w:sz w:val="21"/>
                      <w:lang w:val="en-US"/>
                    </w:rPr>
                    <w:t>NOx</w:t>
                  </w:r>
                </w:p>
              </w:tc>
              <w:tc>
                <w:tcPr>
                  <w:tcW w:w="329" w:type="pct"/>
                  <w:shd w:val="clear" w:color="auto" w:fill="auto"/>
                  <w:vAlign w:val="center"/>
                </w:tcPr>
                <w:p w14:paraId="47B047FC">
                  <w:pPr>
                    <w:widowControl/>
                    <w:adjustRightInd w:val="0"/>
                    <w:snapToGrid w:val="0"/>
                    <w:spacing w:line="240" w:lineRule="auto"/>
                    <w:jc w:val="center"/>
                    <w:rPr>
                      <w:sz w:val="21"/>
                      <w:szCs w:val="21"/>
                    </w:rPr>
                  </w:pPr>
                  <w:r>
                    <w:rPr>
                      <w:sz w:val="21"/>
                      <w:szCs w:val="21"/>
                    </w:rPr>
                    <w:t>0.135</w:t>
                  </w:r>
                </w:p>
              </w:tc>
              <w:tc>
                <w:tcPr>
                  <w:tcW w:w="329" w:type="pct"/>
                  <w:shd w:val="clear" w:color="auto" w:fill="auto"/>
                  <w:vAlign w:val="center"/>
                </w:tcPr>
                <w:p w14:paraId="50C67160">
                  <w:pPr>
                    <w:widowControl/>
                    <w:adjustRightInd w:val="0"/>
                    <w:snapToGrid w:val="0"/>
                    <w:spacing w:line="240" w:lineRule="auto"/>
                    <w:jc w:val="center"/>
                    <w:rPr>
                      <w:sz w:val="21"/>
                      <w:szCs w:val="21"/>
                    </w:rPr>
                  </w:pPr>
                  <w:r>
                    <w:rPr>
                      <w:sz w:val="21"/>
                      <w:szCs w:val="21"/>
                    </w:rPr>
                    <w:t>0.04</w:t>
                  </w:r>
                </w:p>
              </w:tc>
              <w:tc>
                <w:tcPr>
                  <w:tcW w:w="410" w:type="pct"/>
                  <w:vAlign w:val="center"/>
                </w:tcPr>
                <w:p w14:paraId="67F8601E">
                  <w:pPr>
                    <w:widowControl/>
                    <w:adjustRightInd w:val="0"/>
                    <w:snapToGrid w:val="0"/>
                    <w:spacing w:line="240" w:lineRule="auto"/>
                    <w:jc w:val="center"/>
                    <w:rPr>
                      <w:sz w:val="21"/>
                      <w:szCs w:val="21"/>
                    </w:rPr>
                  </w:pPr>
                  <w:r>
                    <w:rPr>
                      <w:sz w:val="21"/>
                      <w:szCs w:val="21"/>
                    </w:rPr>
                    <w:t>27.84</w:t>
                  </w:r>
                </w:p>
              </w:tc>
              <w:tc>
                <w:tcPr>
                  <w:tcW w:w="214" w:type="pct"/>
                  <w:vMerge w:val="continue"/>
                  <w:vAlign w:val="center"/>
                </w:tcPr>
                <w:p w14:paraId="3E8C3C7C">
                  <w:pPr>
                    <w:pStyle w:val="29"/>
                    <w:jc w:val="center"/>
                    <w:rPr>
                      <w:sz w:val="21"/>
                      <w:szCs w:val="21"/>
                    </w:rPr>
                  </w:pPr>
                </w:p>
              </w:tc>
              <w:tc>
                <w:tcPr>
                  <w:tcW w:w="487" w:type="pct"/>
                  <w:vMerge w:val="continue"/>
                  <w:vAlign w:val="center"/>
                </w:tcPr>
                <w:p w14:paraId="24F935DE">
                  <w:pPr>
                    <w:pStyle w:val="29"/>
                    <w:jc w:val="center"/>
                    <w:rPr>
                      <w:sz w:val="21"/>
                      <w:szCs w:val="21"/>
                    </w:rPr>
                  </w:pPr>
                </w:p>
              </w:tc>
              <w:tc>
                <w:tcPr>
                  <w:tcW w:w="222" w:type="pct"/>
                  <w:vMerge w:val="continue"/>
                  <w:vAlign w:val="center"/>
                </w:tcPr>
                <w:p w14:paraId="079450CE">
                  <w:pPr>
                    <w:pStyle w:val="29"/>
                    <w:jc w:val="center"/>
                    <w:rPr>
                      <w:sz w:val="21"/>
                      <w:szCs w:val="21"/>
                    </w:rPr>
                  </w:pPr>
                </w:p>
              </w:tc>
              <w:tc>
                <w:tcPr>
                  <w:tcW w:w="222" w:type="pct"/>
                  <w:vMerge w:val="continue"/>
                  <w:vAlign w:val="center"/>
                </w:tcPr>
                <w:p w14:paraId="5FECA96E">
                  <w:pPr>
                    <w:pStyle w:val="29"/>
                    <w:jc w:val="center"/>
                    <w:rPr>
                      <w:sz w:val="21"/>
                      <w:szCs w:val="21"/>
                    </w:rPr>
                  </w:pPr>
                </w:p>
              </w:tc>
              <w:tc>
                <w:tcPr>
                  <w:tcW w:w="278" w:type="pct"/>
                  <w:vMerge w:val="continue"/>
                  <w:vAlign w:val="center"/>
                </w:tcPr>
                <w:p w14:paraId="152CBC74">
                  <w:pPr>
                    <w:pStyle w:val="29"/>
                    <w:jc w:val="center"/>
                    <w:rPr>
                      <w:sz w:val="21"/>
                      <w:szCs w:val="21"/>
                    </w:rPr>
                  </w:pPr>
                </w:p>
              </w:tc>
              <w:tc>
                <w:tcPr>
                  <w:tcW w:w="327" w:type="pct"/>
                  <w:vMerge w:val="continue"/>
                  <w:vAlign w:val="center"/>
                </w:tcPr>
                <w:p w14:paraId="7046594C">
                  <w:pPr>
                    <w:pStyle w:val="29"/>
                    <w:jc w:val="center"/>
                    <w:rPr>
                      <w:sz w:val="21"/>
                      <w:szCs w:val="21"/>
                    </w:rPr>
                  </w:pPr>
                </w:p>
              </w:tc>
              <w:tc>
                <w:tcPr>
                  <w:tcW w:w="389" w:type="pct"/>
                  <w:vAlign w:val="center"/>
                </w:tcPr>
                <w:p w14:paraId="55DCAA6D">
                  <w:pPr>
                    <w:widowControl/>
                    <w:adjustRightInd w:val="0"/>
                    <w:snapToGrid w:val="0"/>
                    <w:spacing w:line="240" w:lineRule="auto"/>
                    <w:jc w:val="center"/>
                    <w:rPr>
                      <w:sz w:val="21"/>
                      <w:szCs w:val="21"/>
                    </w:rPr>
                  </w:pPr>
                  <w:r>
                    <w:rPr>
                      <w:sz w:val="21"/>
                      <w:szCs w:val="21"/>
                    </w:rPr>
                    <w:t>0.135</w:t>
                  </w:r>
                </w:p>
              </w:tc>
              <w:tc>
                <w:tcPr>
                  <w:tcW w:w="413" w:type="pct"/>
                  <w:vAlign w:val="center"/>
                </w:tcPr>
                <w:p w14:paraId="0D82EE25">
                  <w:pPr>
                    <w:widowControl/>
                    <w:adjustRightInd w:val="0"/>
                    <w:snapToGrid w:val="0"/>
                    <w:spacing w:line="240" w:lineRule="auto"/>
                    <w:jc w:val="center"/>
                    <w:rPr>
                      <w:sz w:val="21"/>
                      <w:szCs w:val="21"/>
                    </w:rPr>
                  </w:pPr>
                  <w:r>
                    <w:rPr>
                      <w:sz w:val="21"/>
                      <w:szCs w:val="21"/>
                    </w:rPr>
                    <w:t>0.04</w:t>
                  </w:r>
                </w:p>
              </w:tc>
              <w:tc>
                <w:tcPr>
                  <w:tcW w:w="391" w:type="pct"/>
                  <w:vAlign w:val="center"/>
                </w:tcPr>
                <w:p w14:paraId="72F6AD0C">
                  <w:pPr>
                    <w:widowControl/>
                    <w:adjustRightInd w:val="0"/>
                    <w:snapToGrid w:val="0"/>
                    <w:spacing w:line="240" w:lineRule="auto"/>
                    <w:jc w:val="center"/>
                    <w:rPr>
                      <w:sz w:val="21"/>
                      <w:szCs w:val="21"/>
                    </w:rPr>
                  </w:pPr>
                  <w:r>
                    <w:rPr>
                      <w:sz w:val="21"/>
                      <w:szCs w:val="21"/>
                    </w:rPr>
                    <w:t>27.84</w:t>
                  </w:r>
                </w:p>
              </w:tc>
              <w:tc>
                <w:tcPr>
                  <w:tcW w:w="324" w:type="pct"/>
                  <w:vMerge w:val="continue"/>
                  <w:vAlign w:val="center"/>
                </w:tcPr>
                <w:p w14:paraId="7C599A9E">
                  <w:pPr>
                    <w:pStyle w:val="29"/>
                    <w:rPr>
                      <w:sz w:val="21"/>
                      <w:szCs w:val="21"/>
                    </w:rPr>
                  </w:pPr>
                </w:p>
              </w:tc>
            </w:tr>
          </w:tbl>
          <w:p w14:paraId="19BD56D9">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（2）废气治理设施</w:t>
            </w:r>
          </w:p>
          <w:p w14:paraId="0FB98393">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本项目各废气治理设施如下表所示。</w:t>
            </w:r>
          </w:p>
          <w:p w14:paraId="5AF94F7B">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表4-6 本项目各废气治理设施一览表</w:t>
            </w:r>
          </w:p>
          <w:tbl>
            <w:tblPr>
              <w:tblStyle w:val="21"/>
              <w:tblW w:w="4926" w:type="pct"/>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72"/>
              <w:gridCol w:w="985"/>
              <w:gridCol w:w="1267"/>
              <w:gridCol w:w="937"/>
              <w:gridCol w:w="1330"/>
              <w:gridCol w:w="1224"/>
              <w:gridCol w:w="1239"/>
            </w:tblGrid>
            <w:tr w14:paraId="13FFD247">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vMerge w:val="restart"/>
                  <w:tcBorders>
                    <w:top w:val="single" w:color="auto" w:sz="4" w:space="0"/>
                    <w:left w:val="single" w:color="auto" w:sz="0" w:space="0"/>
                    <w:bottom w:val="single" w:color="auto" w:sz="4" w:space="0"/>
                    <w:right w:val="single" w:color="auto" w:sz="4" w:space="0"/>
                  </w:tcBorders>
                  <w:vAlign w:val="center"/>
                </w:tcPr>
                <w:p w14:paraId="296AFA8D">
                  <w:pPr>
                    <w:pStyle w:val="29"/>
                    <w:rPr>
                      <w:b/>
                      <w:bCs/>
                      <w:sz w:val="21"/>
                      <w:szCs w:val="21"/>
                    </w:rPr>
                  </w:pPr>
                  <w:r>
                    <w:rPr>
                      <w:b/>
                      <w:bCs/>
                      <w:sz w:val="21"/>
                      <w:szCs w:val="21"/>
                    </w:rPr>
                    <w:t>序号</w:t>
                  </w:r>
                </w:p>
              </w:tc>
              <w:tc>
                <w:tcPr>
                  <w:tcW w:w="2247" w:type="dxa"/>
                  <w:gridSpan w:val="2"/>
                  <w:vMerge w:val="restart"/>
                  <w:tcBorders>
                    <w:top w:val="single" w:color="auto" w:sz="4" w:space="0"/>
                    <w:left w:val="single" w:color="auto" w:sz="4" w:space="0"/>
                    <w:bottom w:val="single" w:color="auto" w:sz="4" w:space="0"/>
                    <w:right w:val="single" w:color="auto" w:sz="4" w:space="0"/>
                  </w:tcBorders>
                  <w:vAlign w:val="center"/>
                </w:tcPr>
                <w:p w14:paraId="081AB709">
                  <w:pPr>
                    <w:pStyle w:val="29"/>
                    <w:rPr>
                      <w:b/>
                      <w:bCs/>
                      <w:sz w:val="21"/>
                      <w:szCs w:val="21"/>
                    </w:rPr>
                  </w:pPr>
                  <w:r>
                    <w:rPr>
                      <w:b/>
                      <w:bCs/>
                      <w:sz w:val="21"/>
                      <w:szCs w:val="21"/>
                    </w:rPr>
                    <w:t>产生环节</w:t>
                  </w:r>
                </w:p>
              </w:tc>
              <w:tc>
                <w:tcPr>
                  <w:tcW w:w="935" w:type="dxa"/>
                  <w:vMerge w:val="restart"/>
                  <w:tcBorders>
                    <w:top w:val="single" w:color="auto" w:sz="4" w:space="0"/>
                    <w:left w:val="single" w:color="auto" w:sz="4" w:space="0"/>
                    <w:bottom w:val="single" w:color="auto" w:sz="4" w:space="0"/>
                    <w:right w:val="single" w:color="auto" w:sz="4" w:space="0"/>
                  </w:tcBorders>
                  <w:vAlign w:val="center"/>
                </w:tcPr>
                <w:p w14:paraId="03EC9683">
                  <w:pPr>
                    <w:pStyle w:val="29"/>
                    <w:rPr>
                      <w:b/>
                      <w:bCs/>
                      <w:sz w:val="21"/>
                      <w:szCs w:val="21"/>
                    </w:rPr>
                  </w:pPr>
                  <w:r>
                    <w:rPr>
                      <w:b/>
                      <w:bCs/>
                      <w:sz w:val="21"/>
                      <w:szCs w:val="21"/>
                    </w:rPr>
                    <w:t>收集效率</w:t>
                  </w:r>
                </w:p>
              </w:tc>
              <w:tc>
                <w:tcPr>
                  <w:tcW w:w="2547" w:type="dxa"/>
                  <w:gridSpan w:val="2"/>
                  <w:tcBorders>
                    <w:top w:val="single" w:color="auto" w:sz="4" w:space="0"/>
                    <w:left w:val="single" w:color="auto" w:sz="4" w:space="0"/>
                    <w:bottom w:val="single" w:color="auto" w:sz="4" w:space="0"/>
                    <w:right w:val="single" w:color="auto" w:sz="4" w:space="0"/>
                  </w:tcBorders>
                  <w:vAlign w:val="center"/>
                </w:tcPr>
                <w:p w14:paraId="2656C295">
                  <w:pPr>
                    <w:pStyle w:val="29"/>
                    <w:rPr>
                      <w:b/>
                      <w:bCs/>
                      <w:sz w:val="21"/>
                      <w:szCs w:val="21"/>
                    </w:rPr>
                  </w:pPr>
                  <w:r>
                    <w:rPr>
                      <w:b/>
                      <w:bCs/>
                      <w:sz w:val="21"/>
                      <w:szCs w:val="21"/>
                    </w:rPr>
                    <w:t>治理措施</w:t>
                  </w:r>
                </w:p>
              </w:tc>
              <w:tc>
                <w:tcPr>
                  <w:tcW w:w="1235" w:type="dxa"/>
                  <w:vMerge w:val="restart"/>
                  <w:tcBorders>
                    <w:top w:val="single" w:color="auto" w:sz="4" w:space="0"/>
                    <w:left w:val="single" w:color="auto" w:sz="4" w:space="0"/>
                    <w:bottom w:val="single" w:color="auto" w:sz="4" w:space="0"/>
                    <w:right w:val="single" w:color="auto" w:sz="4" w:space="0"/>
                  </w:tcBorders>
                  <w:vAlign w:val="center"/>
                </w:tcPr>
                <w:p w14:paraId="6973A14C">
                  <w:pPr>
                    <w:pStyle w:val="29"/>
                    <w:rPr>
                      <w:b/>
                      <w:bCs/>
                      <w:sz w:val="21"/>
                      <w:szCs w:val="21"/>
                    </w:rPr>
                  </w:pPr>
                  <w:r>
                    <w:rPr>
                      <w:b/>
                      <w:bCs/>
                      <w:sz w:val="21"/>
                      <w:szCs w:val="21"/>
                    </w:rPr>
                    <w:t>是否为可行技术</w:t>
                  </w:r>
                </w:p>
              </w:tc>
            </w:tr>
            <w:tr w14:paraId="4A6CC36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vMerge w:val="continue"/>
                  <w:tcBorders>
                    <w:top w:val="single" w:color="auto" w:sz="4" w:space="0"/>
                    <w:left w:val="single" w:color="auto" w:sz="4" w:space="0"/>
                    <w:bottom w:val="single" w:color="auto" w:sz="4" w:space="0"/>
                    <w:right w:val="single" w:color="auto" w:sz="4" w:space="0"/>
                  </w:tcBorders>
                  <w:vAlign w:val="center"/>
                </w:tcPr>
                <w:p w14:paraId="5832B653">
                  <w:pPr>
                    <w:pStyle w:val="29"/>
                    <w:rPr>
                      <w:sz w:val="21"/>
                      <w:szCs w:val="21"/>
                    </w:rPr>
                  </w:pPr>
                </w:p>
              </w:tc>
              <w:tc>
                <w:tcPr>
                  <w:tcW w:w="2247" w:type="dxa"/>
                  <w:gridSpan w:val="2"/>
                  <w:vMerge w:val="continue"/>
                  <w:tcBorders>
                    <w:top w:val="single" w:color="auto" w:sz="4" w:space="0"/>
                    <w:left w:val="single" w:color="auto" w:sz="4" w:space="0"/>
                    <w:bottom w:val="single" w:color="auto" w:sz="4" w:space="0"/>
                    <w:right w:val="single" w:color="auto" w:sz="4" w:space="0"/>
                  </w:tcBorders>
                  <w:vAlign w:val="center"/>
                </w:tcPr>
                <w:p w14:paraId="2C896166">
                  <w:pPr>
                    <w:pStyle w:val="29"/>
                    <w:rPr>
                      <w:sz w:val="21"/>
                      <w:szCs w:val="21"/>
                    </w:rPr>
                  </w:pPr>
                </w:p>
              </w:tc>
              <w:tc>
                <w:tcPr>
                  <w:tcW w:w="935" w:type="dxa"/>
                  <w:vMerge w:val="continue"/>
                  <w:tcBorders>
                    <w:top w:val="single" w:color="auto" w:sz="4" w:space="0"/>
                    <w:left w:val="single" w:color="auto" w:sz="4" w:space="0"/>
                    <w:bottom w:val="single" w:color="auto" w:sz="4" w:space="0"/>
                    <w:right w:val="single" w:color="auto" w:sz="4" w:space="0"/>
                  </w:tcBorders>
                  <w:vAlign w:val="center"/>
                </w:tcPr>
                <w:p w14:paraId="2D6A5854">
                  <w:pPr>
                    <w:pStyle w:val="29"/>
                    <w:rPr>
                      <w:sz w:val="21"/>
                      <w:szCs w:val="21"/>
                    </w:rPr>
                  </w:pPr>
                </w:p>
              </w:tc>
              <w:tc>
                <w:tcPr>
                  <w:tcW w:w="1327" w:type="dxa"/>
                  <w:tcBorders>
                    <w:top w:val="single" w:color="auto" w:sz="4" w:space="0"/>
                    <w:left w:val="single" w:color="auto" w:sz="4" w:space="0"/>
                    <w:bottom w:val="single" w:color="auto" w:sz="4" w:space="0"/>
                    <w:right w:val="single" w:color="auto" w:sz="4" w:space="0"/>
                  </w:tcBorders>
                  <w:vAlign w:val="center"/>
                </w:tcPr>
                <w:p w14:paraId="63CB52EC">
                  <w:pPr>
                    <w:pStyle w:val="29"/>
                    <w:rPr>
                      <w:b/>
                      <w:bCs/>
                      <w:sz w:val="21"/>
                      <w:szCs w:val="21"/>
                    </w:rPr>
                  </w:pPr>
                  <w:r>
                    <w:rPr>
                      <w:b/>
                      <w:bCs/>
                      <w:sz w:val="21"/>
                      <w:szCs w:val="21"/>
                    </w:rPr>
                    <w:t>处理工艺</w:t>
                  </w:r>
                </w:p>
              </w:tc>
              <w:tc>
                <w:tcPr>
                  <w:tcW w:w="1220" w:type="dxa"/>
                  <w:tcBorders>
                    <w:top w:val="single" w:color="auto" w:sz="4" w:space="0"/>
                    <w:left w:val="single" w:color="auto" w:sz="4" w:space="0"/>
                    <w:bottom w:val="single" w:color="auto" w:sz="4" w:space="0"/>
                    <w:right w:val="single" w:color="auto" w:sz="4" w:space="0"/>
                  </w:tcBorders>
                  <w:vAlign w:val="center"/>
                </w:tcPr>
                <w:p w14:paraId="0A3921B9">
                  <w:pPr>
                    <w:pStyle w:val="29"/>
                    <w:rPr>
                      <w:b/>
                      <w:bCs/>
                      <w:sz w:val="21"/>
                      <w:szCs w:val="21"/>
                    </w:rPr>
                  </w:pPr>
                  <w:r>
                    <w:rPr>
                      <w:b/>
                      <w:bCs/>
                      <w:sz w:val="21"/>
                      <w:szCs w:val="21"/>
                    </w:rPr>
                    <w:t>处理效率</w:t>
                  </w:r>
                </w:p>
              </w:tc>
              <w:tc>
                <w:tcPr>
                  <w:tcW w:w="1235" w:type="dxa"/>
                  <w:vMerge w:val="continue"/>
                  <w:tcBorders>
                    <w:top w:val="single" w:color="auto" w:sz="4" w:space="0"/>
                    <w:left w:val="single" w:color="auto" w:sz="4" w:space="0"/>
                    <w:bottom w:val="single" w:color="auto" w:sz="4" w:space="0"/>
                    <w:right w:val="single" w:color="auto" w:sz="4" w:space="0"/>
                  </w:tcBorders>
                  <w:vAlign w:val="center"/>
                </w:tcPr>
                <w:p w14:paraId="4CCF5E98">
                  <w:pPr>
                    <w:pStyle w:val="29"/>
                    <w:rPr>
                      <w:sz w:val="21"/>
                      <w:szCs w:val="21"/>
                    </w:rPr>
                  </w:pPr>
                </w:p>
              </w:tc>
            </w:tr>
            <w:tr w14:paraId="5FD7A0C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tcBorders>
                    <w:top w:val="single" w:color="auto" w:sz="4" w:space="0"/>
                    <w:left w:val="single" w:color="auto" w:sz="4" w:space="0"/>
                    <w:bottom w:val="single" w:color="auto" w:sz="4" w:space="0"/>
                    <w:right w:val="single" w:color="auto" w:sz="4" w:space="0"/>
                  </w:tcBorders>
                  <w:vAlign w:val="center"/>
                </w:tcPr>
                <w:p w14:paraId="49908275">
                  <w:pPr>
                    <w:pStyle w:val="29"/>
                    <w:rPr>
                      <w:sz w:val="21"/>
                      <w:szCs w:val="21"/>
                    </w:rPr>
                  </w:pPr>
                  <w:r>
                    <w:rPr>
                      <w:sz w:val="21"/>
                      <w:szCs w:val="21"/>
                    </w:rPr>
                    <w:t>1</w:t>
                  </w:r>
                </w:p>
              </w:tc>
              <w:tc>
                <w:tcPr>
                  <w:tcW w:w="983" w:type="dxa"/>
                  <w:tcBorders>
                    <w:top w:val="single" w:color="auto" w:sz="4" w:space="0"/>
                    <w:left w:val="single" w:color="auto" w:sz="4" w:space="0"/>
                    <w:bottom w:val="single" w:color="auto" w:sz="4" w:space="0"/>
                    <w:right w:val="single" w:color="auto" w:sz="4" w:space="0"/>
                  </w:tcBorders>
                  <w:vAlign w:val="center"/>
                </w:tcPr>
                <w:p w14:paraId="47E9A602">
                  <w:pPr>
                    <w:pStyle w:val="29"/>
                    <w:rPr>
                      <w:sz w:val="21"/>
                      <w:szCs w:val="21"/>
                    </w:rPr>
                  </w:pPr>
                  <w:r>
                    <w:rPr>
                      <w:sz w:val="21"/>
                      <w:szCs w:val="21"/>
                    </w:rPr>
                    <w:t>制胶</w:t>
                  </w:r>
                </w:p>
              </w:tc>
              <w:tc>
                <w:tcPr>
                  <w:tcW w:w="1264" w:type="dxa"/>
                  <w:tcBorders>
                    <w:top w:val="single" w:color="auto" w:sz="4" w:space="0"/>
                    <w:left w:val="single" w:color="auto" w:sz="4" w:space="0"/>
                    <w:bottom w:val="single" w:color="auto" w:sz="4" w:space="0"/>
                    <w:right w:val="single" w:color="auto" w:sz="4" w:space="0"/>
                  </w:tcBorders>
                  <w:vAlign w:val="center"/>
                </w:tcPr>
                <w:p w14:paraId="69927CF5">
                  <w:pPr>
                    <w:pStyle w:val="29"/>
                    <w:rPr>
                      <w:sz w:val="21"/>
                      <w:szCs w:val="21"/>
                    </w:rPr>
                  </w:pPr>
                  <w:r>
                    <w:rPr>
                      <w:sz w:val="21"/>
                      <w:szCs w:val="21"/>
                    </w:rPr>
                    <w:t>投料粉尘</w:t>
                  </w:r>
                </w:p>
              </w:tc>
              <w:tc>
                <w:tcPr>
                  <w:tcW w:w="935" w:type="dxa"/>
                  <w:tcBorders>
                    <w:top w:val="single" w:color="auto" w:sz="4" w:space="0"/>
                    <w:left w:val="single" w:color="auto" w:sz="4" w:space="0"/>
                    <w:bottom w:val="single" w:color="auto" w:sz="4" w:space="0"/>
                    <w:right w:val="single" w:color="auto" w:sz="4" w:space="0"/>
                  </w:tcBorders>
                  <w:vAlign w:val="center"/>
                </w:tcPr>
                <w:p w14:paraId="33D0A1DD">
                  <w:pPr>
                    <w:pStyle w:val="29"/>
                    <w:rPr>
                      <w:sz w:val="21"/>
                      <w:szCs w:val="21"/>
                    </w:rPr>
                  </w:pPr>
                  <w:r>
                    <w:rPr>
                      <w:sz w:val="21"/>
                      <w:szCs w:val="21"/>
                    </w:rPr>
                    <w:t>/</w:t>
                  </w:r>
                </w:p>
              </w:tc>
              <w:tc>
                <w:tcPr>
                  <w:tcW w:w="1327" w:type="dxa"/>
                  <w:tcBorders>
                    <w:top w:val="single" w:color="auto" w:sz="4" w:space="0"/>
                    <w:left w:val="single" w:color="auto" w:sz="4" w:space="0"/>
                    <w:bottom w:val="single" w:color="auto" w:sz="4" w:space="0"/>
                    <w:right w:val="single" w:color="auto" w:sz="4" w:space="0"/>
                  </w:tcBorders>
                  <w:vAlign w:val="center"/>
                </w:tcPr>
                <w:p w14:paraId="65DE7379">
                  <w:pPr>
                    <w:pStyle w:val="29"/>
                    <w:rPr>
                      <w:sz w:val="21"/>
                      <w:szCs w:val="21"/>
                    </w:rPr>
                  </w:pPr>
                  <w:r>
                    <w:rPr>
                      <w:sz w:val="21"/>
                      <w:szCs w:val="21"/>
                    </w:rPr>
                    <w:t>封闭车间投料</w:t>
                  </w:r>
                </w:p>
              </w:tc>
              <w:tc>
                <w:tcPr>
                  <w:tcW w:w="1220" w:type="dxa"/>
                  <w:tcBorders>
                    <w:top w:val="single" w:color="auto" w:sz="4" w:space="0"/>
                    <w:left w:val="single" w:color="auto" w:sz="4" w:space="0"/>
                    <w:bottom w:val="single" w:color="auto" w:sz="4" w:space="0"/>
                    <w:right w:val="single" w:color="auto" w:sz="4" w:space="0"/>
                  </w:tcBorders>
                  <w:vAlign w:val="center"/>
                </w:tcPr>
                <w:p w14:paraId="2200E125">
                  <w:pPr>
                    <w:pStyle w:val="29"/>
                    <w:rPr>
                      <w:sz w:val="21"/>
                      <w:szCs w:val="21"/>
                    </w:rPr>
                  </w:pPr>
                  <w:r>
                    <w:rPr>
                      <w:sz w:val="21"/>
                      <w:szCs w:val="21"/>
                    </w:rPr>
                    <w:t>/</w:t>
                  </w:r>
                </w:p>
              </w:tc>
              <w:tc>
                <w:tcPr>
                  <w:tcW w:w="1235" w:type="dxa"/>
                  <w:tcBorders>
                    <w:top w:val="single" w:color="auto" w:sz="4" w:space="0"/>
                    <w:left w:val="single" w:color="auto" w:sz="4" w:space="0"/>
                    <w:bottom w:val="single" w:color="auto" w:sz="4" w:space="0"/>
                    <w:right w:val="single" w:color="auto" w:sz="4" w:space="0"/>
                  </w:tcBorders>
                  <w:vAlign w:val="center"/>
                </w:tcPr>
                <w:p w14:paraId="16CA0968">
                  <w:pPr>
                    <w:pStyle w:val="29"/>
                    <w:rPr>
                      <w:sz w:val="21"/>
                      <w:szCs w:val="21"/>
                    </w:rPr>
                  </w:pPr>
                  <w:r>
                    <w:rPr>
                      <w:sz w:val="21"/>
                      <w:szCs w:val="21"/>
                    </w:rPr>
                    <w:t>/</w:t>
                  </w:r>
                </w:p>
              </w:tc>
            </w:tr>
            <w:tr w14:paraId="0936A413">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tcBorders>
                    <w:top w:val="single" w:color="auto" w:sz="4" w:space="0"/>
                    <w:left w:val="single" w:color="auto" w:sz="4" w:space="0"/>
                    <w:bottom w:val="single" w:color="auto" w:sz="4" w:space="0"/>
                    <w:right w:val="single" w:color="auto" w:sz="4" w:space="0"/>
                  </w:tcBorders>
                  <w:vAlign w:val="center"/>
                </w:tcPr>
                <w:p w14:paraId="6E3F4BB4">
                  <w:pPr>
                    <w:pStyle w:val="29"/>
                    <w:rPr>
                      <w:sz w:val="21"/>
                      <w:szCs w:val="21"/>
                    </w:rPr>
                  </w:pPr>
                  <w:r>
                    <w:rPr>
                      <w:sz w:val="21"/>
                      <w:szCs w:val="21"/>
                    </w:rPr>
                    <w:t>2</w:t>
                  </w:r>
                </w:p>
              </w:tc>
              <w:tc>
                <w:tcPr>
                  <w:tcW w:w="983" w:type="dxa"/>
                  <w:tcBorders>
                    <w:top w:val="single" w:color="auto" w:sz="4" w:space="0"/>
                    <w:left w:val="single" w:color="auto" w:sz="4" w:space="0"/>
                    <w:bottom w:val="single" w:color="auto" w:sz="4" w:space="0"/>
                    <w:right w:val="single" w:color="auto" w:sz="4" w:space="0"/>
                  </w:tcBorders>
                  <w:vAlign w:val="center"/>
                </w:tcPr>
                <w:p w14:paraId="0D4823B1">
                  <w:pPr>
                    <w:pStyle w:val="29"/>
                    <w:rPr>
                      <w:sz w:val="21"/>
                      <w:szCs w:val="21"/>
                    </w:rPr>
                  </w:pPr>
                  <w:r>
                    <w:rPr>
                      <w:sz w:val="21"/>
                      <w:szCs w:val="21"/>
                    </w:rPr>
                    <w:t>印刷</w:t>
                  </w:r>
                </w:p>
              </w:tc>
              <w:tc>
                <w:tcPr>
                  <w:tcW w:w="1264" w:type="dxa"/>
                  <w:tcBorders>
                    <w:top w:val="single" w:color="auto" w:sz="4" w:space="0"/>
                    <w:left w:val="single" w:color="auto" w:sz="4" w:space="0"/>
                    <w:bottom w:val="single" w:color="auto" w:sz="4" w:space="0"/>
                    <w:right w:val="single" w:color="auto" w:sz="4" w:space="0"/>
                  </w:tcBorders>
                  <w:vAlign w:val="center"/>
                </w:tcPr>
                <w:p w14:paraId="238DF4F9">
                  <w:pPr>
                    <w:pStyle w:val="29"/>
                    <w:rPr>
                      <w:sz w:val="21"/>
                      <w:szCs w:val="21"/>
                    </w:rPr>
                  </w:pPr>
                  <w:r>
                    <w:rPr>
                      <w:sz w:val="21"/>
                      <w:szCs w:val="21"/>
                    </w:rPr>
                    <w:t>印刷废气</w:t>
                  </w:r>
                </w:p>
              </w:tc>
              <w:tc>
                <w:tcPr>
                  <w:tcW w:w="935" w:type="dxa"/>
                  <w:tcBorders>
                    <w:top w:val="single" w:color="auto" w:sz="4" w:space="0"/>
                    <w:left w:val="single" w:color="auto" w:sz="4" w:space="0"/>
                    <w:bottom w:val="single" w:color="auto" w:sz="4" w:space="0"/>
                    <w:right w:val="single" w:color="auto" w:sz="4" w:space="0"/>
                  </w:tcBorders>
                  <w:vAlign w:val="center"/>
                </w:tcPr>
                <w:p w14:paraId="17FBCCBA">
                  <w:pPr>
                    <w:pStyle w:val="29"/>
                    <w:rPr>
                      <w:sz w:val="21"/>
                      <w:szCs w:val="21"/>
                    </w:rPr>
                  </w:pPr>
                  <w:r>
                    <w:rPr>
                      <w:sz w:val="21"/>
                      <w:szCs w:val="21"/>
                    </w:rPr>
                    <w:t>90%</w:t>
                  </w:r>
                </w:p>
              </w:tc>
              <w:tc>
                <w:tcPr>
                  <w:tcW w:w="1327" w:type="dxa"/>
                  <w:tcBorders>
                    <w:top w:val="single" w:color="auto" w:sz="4" w:space="0"/>
                    <w:left w:val="single" w:color="auto" w:sz="4" w:space="0"/>
                    <w:bottom w:val="single" w:color="auto" w:sz="4" w:space="0"/>
                    <w:right w:val="single" w:color="auto" w:sz="4" w:space="0"/>
                  </w:tcBorders>
                  <w:vAlign w:val="center"/>
                </w:tcPr>
                <w:p w14:paraId="31E9AE00">
                  <w:pPr>
                    <w:pStyle w:val="29"/>
                    <w:rPr>
                      <w:sz w:val="21"/>
                      <w:szCs w:val="21"/>
                    </w:rPr>
                  </w:pPr>
                  <w:r>
                    <w:rPr>
                      <w:sz w:val="21"/>
                      <w:szCs w:val="21"/>
                    </w:rPr>
                    <w:t>布袋除尘（TA001）</w:t>
                  </w:r>
                </w:p>
              </w:tc>
              <w:tc>
                <w:tcPr>
                  <w:tcW w:w="1220" w:type="dxa"/>
                  <w:tcBorders>
                    <w:top w:val="single" w:color="auto" w:sz="4" w:space="0"/>
                    <w:left w:val="single" w:color="auto" w:sz="4" w:space="0"/>
                    <w:bottom w:val="single" w:color="auto" w:sz="4" w:space="0"/>
                    <w:right w:val="single" w:color="auto" w:sz="4" w:space="0"/>
                  </w:tcBorders>
                  <w:vAlign w:val="center"/>
                </w:tcPr>
                <w:p w14:paraId="6CC4F2D7">
                  <w:pPr>
                    <w:pStyle w:val="29"/>
                    <w:rPr>
                      <w:sz w:val="21"/>
                      <w:szCs w:val="21"/>
                    </w:rPr>
                  </w:pPr>
                  <w:r>
                    <w:rPr>
                      <w:sz w:val="21"/>
                      <w:szCs w:val="21"/>
                    </w:rPr>
                    <w:t>90%</w:t>
                  </w:r>
                </w:p>
              </w:tc>
              <w:tc>
                <w:tcPr>
                  <w:tcW w:w="1235" w:type="dxa"/>
                  <w:tcBorders>
                    <w:top w:val="single" w:color="auto" w:sz="4" w:space="0"/>
                    <w:left w:val="single" w:color="auto" w:sz="4" w:space="0"/>
                    <w:bottom w:val="single" w:color="auto" w:sz="4" w:space="0"/>
                    <w:right w:val="single" w:color="auto" w:sz="4" w:space="0"/>
                  </w:tcBorders>
                  <w:vAlign w:val="center"/>
                </w:tcPr>
                <w:p w14:paraId="5AA50ED3">
                  <w:pPr>
                    <w:pStyle w:val="29"/>
                    <w:rPr>
                      <w:sz w:val="21"/>
                      <w:szCs w:val="21"/>
                    </w:rPr>
                  </w:pPr>
                  <w:r>
                    <w:rPr>
                      <w:sz w:val="21"/>
                      <w:szCs w:val="21"/>
                    </w:rPr>
                    <w:t>是</w:t>
                  </w:r>
                </w:p>
              </w:tc>
            </w:tr>
            <w:tr w14:paraId="52720B39">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tcBorders>
                    <w:top w:val="single" w:color="auto" w:sz="4" w:space="0"/>
                    <w:left w:val="single" w:color="auto" w:sz="4" w:space="0"/>
                    <w:bottom w:val="single" w:color="auto" w:sz="4" w:space="0"/>
                    <w:right w:val="single" w:color="auto" w:sz="4" w:space="0"/>
                  </w:tcBorders>
                  <w:vAlign w:val="center"/>
                </w:tcPr>
                <w:p w14:paraId="10412434">
                  <w:pPr>
                    <w:pStyle w:val="29"/>
                    <w:rPr>
                      <w:sz w:val="21"/>
                      <w:szCs w:val="21"/>
                    </w:rPr>
                  </w:pPr>
                  <w:r>
                    <w:rPr>
                      <w:sz w:val="21"/>
                      <w:szCs w:val="21"/>
                    </w:rPr>
                    <w:t>3</w:t>
                  </w:r>
                </w:p>
              </w:tc>
              <w:tc>
                <w:tcPr>
                  <w:tcW w:w="983" w:type="dxa"/>
                  <w:tcBorders>
                    <w:top w:val="single" w:color="auto" w:sz="4" w:space="0"/>
                    <w:left w:val="single" w:color="auto" w:sz="4" w:space="0"/>
                    <w:bottom w:val="single" w:color="auto" w:sz="4" w:space="0"/>
                    <w:right w:val="single" w:color="auto" w:sz="4" w:space="0"/>
                  </w:tcBorders>
                  <w:vAlign w:val="center"/>
                </w:tcPr>
                <w:p w14:paraId="2E169451">
                  <w:pPr>
                    <w:pStyle w:val="29"/>
                    <w:rPr>
                      <w:sz w:val="21"/>
                      <w:szCs w:val="21"/>
                    </w:rPr>
                  </w:pPr>
                  <w:r>
                    <w:rPr>
                      <w:sz w:val="21"/>
                      <w:szCs w:val="21"/>
                    </w:rPr>
                    <w:t>锅炉</w:t>
                  </w:r>
                </w:p>
              </w:tc>
              <w:tc>
                <w:tcPr>
                  <w:tcW w:w="1264" w:type="dxa"/>
                  <w:tcBorders>
                    <w:top w:val="single" w:color="auto" w:sz="4" w:space="0"/>
                    <w:left w:val="single" w:color="auto" w:sz="4" w:space="0"/>
                    <w:bottom w:val="single" w:color="auto" w:sz="4" w:space="0"/>
                    <w:right w:val="single" w:color="auto" w:sz="4" w:space="0"/>
                  </w:tcBorders>
                  <w:vAlign w:val="center"/>
                </w:tcPr>
                <w:p w14:paraId="3344AE75">
                  <w:pPr>
                    <w:pStyle w:val="29"/>
                    <w:rPr>
                      <w:sz w:val="21"/>
                      <w:szCs w:val="21"/>
                    </w:rPr>
                  </w:pPr>
                  <w:r>
                    <w:rPr>
                      <w:sz w:val="21"/>
                      <w:szCs w:val="21"/>
                    </w:rPr>
                    <w:t>锅炉废气</w:t>
                  </w:r>
                </w:p>
              </w:tc>
              <w:tc>
                <w:tcPr>
                  <w:tcW w:w="935" w:type="dxa"/>
                  <w:tcBorders>
                    <w:top w:val="single" w:color="auto" w:sz="4" w:space="0"/>
                    <w:left w:val="single" w:color="auto" w:sz="4" w:space="0"/>
                    <w:bottom w:val="single" w:color="auto" w:sz="4" w:space="0"/>
                    <w:right w:val="single" w:color="auto" w:sz="4" w:space="0"/>
                  </w:tcBorders>
                  <w:vAlign w:val="center"/>
                </w:tcPr>
                <w:p w14:paraId="6CE59FD5">
                  <w:pPr>
                    <w:pStyle w:val="29"/>
                    <w:rPr>
                      <w:sz w:val="21"/>
                      <w:szCs w:val="21"/>
                    </w:rPr>
                  </w:pPr>
                  <w:r>
                    <w:rPr>
                      <w:sz w:val="21"/>
                      <w:szCs w:val="21"/>
                    </w:rPr>
                    <w:t>/</w:t>
                  </w:r>
                </w:p>
              </w:tc>
              <w:tc>
                <w:tcPr>
                  <w:tcW w:w="1327" w:type="dxa"/>
                  <w:tcBorders>
                    <w:top w:val="single" w:color="auto" w:sz="4" w:space="0"/>
                    <w:left w:val="single" w:color="auto" w:sz="4" w:space="0"/>
                    <w:bottom w:val="single" w:color="auto" w:sz="4" w:space="0"/>
                    <w:right w:val="single" w:color="auto" w:sz="4" w:space="0"/>
                  </w:tcBorders>
                  <w:vAlign w:val="center"/>
                </w:tcPr>
                <w:p w14:paraId="4031ACB5">
                  <w:pPr>
                    <w:pStyle w:val="29"/>
                    <w:rPr>
                      <w:sz w:val="21"/>
                      <w:szCs w:val="21"/>
                    </w:rPr>
                  </w:pPr>
                  <w:r>
                    <w:rPr>
                      <w:sz w:val="21"/>
                      <w:szCs w:val="21"/>
                    </w:rPr>
                    <w:t>低氮燃烧</w:t>
                  </w:r>
                </w:p>
              </w:tc>
              <w:tc>
                <w:tcPr>
                  <w:tcW w:w="1220" w:type="dxa"/>
                  <w:tcBorders>
                    <w:top w:val="single" w:color="auto" w:sz="4" w:space="0"/>
                    <w:left w:val="single" w:color="auto" w:sz="4" w:space="0"/>
                    <w:bottom w:val="single" w:color="auto" w:sz="4" w:space="0"/>
                    <w:right w:val="single" w:color="auto" w:sz="4" w:space="0"/>
                  </w:tcBorders>
                  <w:vAlign w:val="center"/>
                </w:tcPr>
                <w:p w14:paraId="4CBB7F2F">
                  <w:pPr>
                    <w:pStyle w:val="29"/>
                    <w:rPr>
                      <w:sz w:val="21"/>
                      <w:szCs w:val="21"/>
                    </w:rPr>
                  </w:pPr>
                  <w:r>
                    <w:rPr>
                      <w:sz w:val="21"/>
                      <w:szCs w:val="21"/>
                    </w:rPr>
                    <w:t>/</w:t>
                  </w:r>
                </w:p>
              </w:tc>
              <w:tc>
                <w:tcPr>
                  <w:tcW w:w="1235" w:type="dxa"/>
                  <w:tcBorders>
                    <w:top w:val="single" w:color="auto" w:sz="4" w:space="0"/>
                    <w:left w:val="single" w:color="auto" w:sz="4" w:space="0"/>
                    <w:bottom w:val="single" w:color="auto" w:sz="4" w:space="0"/>
                    <w:right w:val="single" w:color="auto" w:sz="4" w:space="0"/>
                  </w:tcBorders>
                  <w:vAlign w:val="center"/>
                </w:tcPr>
                <w:p w14:paraId="500B0956">
                  <w:pPr>
                    <w:pStyle w:val="29"/>
                    <w:rPr>
                      <w:sz w:val="21"/>
                      <w:szCs w:val="21"/>
                    </w:rPr>
                  </w:pPr>
                  <w:r>
                    <w:rPr>
                      <w:sz w:val="21"/>
                      <w:szCs w:val="21"/>
                    </w:rPr>
                    <w:t>是</w:t>
                  </w:r>
                </w:p>
              </w:tc>
            </w:tr>
            <w:tr w14:paraId="227891E0">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71" w:type="dxa"/>
                  <w:tcBorders>
                    <w:top w:val="single" w:color="auto" w:sz="4" w:space="0"/>
                    <w:left w:val="single" w:color="auto" w:sz="4" w:space="0"/>
                    <w:bottom w:val="single" w:color="auto" w:sz="4" w:space="0"/>
                    <w:right w:val="single" w:color="auto" w:sz="4" w:space="0"/>
                  </w:tcBorders>
                  <w:vAlign w:val="center"/>
                </w:tcPr>
                <w:p w14:paraId="7C256185">
                  <w:pPr>
                    <w:pStyle w:val="29"/>
                    <w:rPr>
                      <w:sz w:val="21"/>
                      <w:szCs w:val="21"/>
                    </w:rPr>
                  </w:pPr>
                  <w:r>
                    <w:rPr>
                      <w:sz w:val="21"/>
                      <w:szCs w:val="21"/>
                    </w:rPr>
                    <w:t>4</w:t>
                  </w:r>
                </w:p>
              </w:tc>
              <w:tc>
                <w:tcPr>
                  <w:tcW w:w="983" w:type="dxa"/>
                  <w:tcBorders>
                    <w:top w:val="single" w:color="auto" w:sz="4" w:space="0"/>
                    <w:left w:val="single" w:color="auto" w:sz="4" w:space="0"/>
                    <w:bottom w:val="single" w:color="auto" w:sz="4" w:space="0"/>
                    <w:right w:val="single" w:color="auto" w:sz="4" w:space="0"/>
                  </w:tcBorders>
                  <w:vAlign w:val="center"/>
                </w:tcPr>
                <w:p w14:paraId="411B2706">
                  <w:pPr>
                    <w:pStyle w:val="29"/>
                    <w:rPr>
                      <w:sz w:val="21"/>
                      <w:szCs w:val="21"/>
                    </w:rPr>
                  </w:pPr>
                  <w:r>
                    <w:rPr>
                      <w:sz w:val="21"/>
                      <w:szCs w:val="21"/>
                    </w:rPr>
                    <w:t>食堂</w:t>
                  </w:r>
                </w:p>
              </w:tc>
              <w:tc>
                <w:tcPr>
                  <w:tcW w:w="1264" w:type="dxa"/>
                  <w:tcBorders>
                    <w:top w:val="single" w:color="auto" w:sz="4" w:space="0"/>
                    <w:left w:val="single" w:color="auto" w:sz="4" w:space="0"/>
                    <w:bottom w:val="single" w:color="auto" w:sz="4" w:space="0"/>
                    <w:right w:val="single" w:color="auto" w:sz="4" w:space="0"/>
                  </w:tcBorders>
                  <w:vAlign w:val="center"/>
                </w:tcPr>
                <w:p w14:paraId="49B4E6D3">
                  <w:pPr>
                    <w:pStyle w:val="29"/>
                    <w:rPr>
                      <w:sz w:val="21"/>
                      <w:szCs w:val="21"/>
                    </w:rPr>
                  </w:pPr>
                  <w:r>
                    <w:rPr>
                      <w:sz w:val="21"/>
                      <w:szCs w:val="21"/>
                    </w:rPr>
                    <w:t>食堂</w:t>
                  </w:r>
                </w:p>
              </w:tc>
              <w:tc>
                <w:tcPr>
                  <w:tcW w:w="935" w:type="dxa"/>
                  <w:tcBorders>
                    <w:top w:val="single" w:color="auto" w:sz="4" w:space="0"/>
                    <w:left w:val="single" w:color="auto" w:sz="4" w:space="0"/>
                    <w:bottom w:val="single" w:color="auto" w:sz="4" w:space="0"/>
                    <w:right w:val="single" w:color="auto" w:sz="4" w:space="0"/>
                  </w:tcBorders>
                  <w:vAlign w:val="center"/>
                </w:tcPr>
                <w:p w14:paraId="3C07F7BB">
                  <w:pPr>
                    <w:pStyle w:val="29"/>
                    <w:rPr>
                      <w:sz w:val="21"/>
                      <w:szCs w:val="21"/>
                    </w:rPr>
                  </w:pPr>
                  <w:r>
                    <w:rPr>
                      <w:sz w:val="21"/>
                      <w:szCs w:val="21"/>
                    </w:rPr>
                    <w:t>/</w:t>
                  </w:r>
                </w:p>
              </w:tc>
              <w:tc>
                <w:tcPr>
                  <w:tcW w:w="1327" w:type="dxa"/>
                  <w:tcBorders>
                    <w:top w:val="single" w:color="auto" w:sz="4" w:space="0"/>
                    <w:left w:val="single" w:color="auto" w:sz="4" w:space="0"/>
                    <w:bottom w:val="single" w:color="auto" w:sz="4" w:space="0"/>
                    <w:right w:val="single" w:color="auto" w:sz="4" w:space="0"/>
                  </w:tcBorders>
                  <w:vAlign w:val="center"/>
                </w:tcPr>
                <w:p w14:paraId="18B79AED">
                  <w:pPr>
                    <w:pStyle w:val="29"/>
                    <w:rPr>
                      <w:sz w:val="21"/>
                      <w:szCs w:val="21"/>
                    </w:rPr>
                  </w:pPr>
                  <w:r>
                    <w:rPr>
                      <w:sz w:val="21"/>
                      <w:szCs w:val="21"/>
                    </w:rPr>
                    <w:t>油烟净化器</w:t>
                  </w:r>
                </w:p>
              </w:tc>
              <w:tc>
                <w:tcPr>
                  <w:tcW w:w="1220" w:type="dxa"/>
                  <w:tcBorders>
                    <w:top w:val="single" w:color="auto" w:sz="4" w:space="0"/>
                    <w:left w:val="single" w:color="auto" w:sz="4" w:space="0"/>
                    <w:bottom w:val="single" w:color="auto" w:sz="4" w:space="0"/>
                    <w:right w:val="single" w:color="auto" w:sz="4" w:space="0"/>
                  </w:tcBorders>
                  <w:vAlign w:val="center"/>
                </w:tcPr>
                <w:p w14:paraId="56BF2F58">
                  <w:pPr>
                    <w:pStyle w:val="29"/>
                    <w:rPr>
                      <w:sz w:val="21"/>
                      <w:szCs w:val="21"/>
                    </w:rPr>
                  </w:pPr>
                  <w:r>
                    <w:rPr>
                      <w:sz w:val="21"/>
                      <w:szCs w:val="21"/>
                    </w:rPr>
                    <w:t>75%</w:t>
                  </w:r>
                </w:p>
              </w:tc>
              <w:tc>
                <w:tcPr>
                  <w:tcW w:w="1235" w:type="dxa"/>
                  <w:tcBorders>
                    <w:top w:val="single" w:color="auto" w:sz="4" w:space="0"/>
                    <w:left w:val="single" w:color="auto" w:sz="4" w:space="0"/>
                    <w:bottom w:val="single" w:color="auto" w:sz="4" w:space="0"/>
                    <w:right w:val="single" w:color="auto" w:sz="4" w:space="0"/>
                  </w:tcBorders>
                  <w:vAlign w:val="center"/>
                </w:tcPr>
                <w:p w14:paraId="7F88141D">
                  <w:pPr>
                    <w:pStyle w:val="29"/>
                    <w:rPr>
                      <w:sz w:val="21"/>
                      <w:szCs w:val="21"/>
                    </w:rPr>
                  </w:pPr>
                  <w:r>
                    <w:rPr>
                      <w:sz w:val="21"/>
                      <w:szCs w:val="21"/>
                    </w:rPr>
                    <w:t>是</w:t>
                  </w:r>
                </w:p>
              </w:tc>
            </w:tr>
          </w:tbl>
          <w:p w14:paraId="0681033D">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（3）废气排放情况</w:t>
            </w:r>
          </w:p>
          <w:p w14:paraId="1E65EBDE">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本项目各产污环节废气排放情况如下表所示。</w:t>
            </w:r>
          </w:p>
          <w:p w14:paraId="471659AC">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表4-7  本项目有组织废气排放情况一览表</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969"/>
              <w:gridCol w:w="1065"/>
              <w:gridCol w:w="801"/>
              <w:gridCol w:w="836"/>
              <w:gridCol w:w="854"/>
              <w:gridCol w:w="842"/>
              <w:gridCol w:w="825"/>
              <w:gridCol w:w="839"/>
            </w:tblGrid>
            <w:tr w14:paraId="61E57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14:paraId="3F7AF3E6">
                  <w:pPr>
                    <w:pStyle w:val="29"/>
                    <w:rPr>
                      <w:b/>
                      <w:bCs/>
                      <w:sz w:val="21"/>
                      <w:szCs w:val="21"/>
                    </w:rPr>
                  </w:pPr>
                  <w:r>
                    <w:rPr>
                      <w:b/>
                      <w:bCs/>
                      <w:sz w:val="21"/>
                      <w:szCs w:val="21"/>
                    </w:rPr>
                    <w:t>序号</w:t>
                  </w:r>
                </w:p>
              </w:tc>
              <w:tc>
                <w:tcPr>
                  <w:tcW w:w="1329" w:type="pct"/>
                  <w:gridSpan w:val="2"/>
                  <w:vMerge w:val="restart"/>
                  <w:tcBorders>
                    <w:tl2br w:val="nil"/>
                    <w:tr2bl w:val="nil"/>
                  </w:tcBorders>
                  <w:vAlign w:val="center"/>
                </w:tcPr>
                <w:p w14:paraId="6AEBA547">
                  <w:pPr>
                    <w:pStyle w:val="29"/>
                    <w:rPr>
                      <w:b/>
                      <w:bCs/>
                      <w:sz w:val="21"/>
                      <w:szCs w:val="21"/>
                    </w:rPr>
                  </w:pPr>
                  <w:r>
                    <w:rPr>
                      <w:b/>
                      <w:bCs/>
                      <w:sz w:val="21"/>
                      <w:szCs w:val="21"/>
                    </w:rPr>
                    <w:t>废气污染源</w:t>
                  </w:r>
                </w:p>
              </w:tc>
              <w:tc>
                <w:tcPr>
                  <w:tcW w:w="523" w:type="pct"/>
                  <w:vMerge w:val="restart"/>
                  <w:tcBorders>
                    <w:tl2br w:val="nil"/>
                    <w:tr2bl w:val="nil"/>
                  </w:tcBorders>
                  <w:vAlign w:val="center"/>
                </w:tcPr>
                <w:p w14:paraId="6D30961E">
                  <w:pPr>
                    <w:pStyle w:val="29"/>
                    <w:rPr>
                      <w:b/>
                      <w:bCs/>
                      <w:sz w:val="21"/>
                      <w:szCs w:val="21"/>
                    </w:rPr>
                  </w:pPr>
                  <w:r>
                    <w:rPr>
                      <w:b/>
                      <w:bCs/>
                      <w:sz w:val="21"/>
                      <w:szCs w:val="21"/>
                    </w:rPr>
                    <w:t>废气量m</w:t>
                  </w:r>
                  <w:r>
                    <w:rPr>
                      <w:b/>
                      <w:bCs/>
                      <w:sz w:val="21"/>
                      <w:szCs w:val="21"/>
                      <w:vertAlign w:val="superscript"/>
                    </w:rPr>
                    <w:t>3</w:t>
                  </w:r>
                  <w:r>
                    <w:rPr>
                      <w:b/>
                      <w:bCs/>
                      <w:sz w:val="21"/>
                      <w:szCs w:val="21"/>
                    </w:rPr>
                    <w:t>/h</w:t>
                  </w:r>
                </w:p>
              </w:tc>
              <w:tc>
                <w:tcPr>
                  <w:tcW w:w="1654" w:type="pct"/>
                  <w:gridSpan w:val="3"/>
                  <w:tcBorders>
                    <w:tl2br w:val="nil"/>
                    <w:tr2bl w:val="nil"/>
                  </w:tcBorders>
                  <w:vAlign w:val="center"/>
                </w:tcPr>
                <w:p w14:paraId="7BFBEA84">
                  <w:pPr>
                    <w:pStyle w:val="29"/>
                    <w:rPr>
                      <w:b/>
                      <w:bCs/>
                      <w:sz w:val="21"/>
                      <w:szCs w:val="21"/>
                    </w:rPr>
                  </w:pPr>
                  <w:r>
                    <w:rPr>
                      <w:b/>
                      <w:bCs/>
                      <w:sz w:val="21"/>
                      <w:szCs w:val="21"/>
                    </w:rPr>
                    <w:t>排放情况</w:t>
                  </w:r>
                </w:p>
              </w:tc>
              <w:tc>
                <w:tcPr>
                  <w:tcW w:w="539" w:type="pct"/>
                  <w:vMerge w:val="restart"/>
                  <w:tcBorders>
                    <w:tl2br w:val="nil"/>
                    <w:tr2bl w:val="nil"/>
                  </w:tcBorders>
                  <w:vAlign w:val="center"/>
                </w:tcPr>
                <w:p w14:paraId="0A60C045">
                  <w:pPr>
                    <w:pStyle w:val="29"/>
                    <w:rPr>
                      <w:b/>
                      <w:bCs/>
                      <w:sz w:val="21"/>
                      <w:szCs w:val="21"/>
                    </w:rPr>
                  </w:pPr>
                  <w:r>
                    <w:rPr>
                      <w:b/>
                      <w:bCs/>
                      <w:sz w:val="21"/>
                      <w:szCs w:val="21"/>
                    </w:rPr>
                    <w:t>排放</w:t>
                  </w:r>
                </w:p>
                <w:p w14:paraId="3CBCC359">
                  <w:pPr>
                    <w:pStyle w:val="29"/>
                    <w:rPr>
                      <w:b/>
                      <w:bCs/>
                      <w:sz w:val="21"/>
                      <w:szCs w:val="21"/>
                    </w:rPr>
                  </w:pPr>
                  <w:r>
                    <w:rPr>
                      <w:b/>
                      <w:bCs/>
                      <w:sz w:val="21"/>
                      <w:szCs w:val="21"/>
                    </w:rPr>
                    <w:t>形式</w:t>
                  </w:r>
                </w:p>
              </w:tc>
              <w:tc>
                <w:tcPr>
                  <w:tcW w:w="548" w:type="pct"/>
                  <w:vMerge w:val="restart"/>
                  <w:tcBorders>
                    <w:tl2br w:val="nil"/>
                    <w:tr2bl w:val="nil"/>
                  </w:tcBorders>
                  <w:vAlign w:val="center"/>
                </w:tcPr>
                <w:p w14:paraId="309F1496">
                  <w:pPr>
                    <w:pStyle w:val="29"/>
                    <w:rPr>
                      <w:b/>
                      <w:bCs/>
                      <w:sz w:val="21"/>
                      <w:szCs w:val="21"/>
                    </w:rPr>
                  </w:pPr>
                  <w:r>
                    <w:rPr>
                      <w:b/>
                      <w:bCs/>
                      <w:sz w:val="21"/>
                      <w:szCs w:val="21"/>
                    </w:rPr>
                    <w:t>排气筒编号</w:t>
                  </w:r>
                </w:p>
              </w:tc>
            </w:tr>
            <w:tr w14:paraId="5A5D4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vMerge w:val="continue"/>
                  <w:tcBorders>
                    <w:tl2br w:val="nil"/>
                    <w:tr2bl w:val="nil"/>
                  </w:tcBorders>
                  <w:vAlign w:val="center"/>
                </w:tcPr>
                <w:p w14:paraId="3C0CB4DA">
                  <w:pPr>
                    <w:pStyle w:val="29"/>
                    <w:rPr>
                      <w:sz w:val="21"/>
                      <w:szCs w:val="21"/>
                    </w:rPr>
                  </w:pPr>
                </w:p>
              </w:tc>
              <w:tc>
                <w:tcPr>
                  <w:tcW w:w="1329" w:type="pct"/>
                  <w:gridSpan w:val="2"/>
                  <w:vMerge w:val="continue"/>
                  <w:tcBorders>
                    <w:tl2br w:val="nil"/>
                    <w:tr2bl w:val="nil"/>
                  </w:tcBorders>
                  <w:vAlign w:val="center"/>
                </w:tcPr>
                <w:p w14:paraId="4E82D3C1">
                  <w:pPr>
                    <w:pStyle w:val="29"/>
                    <w:rPr>
                      <w:sz w:val="21"/>
                      <w:szCs w:val="21"/>
                    </w:rPr>
                  </w:pPr>
                </w:p>
              </w:tc>
              <w:tc>
                <w:tcPr>
                  <w:tcW w:w="523" w:type="pct"/>
                  <w:vMerge w:val="continue"/>
                  <w:tcBorders>
                    <w:tl2br w:val="nil"/>
                    <w:tr2bl w:val="nil"/>
                  </w:tcBorders>
                  <w:vAlign w:val="center"/>
                </w:tcPr>
                <w:p w14:paraId="0C0274AC">
                  <w:pPr>
                    <w:pStyle w:val="29"/>
                    <w:rPr>
                      <w:sz w:val="21"/>
                      <w:szCs w:val="21"/>
                    </w:rPr>
                  </w:pPr>
                </w:p>
              </w:tc>
              <w:tc>
                <w:tcPr>
                  <w:tcW w:w="546" w:type="pct"/>
                  <w:tcBorders>
                    <w:tl2br w:val="nil"/>
                    <w:tr2bl w:val="nil"/>
                  </w:tcBorders>
                  <w:vAlign w:val="center"/>
                </w:tcPr>
                <w:p w14:paraId="5542B0FE">
                  <w:pPr>
                    <w:pStyle w:val="29"/>
                    <w:rPr>
                      <w:b/>
                      <w:bCs/>
                      <w:sz w:val="21"/>
                      <w:szCs w:val="21"/>
                    </w:rPr>
                  </w:pPr>
                  <w:r>
                    <w:rPr>
                      <w:b/>
                      <w:bCs/>
                      <w:sz w:val="21"/>
                      <w:szCs w:val="21"/>
                    </w:rPr>
                    <w:t>排放浓度mg/m</w:t>
                  </w:r>
                  <w:r>
                    <w:rPr>
                      <w:b/>
                      <w:bCs/>
                      <w:sz w:val="21"/>
                      <w:szCs w:val="21"/>
                      <w:vertAlign w:val="superscript"/>
                    </w:rPr>
                    <w:t>3</w:t>
                  </w:r>
                </w:p>
              </w:tc>
              <w:tc>
                <w:tcPr>
                  <w:tcW w:w="558" w:type="pct"/>
                  <w:tcBorders>
                    <w:tl2br w:val="nil"/>
                    <w:tr2bl w:val="nil"/>
                  </w:tcBorders>
                  <w:vAlign w:val="center"/>
                </w:tcPr>
                <w:p w14:paraId="7A8CD730">
                  <w:pPr>
                    <w:pStyle w:val="29"/>
                    <w:rPr>
                      <w:b/>
                      <w:bCs/>
                      <w:sz w:val="21"/>
                      <w:szCs w:val="21"/>
                    </w:rPr>
                  </w:pPr>
                  <w:r>
                    <w:rPr>
                      <w:b/>
                      <w:bCs/>
                      <w:sz w:val="21"/>
                      <w:szCs w:val="21"/>
                    </w:rPr>
                    <w:t>排放速率kg/h</w:t>
                  </w:r>
                </w:p>
              </w:tc>
              <w:tc>
                <w:tcPr>
                  <w:tcW w:w="550" w:type="pct"/>
                  <w:tcBorders>
                    <w:tl2br w:val="nil"/>
                    <w:tr2bl w:val="nil"/>
                  </w:tcBorders>
                  <w:vAlign w:val="center"/>
                </w:tcPr>
                <w:p w14:paraId="08284141">
                  <w:pPr>
                    <w:pStyle w:val="29"/>
                    <w:rPr>
                      <w:b/>
                      <w:bCs/>
                      <w:sz w:val="21"/>
                      <w:szCs w:val="21"/>
                    </w:rPr>
                  </w:pPr>
                  <w:r>
                    <w:rPr>
                      <w:b/>
                      <w:bCs/>
                      <w:sz w:val="21"/>
                      <w:szCs w:val="21"/>
                    </w:rPr>
                    <w:t>排放量</w:t>
                  </w:r>
                </w:p>
                <w:p w14:paraId="0B5C14FC">
                  <w:pPr>
                    <w:pStyle w:val="29"/>
                    <w:rPr>
                      <w:b/>
                      <w:bCs/>
                      <w:sz w:val="21"/>
                      <w:szCs w:val="21"/>
                    </w:rPr>
                  </w:pPr>
                  <w:r>
                    <w:rPr>
                      <w:b/>
                      <w:bCs/>
                      <w:sz w:val="21"/>
                      <w:szCs w:val="21"/>
                    </w:rPr>
                    <w:t>t/a</w:t>
                  </w:r>
                </w:p>
              </w:tc>
              <w:tc>
                <w:tcPr>
                  <w:tcW w:w="539" w:type="pct"/>
                  <w:vMerge w:val="continue"/>
                  <w:tcBorders>
                    <w:tl2br w:val="nil"/>
                    <w:tr2bl w:val="nil"/>
                  </w:tcBorders>
                  <w:vAlign w:val="center"/>
                </w:tcPr>
                <w:p w14:paraId="669DCE21">
                  <w:pPr>
                    <w:pStyle w:val="29"/>
                    <w:rPr>
                      <w:sz w:val="21"/>
                      <w:szCs w:val="21"/>
                    </w:rPr>
                  </w:pPr>
                </w:p>
              </w:tc>
              <w:tc>
                <w:tcPr>
                  <w:tcW w:w="548" w:type="pct"/>
                  <w:vMerge w:val="continue"/>
                  <w:tcBorders>
                    <w:tl2br w:val="nil"/>
                    <w:tr2bl w:val="nil"/>
                  </w:tcBorders>
                  <w:vAlign w:val="center"/>
                </w:tcPr>
                <w:p w14:paraId="4EF9A5DF">
                  <w:pPr>
                    <w:pStyle w:val="29"/>
                    <w:rPr>
                      <w:sz w:val="21"/>
                      <w:szCs w:val="21"/>
                    </w:rPr>
                  </w:pPr>
                </w:p>
              </w:tc>
            </w:tr>
            <w:tr w14:paraId="1C5AC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tcBorders>
                    <w:tl2br w:val="nil"/>
                    <w:tr2bl w:val="nil"/>
                  </w:tcBorders>
                  <w:vAlign w:val="center"/>
                </w:tcPr>
                <w:p w14:paraId="4854766C">
                  <w:pPr>
                    <w:pStyle w:val="29"/>
                    <w:rPr>
                      <w:sz w:val="21"/>
                      <w:szCs w:val="21"/>
                    </w:rPr>
                  </w:pPr>
                  <w:r>
                    <w:rPr>
                      <w:sz w:val="21"/>
                      <w:szCs w:val="21"/>
                    </w:rPr>
                    <w:t>1</w:t>
                  </w:r>
                </w:p>
              </w:tc>
              <w:tc>
                <w:tcPr>
                  <w:tcW w:w="633" w:type="pct"/>
                  <w:tcBorders>
                    <w:tl2br w:val="nil"/>
                    <w:tr2bl w:val="nil"/>
                  </w:tcBorders>
                  <w:vAlign w:val="center"/>
                </w:tcPr>
                <w:p w14:paraId="6B4FEFB0">
                  <w:pPr>
                    <w:pStyle w:val="29"/>
                    <w:rPr>
                      <w:sz w:val="21"/>
                      <w:szCs w:val="21"/>
                    </w:rPr>
                  </w:pPr>
                  <w:r>
                    <w:rPr>
                      <w:sz w:val="21"/>
                      <w:szCs w:val="21"/>
                    </w:rPr>
                    <w:t>印刷</w:t>
                  </w:r>
                </w:p>
              </w:tc>
              <w:tc>
                <w:tcPr>
                  <w:tcW w:w="695" w:type="pct"/>
                  <w:tcBorders>
                    <w:tl2br w:val="nil"/>
                    <w:tr2bl w:val="nil"/>
                  </w:tcBorders>
                  <w:vAlign w:val="center"/>
                </w:tcPr>
                <w:p w14:paraId="74AB26B3">
                  <w:pPr>
                    <w:pStyle w:val="29"/>
                    <w:rPr>
                      <w:sz w:val="21"/>
                      <w:szCs w:val="21"/>
                    </w:rPr>
                  </w:pPr>
                  <w:r>
                    <w:rPr>
                      <w:sz w:val="21"/>
                      <w:szCs w:val="21"/>
                    </w:rPr>
                    <w:t>非甲烷总烃</w:t>
                  </w:r>
                </w:p>
              </w:tc>
              <w:tc>
                <w:tcPr>
                  <w:tcW w:w="523" w:type="pct"/>
                  <w:tcBorders>
                    <w:tl2br w:val="nil"/>
                    <w:tr2bl w:val="nil"/>
                  </w:tcBorders>
                  <w:vAlign w:val="center"/>
                </w:tcPr>
                <w:p w14:paraId="64F8934B">
                  <w:pPr>
                    <w:pStyle w:val="29"/>
                    <w:rPr>
                      <w:sz w:val="21"/>
                      <w:szCs w:val="21"/>
                    </w:rPr>
                  </w:pPr>
                  <w:r>
                    <w:rPr>
                      <w:sz w:val="21"/>
                      <w:szCs w:val="21"/>
                    </w:rPr>
                    <w:t>3100</w:t>
                  </w:r>
                </w:p>
              </w:tc>
              <w:tc>
                <w:tcPr>
                  <w:tcW w:w="546" w:type="pct"/>
                  <w:tcBorders>
                    <w:tl2br w:val="nil"/>
                    <w:tr2bl w:val="nil"/>
                  </w:tcBorders>
                  <w:vAlign w:val="center"/>
                </w:tcPr>
                <w:p w14:paraId="2F377E3C">
                  <w:pPr>
                    <w:pStyle w:val="29"/>
                    <w:rPr>
                      <w:sz w:val="21"/>
                      <w:szCs w:val="21"/>
                    </w:rPr>
                  </w:pPr>
                  <w:r>
                    <w:rPr>
                      <w:sz w:val="21"/>
                      <w:szCs w:val="21"/>
                    </w:rPr>
                    <w:t>0.302</w:t>
                  </w:r>
                </w:p>
              </w:tc>
              <w:tc>
                <w:tcPr>
                  <w:tcW w:w="558" w:type="pct"/>
                  <w:tcBorders>
                    <w:tl2br w:val="nil"/>
                    <w:tr2bl w:val="nil"/>
                  </w:tcBorders>
                  <w:vAlign w:val="center"/>
                </w:tcPr>
                <w:p w14:paraId="7EF2A367">
                  <w:pPr>
                    <w:pStyle w:val="29"/>
                    <w:rPr>
                      <w:sz w:val="21"/>
                      <w:szCs w:val="21"/>
                    </w:rPr>
                  </w:pPr>
                  <w:r>
                    <w:rPr>
                      <w:sz w:val="21"/>
                      <w:szCs w:val="21"/>
                    </w:rPr>
                    <w:t>0.0009</w:t>
                  </w:r>
                </w:p>
              </w:tc>
              <w:tc>
                <w:tcPr>
                  <w:tcW w:w="550" w:type="pct"/>
                  <w:tcBorders>
                    <w:tl2br w:val="nil"/>
                    <w:tr2bl w:val="nil"/>
                  </w:tcBorders>
                  <w:vAlign w:val="center"/>
                </w:tcPr>
                <w:p w14:paraId="3D739DEE">
                  <w:pPr>
                    <w:pStyle w:val="29"/>
                    <w:rPr>
                      <w:sz w:val="21"/>
                      <w:szCs w:val="21"/>
                    </w:rPr>
                  </w:pPr>
                  <w:r>
                    <w:rPr>
                      <w:sz w:val="21"/>
                      <w:szCs w:val="21"/>
                    </w:rPr>
                    <w:t>0.0012</w:t>
                  </w:r>
                </w:p>
              </w:tc>
              <w:tc>
                <w:tcPr>
                  <w:tcW w:w="539" w:type="pct"/>
                  <w:tcBorders>
                    <w:tl2br w:val="nil"/>
                    <w:tr2bl w:val="nil"/>
                  </w:tcBorders>
                  <w:vAlign w:val="center"/>
                </w:tcPr>
                <w:p w14:paraId="177E8283">
                  <w:pPr>
                    <w:pStyle w:val="29"/>
                    <w:rPr>
                      <w:sz w:val="21"/>
                      <w:szCs w:val="21"/>
                    </w:rPr>
                  </w:pPr>
                  <w:r>
                    <w:rPr>
                      <w:sz w:val="21"/>
                      <w:szCs w:val="21"/>
                    </w:rPr>
                    <w:t>有组织</w:t>
                  </w:r>
                </w:p>
              </w:tc>
              <w:tc>
                <w:tcPr>
                  <w:tcW w:w="548" w:type="pct"/>
                  <w:tcBorders>
                    <w:tl2br w:val="nil"/>
                    <w:tr2bl w:val="nil"/>
                  </w:tcBorders>
                  <w:vAlign w:val="center"/>
                </w:tcPr>
                <w:p w14:paraId="6B61A744">
                  <w:pPr>
                    <w:pStyle w:val="29"/>
                    <w:rPr>
                      <w:sz w:val="21"/>
                      <w:szCs w:val="21"/>
                    </w:rPr>
                  </w:pPr>
                  <w:r>
                    <w:rPr>
                      <w:sz w:val="21"/>
                      <w:szCs w:val="21"/>
                    </w:rPr>
                    <w:t>DA001</w:t>
                  </w:r>
                </w:p>
              </w:tc>
            </w:tr>
            <w:tr w14:paraId="3BF0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vMerge w:val="restart"/>
                  <w:tcBorders>
                    <w:tl2br w:val="nil"/>
                    <w:tr2bl w:val="nil"/>
                  </w:tcBorders>
                  <w:vAlign w:val="center"/>
                </w:tcPr>
                <w:p w14:paraId="619408FB">
                  <w:pPr>
                    <w:pStyle w:val="29"/>
                    <w:rPr>
                      <w:sz w:val="21"/>
                      <w:szCs w:val="21"/>
                    </w:rPr>
                  </w:pPr>
                  <w:r>
                    <w:rPr>
                      <w:sz w:val="21"/>
                      <w:szCs w:val="21"/>
                    </w:rPr>
                    <w:t>2</w:t>
                  </w:r>
                </w:p>
              </w:tc>
              <w:tc>
                <w:tcPr>
                  <w:tcW w:w="633" w:type="pct"/>
                  <w:vMerge w:val="restart"/>
                  <w:tcBorders>
                    <w:tl2br w:val="nil"/>
                    <w:tr2bl w:val="nil"/>
                  </w:tcBorders>
                  <w:vAlign w:val="center"/>
                </w:tcPr>
                <w:p w14:paraId="0729604D">
                  <w:pPr>
                    <w:pStyle w:val="29"/>
                    <w:rPr>
                      <w:sz w:val="21"/>
                      <w:szCs w:val="21"/>
                    </w:rPr>
                  </w:pPr>
                  <w:r>
                    <w:rPr>
                      <w:sz w:val="21"/>
                      <w:szCs w:val="21"/>
                    </w:rPr>
                    <w:t>锅炉</w:t>
                  </w:r>
                </w:p>
              </w:tc>
              <w:tc>
                <w:tcPr>
                  <w:tcW w:w="695" w:type="pct"/>
                  <w:tcBorders>
                    <w:tl2br w:val="nil"/>
                    <w:tr2bl w:val="nil"/>
                  </w:tcBorders>
                  <w:shd w:val="clear" w:color="auto" w:fill="auto"/>
                  <w:vAlign w:val="center"/>
                </w:tcPr>
                <w:p w14:paraId="596018A7">
                  <w:pPr>
                    <w:pStyle w:val="29"/>
                    <w:rPr>
                      <w:sz w:val="21"/>
                      <w:szCs w:val="21"/>
                    </w:rPr>
                  </w:pPr>
                  <w:r>
                    <w:rPr>
                      <w:rFonts w:hint="default"/>
                      <w:sz w:val="21"/>
                      <w:szCs w:val="21"/>
                      <w:lang w:eastAsia="zh-CN"/>
                    </w:rPr>
                    <w:t>颗粒物</w:t>
                  </w:r>
                </w:p>
              </w:tc>
              <w:tc>
                <w:tcPr>
                  <w:tcW w:w="523" w:type="pct"/>
                  <w:vMerge w:val="restart"/>
                  <w:tcBorders>
                    <w:tl2br w:val="nil"/>
                    <w:tr2bl w:val="nil"/>
                  </w:tcBorders>
                  <w:vAlign w:val="center"/>
                </w:tcPr>
                <w:p w14:paraId="569E9EBA">
                  <w:pPr>
                    <w:pStyle w:val="29"/>
                    <w:rPr>
                      <w:sz w:val="21"/>
                      <w:szCs w:val="21"/>
                    </w:rPr>
                  </w:pPr>
                  <w:r>
                    <w:rPr>
                      <w:sz w:val="21"/>
                      <w:szCs w:val="21"/>
                    </w:rPr>
                    <w:t>1616.29</w:t>
                  </w:r>
                </w:p>
              </w:tc>
              <w:tc>
                <w:tcPr>
                  <w:tcW w:w="836" w:type="dxa"/>
                  <w:tcBorders>
                    <w:tl2br w:val="nil"/>
                    <w:tr2bl w:val="nil"/>
                  </w:tcBorders>
                  <w:vAlign w:val="center"/>
                </w:tcPr>
                <w:p w14:paraId="1E3C1A2B">
                  <w:pPr>
                    <w:widowControl/>
                    <w:adjustRightInd w:val="0"/>
                    <w:snapToGrid w:val="0"/>
                    <w:spacing w:line="240" w:lineRule="auto"/>
                    <w:jc w:val="center"/>
                    <w:rPr>
                      <w:sz w:val="21"/>
                      <w:szCs w:val="21"/>
                    </w:rPr>
                  </w:pPr>
                  <w:r>
                    <w:rPr>
                      <w:sz w:val="21"/>
                      <w:szCs w:val="21"/>
                    </w:rPr>
                    <w:t>9.64</w:t>
                  </w:r>
                </w:p>
              </w:tc>
              <w:tc>
                <w:tcPr>
                  <w:tcW w:w="854" w:type="dxa"/>
                  <w:tcBorders>
                    <w:tl2br w:val="nil"/>
                    <w:tr2bl w:val="nil"/>
                  </w:tcBorders>
                  <w:vAlign w:val="center"/>
                </w:tcPr>
                <w:p w14:paraId="02C499E0">
                  <w:pPr>
                    <w:widowControl/>
                    <w:adjustRightInd w:val="0"/>
                    <w:snapToGrid w:val="0"/>
                    <w:spacing w:line="240" w:lineRule="auto"/>
                    <w:jc w:val="center"/>
                    <w:rPr>
                      <w:sz w:val="21"/>
                      <w:szCs w:val="21"/>
                    </w:rPr>
                  </w:pPr>
                  <w:r>
                    <w:rPr>
                      <w:sz w:val="21"/>
                      <w:szCs w:val="21"/>
                    </w:rPr>
                    <w:t>0.0138</w:t>
                  </w:r>
                </w:p>
              </w:tc>
              <w:tc>
                <w:tcPr>
                  <w:tcW w:w="842" w:type="dxa"/>
                  <w:tcBorders>
                    <w:tl2br w:val="nil"/>
                    <w:tr2bl w:val="nil"/>
                  </w:tcBorders>
                  <w:vAlign w:val="center"/>
                </w:tcPr>
                <w:p w14:paraId="4B4FC6F8">
                  <w:pPr>
                    <w:widowControl/>
                    <w:adjustRightInd w:val="0"/>
                    <w:snapToGrid w:val="0"/>
                    <w:spacing w:line="240" w:lineRule="auto"/>
                    <w:jc w:val="center"/>
                    <w:rPr>
                      <w:sz w:val="21"/>
                      <w:szCs w:val="21"/>
                    </w:rPr>
                  </w:pPr>
                  <w:r>
                    <w:rPr>
                      <w:sz w:val="21"/>
                      <w:szCs w:val="21"/>
                    </w:rPr>
                    <w:t>0.046</w:t>
                  </w:r>
                </w:p>
              </w:tc>
              <w:tc>
                <w:tcPr>
                  <w:tcW w:w="539" w:type="pct"/>
                  <w:vMerge w:val="restart"/>
                  <w:tcBorders>
                    <w:tl2br w:val="nil"/>
                    <w:tr2bl w:val="nil"/>
                  </w:tcBorders>
                  <w:vAlign w:val="center"/>
                </w:tcPr>
                <w:p w14:paraId="4E90F276">
                  <w:pPr>
                    <w:pStyle w:val="29"/>
                    <w:rPr>
                      <w:sz w:val="21"/>
                      <w:szCs w:val="21"/>
                    </w:rPr>
                  </w:pPr>
                  <w:r>
                    <w:rPr>
                      <w:sz w:val="21"/>
                      <w:szCs w:val="21"/>
                    </w:rPr>
                    <w:t>有组织</w:t>
                  </w:r>
                </w:p>
              </w:tc>
              <w:tc>
                <w:tcPr>
                  <w:tcW w:w="548" w:type="pct"/>
                  <w:vMerge w:val="restart"/>
                  <w:tcBorders>
                    <w:tl2br w:val="nil"/>
                    <w:tr2bl w:val="nil"/>
                  </w:tcBorders>
                  <w:vAlign w:val="center"/>
                </w:tcPr>
                <w:p w14:paraId="29B26598">
                  <w:pPr>
                    <w:pStyle w:val="29"/>
                    <w:rPr>
                      <w:sz w:val="21"/>
                      <w:szCs w:val="21"/>
                    </w:rPr>
                  </w:pPr>
                  <w:r>
                    <w:rPr>
                      <w:sz w:val="21"/>
                      <w:szCs w:val="21"/>
                    </w:rPr>
                    <w:t>DA002</w:t>
                  </w:r>
                </w:p>
              </w:tc>
            </w:tr>
            <w:tr w14:paraId="128F2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vMerge w:val="continue"/>
                  <w:tcBorders>
                    <w:tl2br w:val="nil"/>
                    <w:tr2bl w:val="nil"/>
                  </w:tcBorders>
                  <w:vAlign w:val="center"/>
                </w:tcPr>
                <w:p w14:paraId="0D88DB20">
                  <w:pPr>
                    <w:pStyle w:val="29"/>
                    <w:rPr>
                      <w:sz w:val="21"/>
                      <w:szCs w:val="21"/>
                    </w:rPr>
                  </w:pPr>
                </w:p>
              </w:tc>
              <w:tc>
                <w:tcPr>
                  <w:tcW w:w="633" w:type="pct"/>
                  <w:vMerge w:val="continue"/>
                  <w:tcBorders>
                    <w:tl2br w:val="nil"/>
                    <w:tr2bl w:val="nil"/>
                  </w:tcBorders>
                  <w:vAlign w:val="center"/>
                </w:tcPr>
                <w:p w14:paraId="564B0DA6">
                  <w:pPr>
                    <w:pStyle w:val="29"/>
                    <w:rPr>
                      <w:sz w:val="21"/>
                      <w:szCs w:val="21"/>
                    </w:rPr>
                  </w:pPr>
                </w:p>
              </w:tc>
              <w:tc>
                <w:tcPr>
                  <w:tcW w:w="695" w:type="pct"/>
                  <w:tcBorders>
                    <w:tl2br w:val="nil"/>
                    <w:tr2bl w:val="nil"/>
                  </w:tcBorders>
                  <w:shd w:val="clear" w:color="auto" w:fill="auto"/>
                  <w:vAlign w:val="center"/>
                </w:tcPr>
                <w:p w14:paraId="18578DE5">
                  <w:pPr>
                    <w:pStyle w:val="29"/>
                    <w:rPr>
                      <w:sz w:val="21"/>
                      <w:szCs w:val="21"/>
                    </w:rPr>
                  </w:pPr>
                  <w:r>
                    <w:rPr>
                      <w:sz w:val="21"/>
                      <w:szCs w:val="21"/>
                    </w:rPr>
                    <w:t>二氧化硫</w:t>
                  </w:r>
                </w:p>
              </w:tc>
              <w:tc>
                <w:tcPr>
                  <w:tcW w:w="523" w:type="pct"/>
                  <w:vMerge w:val="continue"/>
                  <w:tcBorders>
                    <w:tl2br w:val="nil"/>
                    <w:tr2bl w:val="nil"/>
                  </w:tcBorders>
                  <w:vAlign w:val="center"/>
                </w:tcPr>
                <w:p w14:paraId="71EB55F1">
                  <w:pPr>
                    <w:pStyle w:val="29"/>
                    <w:rPr>
                      <w:sz w:val="21"/>
                      <w:szCs w:val="21"/>
                    </w:rPr>
                  </w:pPr>
                </w:p>
              </w:tc>
              <w:tc>
                <w:tcPr>
                  <w:tcW w:w="836" w:type="dxa"/>
                  <w:tcBorders>
                    <w:tl2br w:val="nil"/>
                    <w:tr2bl w:val="nil"/>
                  </w:tcBorders>
                  <w:vAlign w:val="center"/>
                </w:tcPr>
                <w:p w14:paraId="6C4CF0E4">
                  <w:pPr>
                    <w:widowControl/>
                    <w:adjustRightInd w:val="0"/>
                    <w:snapToGrid w:val="0"/>
                    <w:spacing w:line="240" w:lineRule="auto"/>
                    <w:jc w:val="center"/>
                    <w:rPr>
                      <w:sz w:val="21"/>
                      <w:szCs w:val="21"/>
                    </w:rPr>
                  </w:pPr>
                  <w:r>
                    <w:rPr>
                      <w:sz w:val="21"/>
                      <w:szCs w:val="21"/>
                    </w:rPr>
                    <w:t>18.56</w:t>
                  </w:r>
                </w:p>
              </w:tc>
              <w:tc>
                <w:tcPr>
                  <w:tcW w:w="854" w:type="dxa"/>
                  <w:tcBorders>
                    <w:tl2br w:val="nil"/>
                    <w:tr2bl w:val="nil"/>
                  </w:tcBorders>
                  <w:vAlign w:val="center"/>
                </w:tcPr>
                <w:p w14:paraId="5EC23BDC">
                  <w:pPr>
                    <w:widowControl/>
                    <w:adjustRightInd w:val="0"/>
                    <w:snapToGrid w:val="0"/>
                    <w:spacing w:line="240" w:lineRule="auto"/>
                    <w:jc w:val="center"/>
                    <w:rPr>
                      <w:sz w:val="21"/>
                      <w:szCs w:val="21"/>
                    </w:rPr>
                  </w:pPr>
                  <w:r>
                    <w:rPr>
                      <w:sz w:val="21"/>
                      <w:szCs w:val="21"/>
                    </w:rPr>
                    <w:t>0.026</w:t>
                  </w:r>
                </w:p>
              </w:tc>
              <w:tc>
                <w:tcPr>
                  <w:tcW w:w="842" w:type="dxa"/>
                  <w:tcBorders>
                    <w:tl2br w:val="nil"/>
                    <w:tr2bl w:val="nil"/>
                  </w:tcBorders>
                  <w:vAlign w:val="center"/>
                </w:tcPr>
                <w:p w14:paraId="5C7F4973">
                  <w:pPr>
                    <w:widowControl/>
                    <w:adjustRightInd w:val="0"/>
                    <w:snapToGrid w:val="0"/>
                    <w:spacing w:line="240" w:lineRule="auto"/>
                    <w:jc w:val="center"/>
                    <w:rPr>
                      <w:sz w:val="21"/>
                      <w:szCs w:val="21"/>
                    </w:rPr>
                  </w:pPr>
                  <w:r>
                    <w:rPr>
                      <w:sz w:val="21"/>
                      <w:szCs w:val="21"/>
                    </w:rPr>
                    <w:t>0.09</w:t>
                  </w:r>
                </w:p>
              </w:tc>
              <w:tc>
                <w:tcPr>
                  <w:tcW w:w="539" w:type="pct"/>
                  <w:vMerge w:val="continue"/>
                  <w:tcBorders>
                    <w:tl2br w:val="nil"/>
                    <w:tr2bl w:val="nil"/>
                  </w:tcBorders>
                  <w:vAlign w:val="center"/>
                </w:tcPr>
                <w:p w14:paraId="1A31BB83">
                  <w:pPr>
                    <w:pStyle w:val="29"/>
                    <w:rPr>
                      <w:sz w:val="21"/>
                      <w:szCs w:val="21"/>
                    </w:rPr>
                  </w:pPr>
                </w:p>
              </w:tc>
              <w:tc>
                <w:tcPr>
                  <w:tcW w:w="548" w:type="pct"/>
                  <w:vMerge w:val="continue"/>
                  <w:tcBorders>
                    <w:tl2br w:val="nil"/>
                    <w:tr2bl w:val="nil"/>
                  </w:tcBorders>
                  <w:vAlign w:val="center"/>
                </w:tcPr>
                <w:p w14:paraId="00F3584D">
                  <w:pPr>
                    <w:pStyle w:val="29"/>
                    <w:rPr>
                      <w:sz w:val="21"/>
                      <w:szCs w:val="21"/>
                    </w:rPr>
                  </w:pPr>
                </w:p>
              </w:tc>
            </w:tr>
            <w:tr w14:paraId="67D02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vMerge w:val="continue"/>
                  <w:tcBorders>
                    <w:tl2br w:val="nil"/>
                    <w:tr2bl w:val="nil"/>
                  </w:tcBorders>
                  <w:vAlign w:val="center"/>
                </w:tcPr>
                <w:p w14:paraId="1A0839B4">
                  <w:pPr>
                    <w:pStyle w:val="29"/>
                    <w:rPr>
                      <w:sz w:val="21"/>
                      <w:szCs w:val="21"/>
                    </w:rPr>
                  </w:pPr>
                </w:p>
              </w:tc>
              <w:tc>
                <w:tcPr>
                  <w:tcW w:w="633" w:type="pct"/>
                  <w:vMerge w:val="continue"/>
                  <w:tcBorders>
                    <w:tl2br w:val="nil"/>
                    <w:tr2bl w:val="nil"/>
                  </w:tcBorders>
                  <w:vAlign w:val="center"/>
                </w:tcPr>
                <w:p w14:paraId="489A7A2E">
                  <w:pPr>
                    <w:pStyle w:val="29"/>
                    <w:rPr>
                      <w:sz w:val="21"/>
                      <w:szCs w:val="21"/>
                    </w:rPr>
                  </w:pPr>
                </w:p>
              </w:tc>
              <w:tc>
                <w:tcPr>
                  <w:tcW w:w="695" w:type="pct"/>
                  <w:tcBorders>
                    <w:tl2br w:val="nil"/>
                    <w:tr2bl w:val="nil"/>
                  </w:tcBorders>
                  <w:shd w:val="clear" w:color="auto" w:fill="auto"/>
                  <w:vAlign w:val="center"/>
                </w:tcPr>
                <w:p w14:paraId="694E195A">
                  <w:pPr>
                    <w:pStyle w:val="29"/>
                    <w:rPr>
                      <w:sz w:val="21"/>
                      <w:szCs w:val="21"/>
                    </w:rPr>
                  </w:pPr>
                  <w:r>
                    <w:rPr>
                      <w:sz w:val="21"/>
                      <w:szCs w:val="21"/>
                    </w:rPr>
                    <w:t>氮氧化物</w:t>
                  </w:r>
                </w:p>
              </w:tc>
              <w:tc>
                <w:tcPr>
                  <w:tcW w:w="523" w:type="pct"/>
                  <w:vMerge w:val="continue"/>
                  <w:tcBorders>
                    <w:tl2br w:val="nil"/>
                    <w:tr2bl w:val="nil"/>
                  </w:tcBorders>
                  <w:vAlign w:val="center"/>
                </w:tcPr>
                <w:p w14:paraId="742F83BC">
                  <w:pPr>
                    <w:pStyle w:val="29"/>
                    <w:rPr>
                      <w:sz w:val="21"/>
                      <w:szCs w:val="21"/>
                    </w:rPr>
                  </w:pPr>
                </w:p>
              </w:tc>
              <w:tc>
                <w:tcPr>
                  <w:tcW w:w="836" w:type="dxa"/>
                  <w:tcBorders>
                    <w:tl2br w:val="nil"/>
                    <w:tr2bl w:val="nil"/>
                  </w:tcBorders>
                  <w:vAlign w:val="center"/>
                </w:tcPr>
                <w:p w14:paraId="5DDDAEAB">
                  <w:pPr>
                    <w:widowControl/>
                    <w:adjustRightInd w:val="0"/>
                    <w:snapToGrid w:val="0"/>
                    <w:spacing w:line="240" w:lineRule="auto"/>
                    <w:jc w:val="center"/>
                    <w:rPr>
                      <w:sz w:val="21"/>
                      <w:szCs w:val="21"/>
                    </w:rPr>
                  </w:pPr>
                  <w:r>
                    <w:rPr>
                      <w:sz w:val="21"/>
                      <w:szCs w:val="21"/>
                    </w:rPr>
                    <w:t>27.84</w:t>
                  </w:r>
                </w:p>
              </w:tc>
              <w:tc>
                <w:tcPr>
                  <w:tcW w:w="854" w:type="dxa"/>
                  <w:tcBorders>
                    <w:tl2br w:val="nil"/>
                    <w:tr2bl w:val="nil"/>
                  </w:tcBorders>
                  <w:vAlign w:val="center"/>
                </w:tcPr>
                <w:p w14:paraId="1C82BB34">
                  <w:pPr>
                    <w:widowControl/>
                    <w:adjustRightInd w:val="0"/>
                    <w:snapToGrid w:val="0"/>
                    <w:spacing w:line="240" w:lineRule="auto"/>
                    <w:jc w:val="center"/>
                    <w:rPr>
                      <w:sz w:val="21"/>
                      <w:szCs w:val="21"/>
                    </w:rPr>
                  </w:pPr>
                  <w:r>
                    <w:rPr>
                      <w:sz w:val="21"/>
                      <w:szCs w:val="21"/>
                    </w:rPr>
                    <w:t>0.04</w:t>
                  </w:r>
                </w:p>
              </w:tc>
              <w:tc>
                <w:tcPr>
                  <w:tcW w:w="842" w:type="dxa"/>
                  <w:tcBorders>
                    <w:tl2br w:val="nil"/>
                    <w:tr2bl w:val="nil"/>
                  </w:tcBorders>
                  <w:vAlign w:val="center"/>
                </w:tcPr>
                <w:p w14:paraId="5E546EA3">
                  <w:pPr>
                    <w:widowControl/>
                    <w:adjustRightInd w:val="0"/>
                    <w:snapToGrid w:val="0"/>
                    <w:spacing w:line="240" w:lineRule="auto"/>
                    <w:jc w:val="center"/>
                    <w:rPr>
                      <w:sz w:val="21"/>
                      <w:szCs w:val="21"/>
                    </w:rPr>
                  </w:pPr>
                  <w:r>
                    <w:rPr>
                      <w:sz w:val="21"/>
                      <w:szCs w:val="21"/>
                    </w:rPr>
                    <w:t>0.135</w:t>
                  </w:r>
                </w:p>
              </w:tc>
              <w:tc>
                <w:tcPr>
                  <w:tcW w:w="539" w:type="pct"/>
                  <w:vMerge w:val="continue"/>
                  <w:tcBorders>
                    <w:tl2br w:val="nil"/>
                    <w:tr2bl w:val="nil"/>
                  </w:tcBorders>
                  <w:vAlign w:val="center"/>
                </w:tcPr>
                <w:p w14:paraId="68255E9F">
                  <w:pPr>
                    <w:pStyle w:val="29"/>
                    <w:rPr>
                      <w:sz w:val="21"/>
                      <w:szCs w:val="21"/>
                    </w:rPr>
                  </w:pPr>
                </w:p>
              </w:tc>
              <w:tc>
                <w:tcPr>
                  <w:tcW w:w="548" w:type="pct"/>
                  <w:vMerge w:val="continue"/>
                  <w:tcBorders>
                    <w:tl2br w:val="nil"/>
                    <w:tr2bl w:val="nil"/>
                  </w:tcBorders>
                  <w:vAlign w:val="center"/>
                </w:tcPr>
                <w:p w14:paraId="7CABD9D1">
                  <w:pPr>
                    <w:pStyle w:val="29"/>
                    <w:rPr>
                      <w:sz w:val="21"/>
                      <w:szCs w:val="21"/>
                    </w:rPr>
                  </w:pPr>
                </w:p>
              </w:tc>
            </w:tr>
            <w:tr w14:paraId="44912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05" w:type="pct"/>
                  <w:vMerge w:val="continue"/>
                  <w:tcBorders>
                    <w:tl2br w:val="nil"/>
                    <w:tr2bl w:val="nil"/>
                  </w:tcBorders>
                  <w:vAlign w:val="center"/>
                </w:tcPr>
                <w:p w14:paraId="36B0B7CA">
                  <w:pPr>
                    <w:pStyle w:val="29"/>
                    <w:rPr>
                      <w:sz w:val="21"/>
                      <w:szCs w:val="21"/>
                    </w:rPr>
                  </w:pPr>
                </w:p>
              </w:tc>
              <w:tc>
                <w:tcPr>
                  <w:tcW w:w="633" w:type="pct"/>
                  <w:vMerge w:val="continue"/>
                  <w:tcBorders>
                    <w:tl2br w:val="nil"/>
                    <w:tr2bl w:val="nil"/>
                  </w:tcBorders>
                  <w:vAlign w:val="center"/>
                </w:tcPr>
                <w:p w14:paraId="34878E4F">
                  <w:pPr>
                    <w:pStyle w:val="29"/>
                    <w:rPr>
                      <w:sz w:val="21"/>
                      <w:szCs w:val="21"/>
                    </w:rPr>
                  </w:pPr>
                </w:p>
              </w:tc>
              <w:tc>
                <w:tcPr>
                  <w:tcW w:w="695" w:type="pct"/>
                  <w:tcBorders>
                    <w:tl2br w:val="nil"/>
                    <w:tr2bl w:val="nil"/>
                  </w:tcBorders>
                  <w:shd w:val="clear" w:color="auto" w:fill="auto"/>
                  <w:vAlign w:val="center"/>
                </w:tcPr>
                <w:p w14:paraId="4F6B42F1">
                  <w:pPr>
                    <w:pStyle w:val="29"/>
                    <w:rPr>
                      <w:sz w:val="21"/>
                      <w:szCs w:val="21"/>
                    </w:rPr>
                  </w:pPr>
                  <w:r>
                    <w:rPr>
                      <w:sz w:val="21"/>
                      <w:szCs w:val="21"/>
                    </w:rPr>
                    <w:t>烟气黑度</w:t>
                  </w:r>
                </w:p>
              </w:tc>
              <w:tc>
                <w:tcPr>
                  <w:tcW w:w="523" w:type="pct"/>
                  <w:vMerge w:val="continue"/>
                  <w:tcBorders>
                    <w:tl2br w:val="nil"/>
                    <w:tr2bl w:val="nil"/>
                  </w:tcBorders>
                  <w:vAlign w:val="center"/>
                </w:tcPr>
                <w:p w14:paraId="60F3F403">
                  <w:pPr>
                    <w:pStyle w:val="29"/>
                    <w:rPr>
                      <w:sz w:val="21"/>
                      <w:szCs w:val="21"/>
                    </w:rPr>
                  </w:pPr>
                </w:p>
              </w:tc>
              <w:tc>
                <w:tcPr>
                  <w:tcW w:w="546" w:type="pct"/>
                  <w:tcBorders>
                    <w:tl2br w:val="nil"/>
                    <w:tr2bl w:val="nil"/>
                  </w:tcBorders>
                  <w:shd w:val="clear" w:color="auto" w:fill="auto"/>
                  <w:vAlign w:val="center"/>
                </w:tcPr>
                <w:p w14:paraId="09E4F67A">
                  <w:pPr>
                    <w:pStyle w:val="56"/>
                    <w:rPr>
                      <w:rFonts w:eastAsiaTheme="minorEastAsia"/>
                      <w:sz w:val="21"/>
                      <w:szCs w:val="21"/>
                    </w:rPr>
                  </w:pPr>
                  <w:r>
                    <w:rPr>
                      <w:rFonts w:eastAsiaTheme="minorEastAsia"/>
                      <w:sz w:val="21"/>
                      <w:szCs w:val="21"/>
                    </w:rPr>
                    <w:t>＜1级</w:t>
                  </w:r>
                </w:p>
              </w:tc>
              <w:tc>
                <w:tcPr>
                  <w:tcW w:w="558" w:type="pct"/>
                  <w:tcBorders>
                    <w:tl2br w:val="nil"/>
                    <w:tr2bl w:val="nil"/>
                  </w:tcBorders>
                  <w:shd w:val="clear" w:color="auto" w:fill="auto"/>
                  <w:vAlign w:val="center"/>
                </w:tcPr>
                <w:p w14:paraId="2FD06290">
                  <w:pPr>
                    <w:pStyle w:val="56"/>
                    <w:rPr>
                      <w:rFonts w:eastAsiaTheme="minorEastAsia"/>
                      <w:sz w:val="21"/>
                      <w:szCs w:val="21"/>
                    </w:rPr>
                  </w:pPr>
                  <w:r>
                    <w:rPr>
                      <w:rFonts w:eastAsiaTheme="minorEastAsia"/>
                      <w:sz w:val="21"/>
                      <w:szCs w:val="21"/>
                    </w:rPr>
                    <w:t>/</w:t>
                  </w:r>
                </w:p>
              </w:tc>
              <w:tc>
                <w:tcPr>
                  <w:tcW w:w="550" w:type="pct"/>
                  <w:tcBorders>
                    <w:tl2br w:val="nil"/>
                    <w:tr2bl w:val="nil"/>
                  </w:tcBorders>
                  <w:vAlign w:val="center"/>
                </w:tcPr>
                <w:p w14:paraId="686209A6">
                  <w:pPr>
                    <w:pStyle w:val="29"/>
                    <w:rPr>
                      <w:sz w:val="21"/>
                      <w:szCs w:val="21"/>
                    </w:rPr>
                  </w:pPr>
                  <w:r>
                    <w:rPr>
                      <w:sz w:val="21"/>
                      <w:szCs w:val="21"/>
                    </w:rPr>
                    <w:t>/</w:t>
                  </w:r>
                </w:p>
              </w:tc>
              <w:tc>
                <w:tcPr>
                  <w:tcW w:w="539" w:type="pct"/>
                  <w:vMerge w:val="continue"/>
                  <w:tcBorders>
                    <w:tl2br w:val="nil"/>
                    <w:tr2bl w:val="nil"/>
                  </w:tcBorders>
                  <w:vAlign w:val="center"/>
                </w:tcPr>
                <w:p w14:paraId="14190F42">
                  <w:pPr>
                    <w:pStyle w:val="29"/>
                    <w:rPr>
                      <w:sz w:val="21"/>
                      <w:szCs w:val="21"/>
                    </w:rPr>
                  </w:pPr>
                </w:p>
              </w:tc>
              <w:tc>
                <w:tcPr>
                  <w:tcW w:w="548" w:type="pct"/>
                  <w:vMerge w:val="continue"/>
                  <w:tcBorders>
                    <w:tl2br w:val="nil"/>
                    <w:tr2bl w:val="nil"/>
                  </w:tcBorders>
                  <w:vAlign w:val="center"/>
                </w:tcPr>
                <w:p w14:paraId="206B044F">
                  <w:pPr>
                    <w:pStyle w:val="29"/>
                    <w:rPr>
                      <w:sz w:val="21"/>
                      <w:szCs w:val="21"/>
                    </w:rPr>
                  </w:pPr>
                </w:p>
              </w:tc>
            </w:tr>
          </w:tbl>
          <w:p w14:paraId="0E957AEC">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本项目无组织废气排放情况如下表所示。</w:t>
            </w:r>
          </w:p>
          <w:p w14:paraId="17995F3E">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表4-8  本项目无组织大气污染物产排情况汇总一览表</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1093"/>
              <w:gridCol w:w="1093"/>
              <w:gridCol w:w="1093"/>
              <w:gridCol w:w="1094"/>
              <w:gridCol w:w="1094"/>
              <w:gridCol w:w="1094"/>
            </w:tblGrid>
            <w:tr w14:paraId="2DC23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714" w:type="pct"/>
                  <w:tcBorders>
                    <w:tl2br w:val="nil"/>
                    <w:tr2bl w:val="nil"/>
                  </w:tcBorders>
                  <w:vAlign w:val="center"/>
                </w:tcPr>
                <w:p w14:paraId="71E78724">
                  <w:pPr>
                    <w:pStyle w:val="29"/>
                    <w:rPr>
                      <w:b/>
                      <w:bCs/>
                      <w:sz w:val="21"/>
                      <w:szCs w:val="21"/>
                    </w:rPr>
                  </w:pPr>
                  <w:r>
                    <w:rPr>
                      <w:b/>
                      <w:bCs/>
                      <w:sz w:val="21"/>
                      <w:szCs w:val="21"/>
                    </w:rPr>
                    <w:t>污染源</w:t>
                  </w:r>
                </w:p>
              </w:tc>
              <w:tc>
                <w:tcPr>
                  <w:tcW w:w="714" w:type="pct"/>
                  <w:tcBorders>
                    <w:tl2br w:val="nil"/>
                    <w:tr2bl w:val="nil"/>
                  </w:tcBorders>
                  <w:vAlign w:val="center"/>
                </w:tcPr>
                <w:p w14:paraId="5A386411">
                  <w:pPr>
                    <w:pStyle w:val="29"/>
                    <w:rPr>
                      <w:b/>
                      <w:bCs/>
                      <w:sz w:val="21"/>
                      <w:szCs w:val="21"/>
                    </w:rPr>
                  </w:pPr>
                  <w:r>
                    <w:rPr>
                      <w:b/>
                      <w:bCs/>
                      <w:sz w:val="21"/>
                      <w:szCs w:val="21"/>
                    </w:rPr>
                    <w:t>污染物</w:t>
                  </w:r>
                </w:p>
              </w:tc>
              <w:tc>
                <w:tcPr>
                  <w:tcW w:w="714" w:type="pct"/>
                  <w:tcBorders>
                    <w:tl2br w:val="nil"/>
                    <w:tr2bl w:val="nil"/>
                  </w:tcBorders>
                  <w:vAlign w:val="center"/>
                </w:tcPr>
                <w:p w14:paraId="4063C0E9">
                  <w:pPr>
                    <w:pStyle w:val="29"/>
                    <w:rPr>
                      <w:b/>
                      <w:bCs/>
                      <w:sz w:val="21"/>
                      <w:szCs w:val="21"/>
                    </w:rPr>
                  </w:pPr>
                  <w:r>
                    <w:rPr>
                      <w:b/>
                      <w:bCs/>
                      <w:sz w:val="21"/>
                      <w:szCs w:val="21"/>
                    </w:rPr>
                    <w:t>长度（m）</w:t>
                  </w:r>
                </w:p>
              </w:tc>
              <w:tc>
                <w:tcPr>
                  <w:tcW w:w="714" w:type="pct"/>
                  <w:tcBorders>
                    <w:tl2br w:val="nil"/>
                    <w:tr2bl w:val="nil"/>
                  </w:tcBorders>
                  <w:vAlign w:val="center"/>
                </w:tcPr>
                <w:p w14:paraId="4DEC713A">
                  <w:pPr>
                    <w:pStyle w:val="29"/>
                    <w:rPr>
                      <w:b/>
                      <w:bCs/>
                      <w:sz w:val="21"/>
                      <w:szCs w:val="21"/>
                    </w:rPr>
                  </w:pPr>
                  <w:r>
                    <w:rPr>
                      <w:b/>
                      <w:bCs/>
                      <w:sz w:val="21"/>
                      <w:szCs w:val="21"/>
                    </w:rPr>
                    <w:t>宽度（m）</w:t>
                  </w:r>
                </w:p>
              </w:tc>
              <w:tc>
                <w:tcPr>
                  <w:tcW w:w="714" w:type="pct"/>
                  <w:tcBorders>
                    <w:tl2br w:val="nil"/>
                    <w:tr2bl w:val="nil"/>
                  </w:tcBorders>
                  <w:vAlign w:val="center"/>
                </w:tcPr>
                <w:p w14:paraId="02C09BF6">
                  <w:pPr>
                    <w:pStyle w:val="29"/>
                    <w:rPr>
                      <w:b/>
                      <w:bCs/>
                      <w:sz w:val="21"/>
                      <w:szCs w:val="21"/>
                    </w:rPr>
                  </w:pPr>
                  <w:r>
                    <w:rPr>
                      <w:b/>
                      <w:bCs/>
                      <w:sz w:val="21"/>
                      <w:szCs w:val="21"/>
                    </w:rPr>
                    <w:t>初始排放高度（m）</w:t>
                  </w:r>
                </w:p>
              </w:tc>
              <w:tc>
                <w:tcPr>
                  <w:tcW w:w="714" w:type="pct"/>
                  <w:tcBorders>
                    <w:tl2br w:val="nil"/>
                    <w:tr2bl w:val="nil"/>
                  </w:tcBorders>
                  <w:vAlign w:val="center"/>
                </w:tcPr>
                <w:p w14:paraId="322BD055">
                  <w:pPr>
                    <w:pStyle w:val="29"/>
                    <w:rPr>
                      <w:b/>
                      <w:bCs/>
                      <w:sz w:val="21"/>
                      <w:szCs w:val="21"/>
                    </w:rPr>
                  </w:pPr>
                  <w:r>
                    <w:rPr>
                      <w:b/>
                      <w:bCs/>
                      <w:sz w:val="21"/>
                      <w:szCs w:val="21"/>
                    </w:rPr>
                    <w:t>排放速率（kg/h）</w:t>
                  </w:r>
                </w:p>
              </w:tc>
              <w:tc>
                <w:tcPr>
                  <w:tcW w:w="714" w:type="pct"/>
                  <w:tcBorders>
                    <w:tl2br w:val="nil"/>
                    <w:tr2bl w:val="nil"/>
                  </w:tcBorders>
                  <w:vAlign w:val="center"/>
                </w:tcPr>
                <w:p w14:paraId="55E42DEA">
                  <w:pPr>
                    <w:pStyle w:val="29"/>
                    <w:rPr>
                      <w:b/>
                      <w:bCs/>
                      <w:sz w:val="21"/>
                      <w:szCs w:val="21"/>
                    </w:rPr>
                  </w:pPr>
                  <w:r>
                    <w:rPr>
                      <w:b/>
                      <w:bCs/>
                      <w:sz w:val="21"/>
                      <w:szCs w:val="21"/>
                    </w:rPr>
                    <w:t>年排放量（t/a）</w:t>
                  </w:r>
                </w:p>
              </w:tc>
            </w:tr>
            <w:tr w14:paraId="6E8B0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714" w:type="pct"/>
                  <w:tcBorders>
                    <w:tl2br w:val="nil"/>
                    <w:tr2bl w:val="nil"/>
                  </w:tcBorders>
                  <w:vAlign w:val="center"/>
                </w:tcPr>
                <w:p w14:paraId="0FAEF925">
                  <w:pPr>
                    <w:pStyle w:val="29"/>
                    <w:rPr>
                      <w:sz w:val="21"/>
                      <w:szCs w:val="21"/>
                    </w:rPr>
                  </w:pPr>
                  <w:r>
                    <w:rPr>
                      <w:sz w:val="21"/>
                      <w:szCs w:val="21"/>
                    </w:rPr>
                    <w:t>制胶</w:t>
                  </w:r>
                </w:p>
              </w:tc>
              <w:tc>
                <w:tcPr>
                  <w:tcW w:w="714" w:type="pct"/>
                  <w:tcBorders>
                    <w:tl2br w:val="nil"/>
                    <w:tr2bl w:val="nil"/>
                  </w:tcBorders>
                  <w:vAlign w:val="center"/>
                </w:tcPr>
                <w:p w14:paraId="4698CD18">
                  <w:pPr>
                    <w:pStyle w:val="29"/>
                    <w:rPr>
                      <w:rFonts w:hint="default" w:eastAsia="宋体"/>
                      <w:sz w:val="21"/>
                      <w:szCs w:val="21"/>
                      <w:lang w:eastAsia="zh-CN"/>
                    </w:rPr>
                  </w:pPr>
                  <w:r>
                    <w:rPr>
                      <w:rFonts w:hint="default"/>
                      <w:sz w:val="21"/>
                      <w:szCs w:val="21"/>
                      <w:lang w:eastAsia="zh-CN"/>
                    </w:rPr>
                    <w:t>颗粒物</w:t>
                  </w:r>
                </w:p>
              </w:tc>
              <w:tc>
                <w:tcPr>
                  <w:tcW w:w="714" w:type="pct"/>
                  <w:tcBorders>
                    <w:tl2br w:val="nil"/>
                    <w:tr2bl w:val="nil"/>
                  </w:tcBorders>
                  <w:vAlign w:val="center"/>
                </w:tcPr>
                <w:p w14:paraId="6F00E496">
                  <w:pPr>
                    <w:pStyle w:val="29"/>
                    <w:rPr>
                      <w:sz w:val="21"/>
                      <w:szCs w:val="21"/>
                    </w:rPr>
                  </w:pPr>
                  <w:r>
                    <w:rPr>
                      <w:sz w:val="21"/>
                      <w:szCs w:val="21"/>
                    </w:rPr>
                    <w:t>120</w:t>
                  </w:r>
                </w:p>
              </w:tc>
              <w:tc>
                <w:tcPr>
                  <w:tcW w:w="714" w:type="pct"/>
                  <w:tcBorders>
                    <w:tl2br w:val="nil"/>
                    <w:tr2bl w:val="nil"/>
                  </w:tcBorders>
                  <w:vAlign w:val="center"/>
                </w:tcPr>
                <w:p w14:paraId="104E4AA7">
                  <w:pPr>
                    <w:pStyle w:val="29"/>
                    <w:rPr>
                      <w:sz w:val="21"/>
                      <w:szCs w:val="21"/>
                    </w:rPr>
                  </w:pPr>
                  <w:r>
                    <w:rPr>
                      <w:sz w:val="21"/>
                      <w:szCs w:val="21"/>
                    </w:rPr>
                    <w:t>32</w:t>
                  </w:r>
                </w:p>
              </w:tc>
              <w:tc>
                <w:tcPr>
                  <w:tcW w:w="714" w:type="pct"/>
                  <w:tcBorders>
                    <w:tl2br w:val="nil"/>
                    <w:tr2bl w:val="nil"/>
                  </w:tcBorders>
                  <w:vAlign w:val="center"/>
                </w:tcPr>
                <w:p w14:paraId="26929B65">
                  <w:pPr>
                    <w:pStyle w:val="29"/>
                    <w:rPr>
                      <w:sz w:val="21"/>
                      <w:szCs w:val="21"/>
                    </w:rPr>
                  </w:pPr>
                  <w:r>
                    <w:rPr>
                      <w:sz w:val="21"/>
                      <w:szCs w:val="21"/>
                    </w:rPr>
                    <w:t>12</w:t>
                  </w:r>
                </w:p>
              </w:tc>
              <w:tc>
                <w:tcPr>
                  <w:tcW w:w="714" w:type="pct"/>
                  <w:tcBorders>
                    <w:tl2br w:val="nil"/>
                    <w:tr2bl w:val="nil"/>
                  </w:tcBorders>
                  <w:vAlign w:val="center"/>
                </w:tcPr>
                <w:p w14:paraId="61604A68">
                  <w:pPr>
                    <w:pStyle w:val="29"/>
                    <w:rPr>
                      <w:sz w:val="21"/>
                      <w:szCs w:val="21"/>
                    </w:rPr>
                  </w:pPr>
                  <w:r>
                    <w:rPr>
                      <w:sz w:val="21"/>
                      <w:szCs w:val="21"/>
                    </w:rPr>
                    <w:t>0.035</w:t>
                  </w:r>
                </w:p>
              </w:tc>
              <w:tc>
                <w:tcPr>
                  <w:tcW w:w="714" w:type="pct"/>
                  <w:tcBorders>
                    <w:tl2br w:val="nil"/>
                    <w:tr2bl w:val="nil"/>
                  </w:tcBorders>
                  <w:vAlign w:val="center"/>
                </w:tcPr>
                <w:p w14:paraId="46135405">
                  <w:pPr>
                    <w:pStyle w:val="29"/>
                    <w:rPr>
                      <w:sz w:val="21"/>
                      <w:szCs w:val="21"/>
                    </w:rPr>
                  </w:pPr>
                  <w:r>
                    <w:rPr>
                      <w:sz w:val="21"/>
                      <w:szCs w:val="21"/>
                    </w:rPr>
                    <w:t>0.034</w:t>
                  </w:r>
                </w:p>
              </w:tc>
            </w:tr>
            <w:tr w14:paraId="74A6E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714" w:type="pct"/>
                  <w:tcBorders>
                    <w:tl2br w:val="nil"/>
                    <w:tr2bl w:val="nil"/>
                  </w:tcBorders>
                  <w:vAlign w:val="center"/>
                </w:tcPr>
                <w:p w14:paraId="67B04236">
                  <w:pPr>
                    <w:pStyle w:val="29"/>
                    <w:rPr>
                      <w:sz w:val="21"/>
                      <w:szCs w:val="21"/>
                    </w:rPr>
                  </w:pPr>
                  <w:r>
                    <w:rPr>
                      <w:sz w:val="21"/>
                      <w:szCs w:val="21"/>
                    </w:rPr>
                    <w:t>印刷</w:t>
                  </w:r>
                </w:p>
              </w:tc>
              <w:tc>
                <w:tcPr>
                  <w:tcW w:w="714" w:type="pct"/>
                  <w:tcBorders>
                    <w:tl2br w:val="nil"/>
                    <w:tr2bl w:val="nil"/>
                  </w:tcBorders>
                  <w:vAlign w:val="center"/>
                </w:tcPr>
                <w:p w14:paraId="6FE91244">
                  <w:pPr>
                    <w:pStyle w:val="29"/>
                    <w:rPr>
                      <w:sz w:val="21"/>
                      <w:szCs w:val="21"/>
                    </w:rPr>
                  </w:pPr>
                  <w:r>
                    <w:rPr>
                      <w:sz w:val="21"/>
                      <w:szCs w:val="21"/>
                    </w:rPr>
                    <w:t>非甲烷总烃</w:t>
                  </w:r>
                </w:p>
              </w:tc>
              <w:tc>
                <w:tcPr>
                  <w:tcW w:w="1093" w:type="dxa"/>
                  <w:tcBorders>
                    <w:tl2br w:val="nil"/>
                    <w:tr2bl w:val="nil"/>
                  </w:tcBorders>
                  <w:vAlign w:val="center"/>
                </w:tcPr>
                <w:p w14:paraId="5B6EB62F">
                  <w:pPr>
                    <w:pStyle w:val="29"/>
                    <w:rPr>
                      <w:sz w:val="21"/>
                      <w:szCs w:val="21"/>
                    </w:rPr>
                  </w:pPr>
                  <w:r>
                    <w:rPr>
                      <w:sz w:val="21"/>
                      <w:szCs w:val="21"/>
                    </w:rPr>
                    <w:t>30</w:t>
                  </w:r>
                </w:p>
              </w:tc>
              <w:tc>
                <w:tcPr>
                  <w:tcW w:w="1093" w:type="dxa"/>
                  <w:tcBorders>
                    <w:tl2br w:val="nil"/>
                    <w:tr2bl w:val="nil"/>
                  </w:tcBorders>
                  <w:vAlign w:val="center"/>
                </w:tcPr>
                <w:p w14:paraId="4150101A">
                  <w:pPr>
                    <w:pStyle w:val="29"/>
                    <w:rPr>
                      <w:sz w:val="21"/>
                      <w:szCs w:val="21"/>
                    </w:rPr>
                  </w:pPr>
                  <w:r>
                    <w:rPr>
                      <w:sz w:val="21"/>
                      <w:szCs w:val="21"/>
                    </w:rPr>
                    <w:t>15</w:t>
                  </w:r>
                </w:p>
              </w:tc>
              <w:tc>
                <w:tcPr>
                  <w:tcW w:w="1094" w:type="dxa"/>
                  <w:tcBorders>
                    <w:tl2br w:val="nil"/>
                    <w:tr2bl w:val="nil"/>
                  </w:tcBorders>
                  <w:vAlign w:val="center"/>
                </w:tcPr>
                <w:p w14:paraId="378685EB">
                  <w:pPr>
                    <w:pStyle w:val="29"/>
                    <w:rPr>
                      <w:sz w:val="21"/>
                      <w:szCs w:val="21"/>
                    </w:rPr>
                  </w:pPr>
                  <w:r>
                    <w:rPr>
                      <w:sz w:val="21"/>
                      <w:szCs w:val="21"/>
                    </w:rPr>
                    <w:t>12</w:t>
                  </w:r>
                </w:p>
              </w:tc>
              <w:tc>
                <w:tcPr>
                  <w:tcW w:w="714" w:type="pct"/>
                  <w:tcBorders>
                    <w:tl2br w:val="nil"/>
                    <w:tr2bl w:val="nil"/>
                  </w:tcBorders>
                  <w:vAlign w:val="center"/>
                </w:tcPr>
                <w:p w14:paraId="3ECC655C">
                  <w:pPr>
                    <w:pStyle w:val="29"/>
                    <w:rPr>
                      <w:sz w:val="21"/>
                      <w:szCs w:val="21"/>
                    </w:rPr>
                  </w:pPr>
                  <w:r>
                    <w:rPr>
                      <w:sz w:val="21"/>
                      <w:szCs w:val="21"/>
                    </w:rPr>
                    <w:t>0.001</w:t>
                  </w:r>
                </w:p>
              </w:tc>
              <w:tc>
                <w:tcPr>
                  <w:tcW w:w="714" w:type="pct"/>
                  <w:tcBorders>
                    <w:tl2br w:val="nil"/>
                    <w:tr2bl w:val="nil"/>
                  </w:tcBorders>
                  <w:vAlign w:val="center"/>
                </w:tcPr>
                <w:p w14:paraId="42593DDC">
                  <w:pPr>
                    <w:pStyle w:val="29"/>
                    <w:rPr>
                      <w:sz w:val="21"/>
                      <w:szCs w:val="21"/>
                    </w:rPr>
                  </w:pPr>
                  <w:r>
                    <w:rPr>
                      <w:sz w:val="21"/>
                      <w:szCs w:val="21"/>
                    </w:rPr>
                    <w:t>0.0012</w:t>
                  </w:r>
                </w:p>
              </w:tc>
            </w:tr>
            <w:tr w14:paraId="5FE9A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714" w:type="pct"/>
                  <w:vMerge w:val="restart"/>
                  <w:tcBorders>
                    <w:tl2br w:val="nil"/>
                    <w:tr2bl w:val="nil"/>
                  </w:tcBorders>
                  <w:vAlign w:val="center"/>
                </w:tcPr>
                <w:p w14:paraId="41EC7F2C">
                  <w:pPr>
                    <w:pStyle w:val="29"/>
                    <w:rPr>
                      <w:sz w:val="21"/>
                      <w:szCs w:val="21"/>
                    </w:rPr>
                  </w:pPr>
                  <w:r>
                    <w:rPr>
                      <w:sz w:val="21"/>
                      <w:szCs w:val="21"/>
                    </w:rPr>
                    <w:t>合计</w:t>
                  </w:r>
                </w:p>
              </w:tc>
              <w:tc>
                <w:tcPr>
                  <w:tcW w:w="714" w:type="pct"/>
                  <w:tcBorders>
                    <w:tl2br w:val="nil"/>
                    <w:tr2bl w:val="nil"/>
                  </w:tcBorders>
                  <w:vAlign w:val="center"/>
                </w:tcPr>
                <w:p w14:paraId="28D78C6F">
                  <w:pPr>
                    <w:pStyle w:val="29"/>
                    <w:rPr>
                      <w:rFonts w:hint="eastAsia"/>
                      <w:sz w:val="21"/>
                      <w:szCs w:val="21"/>
                    </w:rPr>
                  </w:pPr>
                  <w:r>
                    <w:rPr>
                      <w:rFonts w:hint="eastAsia"/>
                      <w:sz w:val="21"/>
                      <w:szCs w:val="21"/>
                      <w:lang w:eastAsia="zh-CN"/>
                    </w:rPr>
                    <w:t>颗粒物</w:t>
                  </w:r>
                </w:p>
              </w:tc>
              <w:tc>
                <w:tcPr>
                  <w:tcW w:w="714" w:type="pct"/>
                  <w:tcBorders>
                    <w:tl2br w:val="nil"/>
                    <w:tr2bl w:val="nil"/>
                  </w:tcBorders>
                  <w:vAlign w:val="center"/>
                </w:tcPr>
                <w:p w14:paraId="703342CE">
                  <w:pPr>
                    <w:pStyle w:val="29"/>
                    <w:rPr>
                      <w:sz w:val="21"/>
                      <w:szCs w:val="21"/>
                    </w:rPr>
                  </w:pPr>
                  <w:r>
                    <w:rPr>
                      <w:sz w:val="21"/>
                      <w:szCs w:val="21"/>
                    </w:rPr>
                    <w:t>/</w:t>
                  </w:r>
                </w:p>
              </w:tc>
              <w:tc>
                <w:tcPr>
                  <w:tcW w:w="714" w:type="pct"/>
                  <w:tcBorders>
                    <w:tl2br w:val="nil"/>
                    <w:tr2bl w:val="nil"/>
                  </w:tcBorders>
                  <w:vAlign w:val="center"/>
                </w:tcPr>
                <w:p w14:paraId="7996D9C9">
                  <w:pPr>
                    <w:pStyle w:val="29"/>
                    <w:rPr>
                      <w:sz w:val="21"/>
                      <w:szCs w:val="21"/>
                    </w:rPr>
                  </w:pPr>
                  <w:r>
                    <w:rPr>
                      <w:sz w:val="21"/>
                      <w:szCs w:val="21"/>
                    </w:rPr>
                    <w:t>/</w:t>
                  </w:r>
                </w:p>
              </w:tc>
              <w:tc>
                <w:tcPr>
                  <w:tcW w:w="714" w:type="pct"/>
                  <w:tcBorders>
                    <w:tl2br w:val="nil"/>
                    <w:tr2bl w:val="nil"/>
                  </w:tcBorders>
                  <w:vAlign w:val="center"/>
                </w:tcPr>
                <w:p w14:paraId="2B2DE517">
                  <w:pPr>
                    <w:pStyle w:val="29"/>
                    <w:rPr>
                      <w:sz w:val="21"/>
                      <w:szCs w:val="21"/>
                    </w:rPr>
                  </w:pPr>
                  <w:r>
                    <w:rPr>
                      <w:sz w:val="21"/>
                      <w:szCs w:val="21"/>
                    </w:rPr>
                    <w:t>/</w:t>
                  </w:r>
                </w:p>
              </w:tc>
              <w:tc>
                <w:tcPr>
                  <w:tcW w:w="714" w:type="pct"/>
                  <w:tcBorders>
                    <w:tl2br w:val="nil"/>
                    <w:tr2bl w:val="nil"/>
                  </w:tcBorders>
                  <w:vAlign w:val="center"/>
                </w:tcPr>
                <w:p w14:paraId="1ABA5A95">
                  <w:pPr>
                    <w:pStyle w:val="29"/>
                    <w:rPr>
                      <w:sz w:val="21"/>
                      <w:szCs w:val="21"/>
                    </w:rPr>
                  </w:pPr>
                  <w:r>
                    <w:rPr>
                      <w:sz w:val="21"/>
                      <w:szCs w:val="21"/>
                    </w:rPr>
                    <w:t>0.063</w:t>
                  </w:r>
                </w:p>
              </w:tc>
              <w:tc>
                <w:tcPr>
                  <w:tcW w:w="714" w:type="pct"/>
                  <w:tcBorders>
                    <w:tl2br w:val="nil"/>
                    <w:tr2bl w:val="nil"/>
                  </w:tcBorders>
                  <w:vAlign w:val="center"/>
                </w:tcPr>
                <w:p w14:paraId="7A31B495">
                  <w:pPr>
                    <w:pStyle w:val="29"/>
                    <w:rPr>
                      <w:sz w:val="21"/>
                      <w:szCs w:val="21"/>
                    </w:rPr>
                  </w:pPr>
                  <w:r>
                    <w:rPr>
                      <w:sz w:val="21"/>
                      <w:szCs w:val="21"/>
                    </w:rPr>
                    <w:t>0.034</w:t>
                  </w:r>
                </w:p>
              </w:tc>
            </w:tr>
            <w:tr w14:paraId="7EACF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714" w:type="pct"/>
                  <w:vMerge w:val="continue"/>
                  <w:tcBorders>
                    <w:tl2br w:val="nil"/>
                    <w:tr2bl w:val="nil"/>
                  </w:tcBorders>
                  <w:vAlign w:val="center"/>
                </w:tcPr>
                <w:p w14:paraId="221DFFFA">
                  <w:pPr>
                    <w:pStyle w:val="29"/>
                    <w:rPr>
                      <w:sz w:val="21"/>
                      <w:szCs w:val="21"/>
                    </w:rPr>
                  </w:pPr>
                </w:p>
              </w:tc>
              <w:tc>
                <w:tcPr>
                  <w:tcW w:w="714" w:type="pct"/>
                  <w:tcBorders>
                    <w:tl2br w:val="nil"/>
                    <w:tr2bl w:val="nil"/>
                  </w:tcBorders>
                  <w:vAlign w:val="center"/>
                </w:tcPr>
                <w:p w14:paraId="73F1D5E9">
                  <w:pPr>
                    <w:pStyle w:val="29"/>
                    <w:rPr>
                      <w:sz w:val="21"/>
                      <w:szCs w:val="21"/>
                    </w:rPr>
                  </w:pPr>
                  <w:r>
                    <w:rPr>
                      <w:sz w:val="21"/>
                      <w:szCs w:val="21"/>
                    </w:rPr>
                    <w:t>非甲烷总烃</w:t>
                  </w:r>
                </w:p>
              </w:tc>
              <w:tc>
                <w:tcPr>
                  <w:tcW w:w="714" w:type="pct"/>
                  <w:tcBorders>
                    <w:tl2br w:val="nil"/>
                    <w:tr2bl w:val="nil"/>
                  </w:tcBorders>
                  <w:vAlign w:val="center"/>
                </w:tcPr>
                <w:p w14:paraId="1FA83F69">
                  <w:pPr>
                    <w:pStyle w:val="29"/>
                    <w:rPr>
                      <w:sz w:val="21"/>
                      <w:szCs w:val="21"/>
                    </w:rPr>
                  </w:pPr>
                  <w:r>
                    <w:rPr>
                      <w:sz w:val="21"/>
                      <w:szCs w:val="21"/>
                    </w:rPr>
                    <w:t>/</w:t>
                  </w:r>
                </w:p>
              </w:tc>
              <w:tc>
                <w:tcPr>
                  <w:tcW w:w="714" w:type="pct"/>
                  <w:tcBorders>
                    <w:tl2br w:val="nil"/>
                    <w:tr2bl w:val="nil"/>
                  </w:tcBorders>
                  <w:vAlign w:val="center"/>
                </w:tcPr>
                <w:p w14:paraId="14956B0D">
                  <w:pPr>
                    <w:pStyle w:val="29"/>
                    <w:rPr>
                      <w:sz w:val="21"/>
                      <w:szCs w:val="21"/>
                    </w:rPr>
                  </w:pPr>
                  <w:r>
                    <w:rPr>
                      <w:sz w:val="21"/>
                      <w:szCs w:val="21"/>
                    </w:rPr>
                    <w:t>/</w:t>
                  </w:r>
                </w:p>
              </w:tc>
              <w:tc>
                <w:tcPr>
                  <w:tcW w:w="714" w:type="pct"/>
                  <w:tcBorders>
                    <w:tl2br w:val="nil"/>
                    <w:tr2bl w:val="nil"/>
                  </w:tcBorders>
                  <w:vAlign w:val="center"/>
                </w:tcPr>
                <w:p w14:paraId="43388546">
                  <w:pPr>
                    <w:pStyle w:val="29"/>
                    <w:rPr>
                      <w:sz w:val="21"/>
                      <w:szCs w:val="21"/>
                    </w:rPr>
                  </w:pPr>
                  <w:r>
                    <w:rPr>
                      <w:sz w:val="21"/>
                      <w:szCs w:val="21"/>
                    </w:rPr>
                    <w:t>/</w:t>
                  </w:r>
                </w:p>
              </w:tc>
              <w:tc>
                <w:tcPr>
                  <w:tcW w:w="714" w:type="pct"/>
                  <w:tcBorders>
                    <w:tl2br w:val="nil"/>
                    <w:tr2bl w:val="nil"/>
                  </w:tcBorders>
                  <w:vAlign w:val="center"/>
                </w:tcPr>
                <w:p w14:paraId="6A5DA711">
                  <w:pPr>
                    <w:pStyle w:val="29"/>
                    <w:rPr>
                      <w:sz w:val="21"/>
                      <w:szCs w:val="21"/>
                    </w:rPr>
                  </w:pPr>
                  <w:r>
                    <w:rPr>
                      <w:sz w:val="21"/>
                      <w:szCs w:val="21"/>
                    </w:rPr>
                    <w:t>0.001</w:t>
                  </w:r>
                </w:p>
              </w:tc>
              <w:tc>
                <w:tcPr>
                  <w:tcW w:w="714" w:type="pct"/>
                  <w:tcBorders>
                    <w:tl2br w:val="nil"/>
                    <w:tr2bl w:val="nil"/>
                  </w:tcBorders>
                  <w:vAlign w:val="center"/>
                </w:tcPr>
                <w:p w14:paraId="25DF32CF">
                  <w:pPr>
                    <w:pStyle w:val="29"/>
                    <w:rPr>
                      <w:sz w:val="21"/>
                      <w:szCs w:val="21"/>
                    </w:rPr>
                  </w:pPr>
                  <w:r>
                    <w:rPr>
                      <w:sz w:val="21"/>
                      <w:szCs w:val="21"/>
                    </w:rPr>
                    <w:t>0.0012</w:t>
                  </w:r>
                </w:p>
              </w:tc>
            </w:tr>
          </w:tbl>
          <w:p w14:paraId="4D9169B4">
            <w:pPr>
              <w:adjustRightInd w:val="0"/>
              <w:ind w:firstLine="482" w:firstLineChars="200"/>
              <w:textAlignment w:val="baseline"/>
              <w:rPr>
                <w:rFonts w:hint="default" w:ascii="Times New Roman" w:hAnsi="Times New Roman" w:cs="Times New Roman"/>
                <w:b/>
                <w:bCs/>
              </w:rPr>
            </w:pPr>
            <w:r>
              <w:rPr>
                <w:rFonts w:hint="default" w:ascii="Times New Roman" w:hAnsi="Times New Roman" w:cs="Times New Roman"/>
                <w:b/>
                <w:bCs/>
              </w:rPr>
              <w:t>各废气污染物排放源核算过程具体可见“污染源核算过程简述”。</w:t>
            </w:r>
          </w:p>
          <w:p w14:paraId="5E90FC20">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（4）废气排放口基本情况</w:t>
            </w:r>
          </w:p>
          <w:p w14:paraId="7B253A61">
            <w:pPr>
              <w:adjustRightInd w:val="0"/>
              <w:ind w:firstLine="480" w:firstLineChars="200"/>
              <w:textAlignment w:val="baseline"/>
              <w:rPr>
                <w:rFonts w:hint="default" w:ascii="Times New Roman" w:hAnsi="Times New Roman" w:cs="Times New Roman"/>
              </w:rPr>
            </w:pPr>
            <w:r>
              <w:rPr>
                <w:rFonts w:hint="default" w:ascii="Times New Roman" w:hAnsi="Times New Roman" w:cs="Times New Roman"/>
              </w:rPr>
              <w:t>本项目废气排放口基本情况信息见下表所示。</w:t>
            </w:r>
          </w:p>
          <w:p w14:paraId="5E3D8483">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表4-9 本项目有组织废气排放口基本情况一览表</w:t>
            </w:r>
          </w:p>
          <w:tbl>
            <w:tblPr>
              <w:tblStyle w:val="3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27"/>
              <w:gridCol w:w="778"/>
              <w:gridCol w:w="1217"/>
              <w:gridCol w:w="1010"/>
              <w:gridCol w:w="325"/>
              <w:gridCol w:w="325"/>
              <w:gridCol w:w="362"/>
              <w:gridCol w:w="221"/>
              <w:gridCol w:w="728"/>
              <w:gridCol w:w="2061"/>
            </w:tblGrid>
            <w:tr w14:paraId="133EDD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restart"/>
                  <w:tcBorders>
                    <w:bottom w:val="nil"/>
                  </w:tcBorders>
                  <w:vAlign w:val="center"/>
                </w:tcPr>
                <w:p w14:paraId="7911775E">
                  <w:pPr>
                    <w:pStyle w:val="29"/>
                    <w:rPr>
                      <w:b/>
                      <w:bCs/>
                      <w:sz w:val="21"/>
                      <w:szCs w:val="21"/>
                    </w:rPr>
                  </w:pPr>
                  <w:r>
                    <w:rPr>
                      <w:b/>
                      <w:bCs/>
                      <w:sz w:val="21"/>
                      <w:szCs w:val="21"/>
                    </w:rPr>
                    <w:t>排放口</w:t>
                  </w:r>
                </w:p>
                <w:p w14:paraId="2E1D52ED">
                  <w:pPr>
                    <w:pStyle w:val="29"/>
                    <w:rPr>
                      <w:b/>
                      <w:bCs/>
                      <w:sz w:val="21"/>
                      <w:szCs w:val="21"/>
                    </w:rPr>
                  </w:pPr>
                  <w:r>
                    <w:rPr>
                      <w:b/>
                      <w:bCs/>
                      <w:sz w:val="21"/>
                      <w:szCs w:val="21"/>
                    </w:rPr>
                    <w:t>编号</w:t>
                  </w:r>
                </w:p>
              </w:tc>
              <w:tc>
                <w:tcPr>
                  <w:tcW w:w="508" w:type="pct"/>
                  <w:vMerge w:val="restart"/>
                  <w:tcBorders>
                    <w:bottom w:val="nil"/>
                  </w:tcBorders>
                  <w:vAlign w:val="center"/>
                </w:tcPr>
                <w:p w14:paraId="360318A7">
                  <w:pPr>
                    <w:pStyle w:val="29"/>
                    <w:rPr>
                      <w:b/>
                      <w:bCs/>
                      <w:sz w:val="21"/>
                      <w:szCs w:val="21"/>
                    </w:rPr>
                  </w:pPr>
                  <w:r>
                    <w:rPr>
                      <w:b/>
                      <w:bCs/>
                      <w:sz w:val="21"/>
                      <w:szCs w:val="21"/>
                    </w:rPr>
                    <w:t>污染物种类</w:t>
                  </w:r>
                </w:p>
              </w:tc>
              <w:tc>
                <w:tcPr>
                  <w:tcW w:w="1454" w:type="pct"/>
                  <w:gridSpan w:val="2"/>
                  <w:vAlign w:val="center"/>
                </w:tcPr>
                <w:p w14:paraId="2FD58E3E">
                  <w:pPr>
                    <w:pStyle w:val="29"/>
                    <w:rPr>
                      <w:b/>
                      <w:bCs/>
                      <w:sz w:val="21"/>
                      <w:szCs w:val="21"/>
                    </w:rPr>
                  </w:pPr>
                  <w:r>
                    <w:rPr>
                      <w:b/>
                      <w:bCs/>
                      <w:sz w:val="21"/>
                      <w:szCs w:val="21"/>
                    </w:rPr>
                    <w:t>排放口地理坐标</w:t>
                  </w:r>
                </w:p>
              </w:tc>
              <w:tc>
                <w:tcPr>
                  <w:tcW w:w="661" w:type="pct"/>
                  <w:gridSpan w:val="3"/>
                  <w:vAlign w:val="center"/>
                </w:tcPr>
                <w:p w14:paraId="2EBEB69E">
                  <w:pPr>
                    <w:pStyle w:val="29"/>
                    <w:rPr>
                      <w:b/>
                      <w:bCs/>
                      <w:sz w:val="21"/>
                      <w:szCs w:val="21"/>
                    </w:rPr>
                  </w:pPr>
                  <w:r>
                    <w:rPr>
                      <w:b/>
                      <w:bCs/>
                      <w:sz w:val="21"/>
                      <w:szCs w:val="21"/>
                    </w:rPr>
                    <w:t>污染物排放</w:t>
                  </w:r>
                </w:p>
              </w:tc>
              <w:tc>
                <w:tcPr>
                  <w:tcW w:w="144" w:type="pct"/>
                  <w:vMerge w:val="restart"/>
                  <w:tcBorders>
                    <w:bottom w:val="nil"/>
                  </w:tcBorders>
                  <w:vAlign w:val="center"/>
                </w:tcPr>
                <w:p w14:paraId="657099EC">
                  <w:pPr>
                    <w:pStyle w:val="29"/>
                    <w:rPr>
                      <w:b/>
                      <w:bCs/>
                      <w:sz w:val="21"/>
                      <w:szCs w:val="21"/>
                    </w:rPr>
                  </w:pPr>
                  <w:r>
                    <w:rPr>
                      <w:b/>
                      <w:bCs/>
                      <w:sz w:val="21"/>
                      <w:szCs w:val="21"/>
                    </w:rPr>
                    <w:t>排放口类型</w:t>
                  </w:r>
                </w:p>
              </w:tc>
              <w:tc>
                <w:tcPr>
                  <w:tcW w:w="1821" w:type="pct"/>
                  <w:gridSpan w:val="2"/>
                  <w:vAlign w:val="center"/>
                </w:tcPr>
                <w:p w14:paraId="2BCDDA5D">
                  <w:pPr>
                    <w:pStyle w:val="29"/>
                    <w:rPr>
                      <w:b/>
                      <w:bCs/>
                      <w:sz w:val="21"/>
                      <w:szCs w:val="21"/>
                    </w:rPr>
                  </w:pPr>
                  <w:r>
                    <w:rPr>
                      <w:b/>
                      <w:bCs/>
                      <w:sz w:val="21"/>
                      <w:szCs w:val="21"/>
                    </w:rPr>
                    <w:t>排放标准</w:t>
                  </w:r>
                </w:p>
              </w:tc>
            </w:tr>
            <w:tr w14:paraId="17AD2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continue"/>
                  <w:tcBorders>
                    <w:top w:val="nil"/>
                  </w:tcBorders>
                  <w:vAlign w:val="center"/>
                </w:tcPr>
                <w:p w14:paraId="6DBBCF2C">
                  <w:pPr>
                    <w:pStyle w:val="29"/>
                    <w:rPr>
                      <w:b/>
                      <w:bCs/>
                      <w:sz w:val="21"/>
                      <w:szCs w:val="21"/>
                    </w:rPr>
                  </w:pPr>
                </w:p>
              </w:tc>
              <w:tc>
                <w:tcPr>
                  <w:tcW w:w="508" w:type="pct"/>
                  <w:vMerge w:val="continue"/>
                  <w:tcBorders>
                    <w:top w:val="nil"/>
                  </w:tcBorders>
                  <w:vAlign w:val="center"/>
                </w:tcPr>
                <w:p w14:paraId="5907B7C7">
                  <w:pPr>
                    <w:pStyle w:val="29"/>
                    <w:rPr>
                      <w:b/>
                      <w:bCs/>
                      <w:sz w:val="21"/>
                      <w:szCs w:val="21"/>
                    </w:rPr>
                  </w:pPr>
                </w:p>
              </w:tc>
              <w:tc>
                <w:tcPr>
                  <w:tcW w:w="795" w:type="pct"/>
                  <w:vAlign w:val="center"/>
                </w:tcPr>
                <w:p w14:paraId="1822439C">
                  <w:pPr>
                    <w:pStyle w:val="29"/>
                    <w:rPr>
                      <w:b/>
                      <w:bCs/>
                      <w:sz w:val="21"/>
                      <w:szCs w:val="21"/>
                    </w:rPr>
                  </w:pPr>
                  <w:r>
                    <w:rPr>
                      <w:b/>
                      <w:bCs/>
                      <w:sz w:val="21"/>
                      <w:szCs w:val="21"/>
                    </w:rPr>
                    <w:t>经度</w:t>
                  </w:r>
                </w:p>
              </w:tc>
              <w:tc>
                <w:tcPr>
                  <w:tcW w:w="659" w:type="pct"/>
                  <w:vAlign w:val="center"/>
                </w:tcPr>
                <w:p w14:paraId="758863E0">
                  <w:pPr>
                    <w:pStyle w:val="29"/>
                    <w:rPr>
                      <w:b/>
                      <w:bCs/>
                      <w:sz w:val="21"/>
                      <w:szCs w:val="21"/>
                    </w:rPr>
                  </w:pPr>
                  <w:r>
                    <w:rPr>
                      <w:b/>
                      <w:bCs/>
                      <w:sz w:val="21"/>
                      <w:szCs w:val="21"/>
                    </w:rPr>
                    <w:t>纬度</w:t>
                  </w:r>
                </w:p>
              </w:tc>
              <w:tc>
                <w:tcPr>
                  <w:tcW w:w="212" w:type="pct"/>
                  <w:vAlign w:val="center"/>
                </w:tcPr>
                <w:p w14:paraId="0C6C8F06">
                  <w:pPr>
                    <w:pStyle w:val="29"/>
                    <w:rPr>
                      <w:b/>
                      <w:bCs/>
                      <w:sz w:val="21"/>
                      <w:szCs w:val="21"/>
                    </w:rPr>
                  </w:pPr>
                  <w:r>
                    <w:rPr>
                      <w:b/>
                      <w:bCs/>
                      <w:sz w:val="21"/>
                      <w:szCs w:val="21"/>
                    </w:rPr>
                    <w:t>高度(m)</w:t>
                  </w:r>
                </w:p>
              </w:tc>
              <w:tc>
                <w:tcPr>
                  <w:tcW w:w="212" w:type="pct"/>
                  <w:vAlign w:val="center"/>
                </w:tcPr>
                <w:p w14:paraId="3BB79C64">
                  <w:pPr>
                    <w:pStyle w:val="29"/>
                    <w:rPr>
                      <w:b/>
                      <w:bCs/>
                      <w:sz w:val="21"/>
                      <w:szCs w:val="21"/>
                    </w:rPr>
                  </w:pPr>
                  <w:r>
                    <w:rPr>
                      <w:b/>
                      <w:bCs/>
                      <w:sz w:val="21"/>
                      <w:szCs w:val="21"/>
                    </w:rPr>
                    <w:t>出口内径(m)</w:t>
                  </w:r>
                </w:p>
              </w:tc>
              <w:tc>
                <w:tcPr>
                  <w:tcW w:w="236" w:type="pct"/>
                  <w:vAlign w:val="center"/>
                </w:tcPr>
                <w:p w14:paraId="0DF77F8C">
                  <w:pPr>
                    <w:pStyle w:val="29"/>
                    <w:rPr>
                      <w:b/>
                      <w:bCs/>
                      <w:sz w:val="21"/>
                      <w:szCs w:val="21"/>
                    </w:rPr>
                  </w:pPr>
                  <w:r>
                    <w:rPr>
                      <w:b/>
                      <w:bCs/>
                      <w:sz w:val="21"/>
                      <w:szCs w:val="21"/>
                    </w:rPr>
                    <w:t>温度(℃)</w:t>
                  </w:r>
                </w:p>
              </w:tc>
              <w:tc>
                <w:tcPr>
                  <w:tcW w:w="144" w:type="pct"/>
                  <w:vMerge w:val="continue"/>
                  <w:tcBorders>
                    <w:top w:val="nil"/>
                  </w:tcBorders>
                  <w:vAlign w:val="center"/>
                </w:tcPr>
                <w:p w14:paraId="6AE4E1D1">
                  <w:pPr>
                    <w:pStyle w:val="29"/>
                    <w:rPr>
                      <w:b/>
                      <w:bCs/>
                      <w:sz w:val="21"/>
                      <w:szCs w:val="21"/>
                    </w:rPr>
                  </w:pPr>
                </w:p>
              </w:tc>
              <w:tc>
                <w:tcPr>
                  <w:tcW w:w="475" w:type="pct"/>
                  <w:vAlign w:val="center"/>
                </w:tcPr>
                <w:p w14:paraId="69B80576">
                  <w:pPr>
                    <w:pStyle w:val="29"/>
                    <w:rPr>
                      <w:b/>
                      <w:bCs/>
                      <w:sz w:val="21"/>
                      <w:szCs w:val="21"/>
                    </w:rPr>
                  </w:pPr>
                  <w:r>
                    <w:rPr>
                      <w:b/>
                      <w:bCs/>
                      <w:sz w:val="21"/>
                      <w:szCs w:val="21"/>
                    </w:rPr>
                    <w:t>浓度限值(mg/m³)</w:t>
                  </w:r>
                </w:p>
              </w:tc>
              <w:tc>
                <w:tcPr>
                  <w:tcW w:w="1346" w:type="pct"/>
                  <w:vAlign w:val="center"/>
                </w:tcPr>
                <w:p w14:paraId="53B6677E">
                  <w:pPr>
                    <w:pStyle w:val="29"/>
                    <w:rPr>
                      <w:b/>
                      <w:bCs/>
                      <w:sz w:val="21"/>
                      <w:szCs w:val="21"/>
                    </w:rPr>
                  </w:pPr>
                  <w:r>
                    <w:rPr>
                      <w:b/>
                      <w:bCs/>
                      <w:sz w:val="21"/>
                      <w:szCs w:val="21"/>
                    </w:rPr>
                    <w:t>标准</w:t>
                  </w:r>
                </w:p>
              </w:tc>
            </w:tr>
            <w:tr w14:paraId="2ABAFB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Align w:val="center"/>
                </w:tcPr>
                <w:p w14:paraId="69E2B8DE">
                  <w:pPr>
                    <w:pStyle w:val="29"/>
                    <w:rPr>
                      <w:sz w:val="21"/>
                      <w:szCs w:val="21"/>
                    </w:rPr>
                  </w:pPr>
                  <w:r>
                    <w:rPr>
                      <w:sz w:val="21"/>
                      <w:szCs w:val="21"/>
                    </w:rPr>
                    <w:t>DA001</w:t>
                  </w:r>
                </w:p>
              </w:tc>
              <w:tc>
                <w:tcPr>
                  <w:tcW w:w="508" w:type="pct"/>
                  <w:vAlign w:val="center"/>
                </w:tcPr>
                <w:p w14:paraId="39DB0972">
                  <w:pPr>
                    <w:pStyle w:val="29"/>
                    <w:rPr>
                      <w:sz w:val="21"/>
                      <w:szCs w:val="21"/>
                    </w:rPr>
                  </w:pPr>
                  <w:r>
                    <w:rPr>
                      <w:sz w:val="21"/>
                      <w:szCs w:val="21"/>
                    </w:rPr>
                    <w:t>非甲烷总烃</w:t>
                  </w:r>
                </w:p>
              </w:tc>
              <w:tc>
                <w:tcPr>
                  <w:tcW w:w="795" w:type="pct"/>
                  <w:vAlign w:val="center"/>
                </w:tcPr>
                <w:p w14:paraId="23062A5D">
                  <w:pPr>
                    <w:pStyle w:val="29"/>
                    <w:rPr>
                      <w:sz w:val="21"/>
                      <w:szCs w:val="21"/>
                    </w:rPr>
                  </w:pPr>
                  <w:r>
                    <w:rPr>
                      <w:sz w:val="21"/>
                      <w:szCs w:val="21"/>
                    </w:rPr>
                    <w:t>116.8911872224</w:t>
                  </w:r>
                </w:p>
              </w:tc>
              <w:tc>
                <w:tcPr>
                  <w:tcW w:w="659" w:type="pct"/>
                  <w:vAlign w:val="center"/>
                </w:tcPr>
                <w:p w14:paraId="3E94045B">
                  <w:pPr>
                    <w:pStyle w:val="29"/>
                    <w:rPr>
                      <w:sz w:val="21"/>
                      <w:szCs w:val="21"/>
                    </w:rPr>
                  </w:pPr>
                  <w:r>
                    <w:rPr>
                      <w:sz w:val="21"/>
                      <w:szCs w:val="21"/>
                    </w:rPr>
                    <w:t>32.5648938145</w:t>
                  </w:r>
                </w:p>
              </w:tc>
              <w:tc>
                <w:tcPr>
                  <w:tcW w:w="212" w:type="pct"/>
                  <w:vAlign w:val="center"/>
                </w:tcPr>
                <w:p w14:paraId="4F77F757">
                  <w:pPr>
                    <w:pStyle w:val="29"/>
                    <w:rPr>
                      <w:sz w:val="21"/>
                      <w:szCs w:val="21"/>
                    </w:rPr>
                  </w:pPr>
                  <w:r>
                    <w:rPr>
                      <w:sz w:val="21"/>
                      <w:szCs w:val="21"/>
                    </w:rPr>
                    <w:t>15</w:t>
                  </w:r>
                </w:p>
              </w:tc>
              <w:tc>
                <w:tcPr>
                  <w:tcW w:w="212" w:type="pct"/>
                  <w:vAlign w:val="center"/>
                </w:tcPr>
                <w:p w14:paraId="4858AE1B">
                  <w:pPr>
                    <w:pStyle w:val="29"/>
                    <w:rPr>
                      <w:sz w:val="21"/>
                      <w:szCs w:val="21"/>
                    </w:rPr>
                  </w:pPr>
                  <w:r>
                    <w:rPr>
                      <w:sz w:val="21"/>
                      <w:szCs w:val="21"/>
                    </w:rPr>
                    <w:t>0.3</w:t>
                  </w:r>
                </w:p>
              </w:tc>
              <w:tc>
                <w:tcPr>
                  <w:tcW w:w="236" w:type="pct"/>
                  <w:vAlign w:val="center"/>
                </w:tcPr>
                <w:p w14:paraId="0D1C120F">
                  <w:pPr>
                    <w:pStyle w:val="29"/>
                    <w:rPr>
                      <w:sz w:val="21"/>
                      <w:szCs w:val="21"/>
                    </w:rPr>
                  </w:pPr>
                  <w:r>
                    <w:rPr>
                      <w:sz w:val="21"/>
                      <w:szCs w:val="21"/>
                    </w:rPr>
                    <w:t>25</w:t>
                  </w:r>
                </w:p>
              </w:tc>
              <w:tc>
                <w:tcPr>
                  <w:tcW w:w="144" w:type="pct"/>
                  <w:vAlign w:val="center"/>
                </w:tcPr>
                <w:p w14:paraId="08ED9189">
                  <w:pPr>
                    <w:pStyle w:val="29"/>
                    <w:rPr>
                      <w:sz w:val="21"/>
                      <w:szCs w:val="21"/>
                    </w:rPr>
                  </w:pPr>
                  <w:r>
                    <w:rPr>
                      <w:sz w:val="21"/>
                      <w:szCs w:val="21"/>
                    </w:rPr>
                    <w:t>一般排放口</w:t>
                  </w:r>
                </w:p>
              </w:tc>
              <w:tc>
                <w:tcPr>
                  <w:tcW w:w="475" w:type="pct"/>
                  <w:vAlign w:val="center"/>
                </w:tcPr>
                <w:p w14:paraId="1CF4DE35">
                  <w:pPr>
                    <w:pStyle w:val="29"/>
                    <w:rPr>
                      <w:sz w:val="21"/>
                      <w:szCs w:val="21"/>
                    </w:rPr>
                  </w:pPr>
                  <w:r>
                    <w:rPr>
                      <w:sz w:val="21"/>
                      <w:szCs w:val="21"/>
                    </w:rPr>
                    <w:t>50</w:t>
                  </w:r>
                </w:p>
              </w:tc>
              <w:tc>
                <w:tcPr>
                  <w:tcW w:w="1346" w:type="pct"/>
                  <w:vAlign w:val="center"/>
                </w:tcPr>
                <w:p w14:paraId="78FD5BE3">
                  <w:pPr>
                    <w:pStyle w:val="29"/>
                    <w:rPr>
                      <w:sz w:val="21"/>
                      <w:szCs w:val="21"/>
                    </w:rPr>
                  </w:pPr>
                  <w:r>
                    <w:rPr>
                      <w:sz w:val="21"/>
                      <w:szCs w:val="21"/>
                    </w:rPr>
                    <w:t>《固定源挥发性有机物综合排放标准  第4部分：印刷工业》（DB34/4812.4-2024）</w:t>
                  </w:r>
                </w:p>
              </w:tc>
            </w:tr>
            <w:tr w14:paraId="2F297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restart"/>
                  <w:vAlign w:val="center"/>
                </w:tcPr>
                <w:p w14:paraId="626201BC">
                  <w:pPr>
                    <w:pStyle w:val="29"/>
                    <w:rPr>
                      <w:sz w:val="21"/>
                      <w:szCs w:val="21"/>
                    </w:rPr>
                  </w:pPr>
                  <w:r>
                    <w:rPr>
                      <w:sz w:val="21"/>
                      <w:szCs w:val="21"/>
                    </w:rPr>
                    <w:t>DA002</w:t>
                  </w:r>
                </w:p>
              </w:tc>
              <w:tc>
                <w:tcPr>
                  <w:tcW w:w="508" w:type="pct"/>
                  <w:vAlign w:val="center"/>
                </w:tcPr>
                <w:p w14:paraId="64E9678E">
                  <w:pPr>
                    <w:pStyle w:val="29"/>
                    <w:rPr>
                      <w:sz w:val="21"/>
                      <w:szCs w:val="21"/>
                    </w:rPr>
                  </w:pPr>
                  <w:r>
                    <w:rPr>
                      <w:rFonts w:hint="default"/>
                      <w:sz w:val="21"/>
                      <w:szCs w:val="21"/>
                      <w:lang w:eastAsia="zh-CN"/>
                    </w:rPr>
                    <w:t>颗粒物</w:t>
                  </w:r>
                </w:p>
              </w:tc>
              <w:tc>
                <w:tcPr>
                  <w:tcW w:w="795" w:type="pct"/>
                  <w:vMerge w:val="restart"/>
                  <w:vAlign w:val="center"/>
                </w:tcPr>
                <w:p w14:paraId="69369FC1">
                  <w:pPr>
                    <w:pStyle w:val="29"/>
                    <w:rPr>
                      <w:sz w:val="21"/>
                      <w:szCs w:val="21"/>
                    </w:rPr>
                  </w:pPr>
                  <w:r>
                    <w:rPr>
                      <w:sz w:val="21"/>
                      <w:szCs w:val="21"/>
                    </w:rPr>
                    <w:t>116.891934111</w:t>
                  </w:r>
                </w:p>
              </w:tc>
              <w:tc>
                <w:tcPr>
                  <w:tcW w:w="659" w:type="pct"/>
                  <w:vMerge w:val="restart"/>
                  <w:vAlign w:val="center"/>
                </w:tcPr>
                <w:p w14:paraId="6F9BA1E7">
                  <w:pPr>
                    <w:pStyle w:val="29"/>
                    <w:rPr>
                      <w:sz w:val="21"/>
                      <w:szCs w:val="21"/>
                    </w:rPr>
                  </w:pPr>
                  <w:r>
                    <w:rPr>
                      <w:sz w:val="21"/>
                      <w:szCs w:val="21"/>
                    </w:rPr>
                    <w:t>32.564344696</w:t>
                  </w:r>
                </w:p>
              </w:tc>
              <w:tc>
                <w:tcPr>
                  <w:tcW w:w="212" w:type="pct"/>
                  <w:vMerge w:val="restart"/>
                  <w:vAlign w:val="center"/>
                </w:tcPr>
                <w:p w14:paraId="409EFF3F">
                  <w:pPr>
                    <w:pStyle w:val="29"/>
                    <w:rPr>
                      <w:sz w:val="21"/>
                      <w:szCs w:val="21"/>
                    </w:rPr>
                  </w:pPr>
                  <w:r>
                    <w:rPr>
                      <w:sz w:val="21"/>
                      <w:szCs w:val="21"/>
                    </w:rPr>
                    <w:t>15</w:t>
                  </w:r>
                </w:p>
              </w:tc>
              <w:tc>
                <w:tcPr>
                  <w:tcW w:w="212" w:type="pct"/>
                  <w:vMerge w:val="restart"/>
                  <w:vAlign w:val="center"/>
                </w:tcPr>
                <w:p w14:paraId="2EB2F61E">
                  <w:pPr>
                    <w:pStyle w:val="29"/>
                    <w:rPr>
                      <w:sz w:val="21"/>
                      <w:szCs w:val="21"/>
                    </w:rPr>
                  </w:pPr>
                  <w:r>
                    <w:rPr>
                      <w:sz w:val="21"/>
                      <w:szCs w:val="21"/>
                    </w:rPr>
                    <w:t>0.5</w:t>
                  </w:r>
                </w:p>
              </w:tc>
              <w:tc>
                <w:tcPr>
                  <w:tcW w:w="236" w:type="pct"/>
                  <w:vMerge w:val="restart"/>
                  <w:vAlign w:val="center"/>
                </w:tcPr>
                <w:p w14:paraId="2298BBC3">
                  <w:pPr>
                    <w:pStyle w:val="29"/>
                    <w:rPr>
                      <w:sz w:val="21"/>
                      <w:szCs w:val="21"/>
                    </w:rPr>
                  </w:pPr>
                  <w:r>
                    <w:rPr>
                      <w:sz w:val="21"/>
                      <w:szCs w:val="21"/>
                    </w:rPr>
                    <w:t>25</w:t>
                  </w:r>
                </w:p>
              </w:tc>
              <w:tc>
                <w:tcPr>
                  <w:tcW w:w="144" w:type="pct"/>
                  <w:vMerge w:val="restart"/>
                  <w:vAlign w:val="center"/>
                </w:tcPr>
                <w:p w14:paraId="5867D9AA">
                  <w:pPr>
                    <w:pStyle w:val="29"/>
                    <w:rPr>
                      <w:sz w:val="21"/>
                      <w:szCs w:val="21"/>
                    </w:rPr>
                  </w:pPr>
                  <w:r>
                    <w:rPr>
                      <w:sz w:val="21"/>
                      <w:szCs w:val="21"/>
                    </w:rPr>
                    <w:t>一般排放口</w:t>
                  </w:r>
                </w:p>
              </w:tc>
              <w:tc>
                <w:tcPr>
                  <w:tcW w:w="475" w:type="pct"/>
                  <w:vAlign w:val="center"/>
                </w:tcPr>
                <w:p w14:paraId="231646F2">
                  <w:pPr>
                    <w:pStyle w:val="29"/>
                    <w:rPr>
                      <w:sz w:val="21"/>
                      <w:szCs w:val="21"/>
                    </w:rPr>
                  </w:pPr>
                  <w:r>
                    <w:rPr>
                      <w:sz w:val="21"/>
                      <w:szCs w:val="21"/>
                    </w:rPr>
                    <w:t>20</w:t>
                  </w:r>
                </w:p>
              </w:tc>
              <w:tc>
                <w:tcPr>
                  <w:tcW w:w="1346" w:type="pct"/>
                  <w:vMerge w:val="restart"/>
                  <w:vAlign w:val="center"/>
                </w:tcPr>
                <w:p w14:paraId="28AC72E1">
                  <w:pPr>
                    <w:pStyle w:val="29"/>
                    <w:rPr>
                      <w:sz w:val="21"/>
                      <w:szCs w:val="21"/>
                    </w:rPr>
                  </w:pPr>
                  <w:r>
                    <w:rPr>
                      <w:sz w:val="21"/>
                      <w:szCs w:val="21"/>
                    </w:rPr>
                    <w:t>《锅炉大气污染物排放标准》（GB 13271-2014）</w:t>
                  </w:r>
                </w:p>
                <w:p w14:paraId="7ABFE7B8">
                  <w:pPr>
                    <w:pStyle w:val="29"/>
                    <w:rPr>
                      <w:sz w:val="21"/>
                      <w:szCs w:val="21"/>
                    </w:rPr>
                  </w:pPr>
                  <w:r>
                    <w:rPr>
                      <w:sz w:val="21"/>
                      <w:szCs w:val="21"/>
                    </w:rPr>
                    <w:t>《</w:t>
                  </w:r>
                  <w:r>
                    <w:rPr>
                      <w:sz w:val="21"/>
                      <w:szCs w:val="21"/>
                    </w:rPr>
                    <w:fldChar w:fldCharType="begin"/>
                  </w:r>
                  <w:r>
                    <w:rPr>
                      <w:sz w:val="21"/>
                      <w:szCs w:val="21"/>
                    </w:rPr>
                    <w:instrText xml:space="preserve"> HYPERLINK "http://www.baidu.com/link?url=ZNNe43pOS2hRtv6tvIPL0nhKjK4JzdCxG8ZBr44EV4BLFlLxV611XcUnOXfTyrrPDW1LQ2nx-TphXw8zrobo0f4BdvCDr4NAKh9xB48tXiBrY2ySJe9rdXEUxmFL4t2RRc8G6mrXQfqDzqgRozxRUK" \t "https://www.baidu.com/_blank" </w:instrText>
                  </w:r>
                  <w:r>
                    <w:rPr>
                      <w:sz w:val="21"/>
                      <w:szCs w:val="21"/>
                    </w:rPr>
                    <w:fldChar w:fldCharType="separate"/>
                  </w:r>
                  <w:r>
                    <w:rPr>
                      <w:sz w:val="21"/>
                      <w:szCs w:val="21"/>
                    </w:rPr>
                    <w:t>安徽省大气办关于印发</w:t>
                  </w:r>
                  <w:r>
                    <w:rPr>
                      <w:sz w:val="21"/>
                      <w:szCs w:val="21"/>
                    </w:rPr>
                    <w:fldChar w:fldCharType="end"/>
                  </w:r>
                  <w:r>
                    <w:rPr>
                      <w:sz w:val="21"/>
                      <w:szCs w:val="21"/>
                    </w:rPr>
                    <w:t xml:space="preserve">&lt;安徽省2020年大气污染防治重点工作任务&gt;的通知》 </w:t>
                  </w:r>
                </w:p>
              </w:tc>
            </w:tr>
            <w:tr w14:paraId="4E707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continue"/>
                  <w:vAlign w:val="center"/>
                </w:tcPr>
                <w:p w14:paraId="63D5BB20">
                  <w:pPr>
                    <w:pStyle w:val="29"/>
                    <w:rPr>
                      <w:color w:val="FF0000"/>
                      <w:sz w:val="21"/>
                      <w:szCs w:val="21"/>
                    </w:rPr>
                  </w:pPr>
                </w:p>
              </w:tc>
              <w:tc>
                <w:tcPr>
                  <w:tcW w:w="508" w:type="pct"/>
                  <w:vAlign w:val="center"/>
                </w:tcPr>
                <w:p w14:paraId="19789FA2">
                  <w:pPr>
                    <w:pStyle w:val="29"/>
                    <w:rPr>
                      <w:sz w:val="21"/>
                      <w:szCs w:val="21"/>
                    </w:rPr>
                  </w:pPr>
                  <w:r>
                    <w:rPr>
                      <w:sz w:val="21"/>
                      <w:szCs w:val="21"/>
                    </w:rPr>
                    <w:t>二氧化硫</w:t>
                  </w:r>
                </w:p>
              </w:tc>
              <w:tc>
                <w:tcPr>
                  <w:tcW w:w="795" w:type="pct"/>
                  <w:vMerge w:val="continue"/>
                  <w:vAlign w:val="center"/>
                </w:tcPr>
                <w:p w14:paraId="4390B7A2">
                  <w:pPr>
                    <w:pStyle w:val="29"/>
                    <w:rPr>
                      <w:sz w:val="21"/>
                      <w:szCs w:val="21"/>
                    </w:rPr>
                  </w:pPr>
                </w:p>
              </w:tc>
              <w:tc>
                <w:tcPr>
                  <w:tcW w:w="659" w:type="pct"/>
                  <w:vMerge w:val="continue"/>
                  <w:vAlign w:val="center"/>
                </w:tcPr>
                <w:p w14:paraId="21E19B05">
                  <w:pPr>
                    <w:pStyle w:val="29"/>
                    <w:rPr>
                      <w:sz w:val="21"/>
                      <w:szCs w:val="21"/>
                    </w:rPr>
                  </w:pPr>
                </w:p>
              </w:tc>
              <w:tc>
                <w:tcPr>
                  <w:tcW w:w="212" w:type="pct"/>
                  <w:vMerge w:val="continue"/>
                  <w:vAlign w:val="center"/>
                </w:tcPr>
                <w:p w14:paraId="6704C822">
                  <w:pPr>
                    <w:pStyle w:val="29"/>
                    <w:rPr>
                      <w:sz w:val="21"/>
                      <w:szCs w:val="21"/>
                    </w:rPr>
                  </w:pPr>
                </w:p>
              </w:tc>
              <w:tc>
                <w:tcPr>
                  <w:tcW w:w="212" w:type="pct"/>
                  <w:vMerge w:val="continue"/>
                  <w:vAlign w:val="center"/>
                </w:tcPr>
                <w:p w14:paraId="3D7EBED5">
                  <w:pPr>
                    <w:pStyle w:val="29"/>
                    <w:rPr>
                      <w:sz w:val="21"/>
                      <w:szCs w:val="21"/>
                    </w:rPr>
                  </w:pPr>
                </w:p>
              </w:tc>
              <w:tc>
                <w:tcPr>
                  <w:tcW w:w="236" w:type="pct"/>
                  <w:vMerge w:val="continue"/>
                  <w:vAlign w:val="center"/>
                </w:tcPr>
                <w:p w14:paraId="426BBC3C">
                  <w:pPr>
                    <w:pStyle w:val="29"/>
                    <w:rPr>
                      <w:sz w:val="21"/>
                      <w:szCs w:val="21"/>
                    </w:rPr>
                  </w:pPr>
                </w:p>
              </w:tc>
              <w:tc>
                <w:tcPr>
                  <w:tcW w:w="144" w:type="pct"/>
                  <w:vMerge w:val="continue"/>
                  <w:vAlign w:val="center"/>
                </w:tcPr>
                <w:p w14:paraId="3A210EE2">
                  <w:pPr>
                    <w:pStyle w:val="29"/>
                    <w:rPr>
                      <w:sz w:val="21"/>
                      <w:szCs w:val="21"/>
                    </w:rPr>
                  </w:pPr>
                </w:p>
              </w:tc>
              <w:tc>
                <w:tcPr>
                  <w:tcW w:w="475" w:type="pct"/>
                  <w:vAlign w:val="center"/>
                </w:tcPr>
                <w:p w14:paraId="2144B9B6">
                  <w:pPr>
                    <w:pStyle w:val="29"/>
                    <w:rPr>
                      <w:sz w:val="21"/>
                      <w:szCs w:val="21"/>
                    </w:rPr>
                  </w:pPr>
                  <w:r>
                    <w:rPr>
                      <w:sz w:val="21"/>
                      <w:szCs w:val="21"/>
                    </w:rPr>
                    <w:t>50</w:t>
                  </w:r>
                </w:p>
              </w:tc>
              <w:tc>
                <w:tcPr>
                  <w:tcW w:w="1346" w:type="pct"/>
                  <w:vMerge w:val="continue"/>
                  <w:vAlign w:val="center"/>
                </w:tcPr>
                <w:p w14:paraId="64954B24">
                  <w:pPr>
                    <w:pStyle w:val="29"/>
                    <w:rPr>
                      <w:sz w:val="21"/>
                      <w:szCs w:val="21"/>
                    </w:rPr>
                  </w:pPr>
                </w:p>
              </w:tc>
            </w:tr>
            <w:tr w14:paraId="529600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continue"/>
                  <w:vAlign w:val="center"/>
                </w:tcPr>
                <w:p w14:paraId="4C8FF28F">
                  <w:pPr>
                    <w:pStyle w:val="29"/>
                    <w:rPr>
                      <w:color w:val="FF0000"/>
                      <w:sz w:val="21"/>
                      <w:szCs w:val="21"/>
                    </w:rPr>
                  </w:pPr>
                </w:p>
              </w:tc>
              <w:tc>
                <w:tcPr>
                  <w:tcW w:w="508" w:type="pct"/>
                  <w:vAlign w:val="center"/>
                </w:tcPr>
                <w:p w14:paraId="495941D3">
                  <w:pPr>
                    <w:pStyle w:val="29"/>
                    <w:rPr>
                      <w:sz w:val="21"/>
                      <w:szCs w:val="21"/>
                    </w:rPr>
                  </w:pPr>
                  <w:r>
                    <w:rPr>
                      <w:sz w:val="21"/>
                      <w:szCs w:val="21"/>
                    </w:rPr>
                    <w:t>氮氧化物</w:t>
                  </w:r>
                </w:p>
              </w:tc>
              <w:tc>
                <w:tcPr>
                  <w:tcW w:w="795" w:type="pct"/>
                  <w:vMerge w:val="continue"/>
                  <w:vAlign w:val="center"/>
                </w:tcPr>
                <w:p w14:paraId="003F0862">
                  <w:pPr>
                    <w:pStyle w:val="29"/>
                    <w:rPr>
                      <w:sz w:val="21"/>
                      <w:szCs w:val="21"/>
                    </w:rPr>
                  </w:pPr>
                </w:p>
              </w:tc>
              <w:tc>
                <w:tcPr>
                  <w:tcW w:w="659" w:type="pct"/>
                  <w:vMerge w:val="continue"/>
                  <w:vAlign w:val="center"/>
                </w:tcPr>
                <w:p w14:paraId="0D314B15">
                  <w:pPr>
                    <w:pStyle w:val="29"/>
                    <w:rPr>
                      <w:sz w:val="21"/>
                      <w:szCs w:val="21"/>
                    </w:rPr>
                  </w:pPr>
                </w:p>
              </w:tc>
              <w:tc>
                <w:tcPr>
                  <w:tcW w:w="212" w:type="pct"/>
                  <w:vMerge w:val="continue"/>
                  <w:vAlign w:val="center"/>
                </w:tcPr>
                <w:p w14:paraId="371A0FF1">
                  <w:pPr>
                    <w:pStyle w:val="29"/>
                    <w:rPr>
                      <w:sz w:val="21"/>
                      <w:szCs w:val="21"/>
                    </w:rPr>
                  </w:pPr>
                </w:p>
              </w:tc>
              <w:tc>
                <w:tcPr>
                  <w:tcW w:w="212" w:type="pct"/>
                  <w:vMerge w:val="continue"/>
                  <w:vAlign w:val="center"/>
                </w:tcPr>
                <w:p w14:paraId="7DE251F3">
                  <w:pPr>
                    <w:pStyle w:val="29"/>
                    <w:rPr>
                      <w:sz w:val="21"/>
                      <w:szCs w:val="21"/>
                    </w:rPr>
                  </w:pPr>
                </w:p>
              </w:tc>
              <w:tc>
                <w:tcPr>
                  <w:tcW w:w="236" w:type="pct"/>
                  <w:vMerge w:val="continue"/>
                  <w:vAlign w:val="center"/>
                </w:tcPr>
                <w:p w14:paraId="6E6EDE25">
                  <w:pPr>
                    <w:pStyle w:val="29"/>
                    <w:rPr>
                      <w:sz w:val="21"/>
                      <w:szCs w:val="21"/>
                    </w:rPr>
                  </w:pPr>
                </w:p>
              </w:tc>
              <w:tc>
                <w:tcPr>
                  <w:tcW w:w="144" w:type="pct"/>
                  <w:vMerge w:val="continue"/>
                  <w:vAlign w:val="center"/>
                </w:tcPr>
                <w:p w14:paraId="2E4D2FD9">
                  <w:pPr>
                    <w:pStyle w:val="29"/>
                    <w:rPr>
                      <w:sz w:val="21"/>
                      <w:szCs w:val="21"/>
                    </w:rPr>
                  </w:pPr>
                </w:p>
              </w:tc>
              <w:tc>
                <w:tcPr>
                  <w:tcW w:w="475" w:type="pct"/>
                  <w:vAlign w:val="center"/>
                </w:tcPr>
                <w:p w14:paraId="62315BCA">
                  <w:pPr>
                    <w:pStyle w:val="29"/>
                    <w:rPr>
                      <w:sz w:val="21"/>
                      <w:szCs w:val="21"/>
                    </w:rPr>
                  </w:pPr>
                  <w:r>
                    <w:rPr>
                      <w:sz w:val="21"/>
                      <w:szCs w:val="21"/>
                    </w:rPr>
                    <w:t>50</w:t>
                  </w:r>
                </w:p>
              </w:tc>
              <w:tc>
                <w:tcPr>
                  <w:tcW w:w="1346" w:type="pct"/>
                  <w:vMerge w:val="continue"/>
                  <w:vAlign w:val="center"/>
                </w:tcPr>
                <w:p w14:paraId="1A9B4AEC">
                  <w:pPr>
                    <w:pStyle w:val="29"/>
                    <w:rPr>
                      <w:sz w:val="21"/>
                      <w:szCs w:val="21"/>
                    </w:rPr>
                  </w:pPr>
                </w:p>
              </w:tc>
            </w:tr>
            <w:tr w14:paraId="42B966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409" w:type="pct"/>
                  <w:vMerge w:val="continue"/>
                  <w:vAlign w:val="center"/>
                </w:tcPr>
                <w:p w14:paraId="5FAB58C0">
                  <w:pPr>
                    <w:pStyle w:val="29"/>
                    <w:rPr>
                      <w:color w:val="FF0000"/>
                      <w:sz w:val="21"/>
                      <w:szCs w:val="21"/>
                    </w:rPr>
                  </w:pPr>
                </w:p>
              </w:tc>
              <w:tc>
                <w:tcPr>
                  <w:tcW w:w="508" w:type="pct"/>
                  <w:vAlign w:val="center"/>
                </w:tcPr>
                <w:p w14:paraId="4B78A85F">
                  <w:pPr>
                    <w:pStyle w:val="29"/>
                    <w:rPr>
                      <w:sz w:val="21"/>
                      <w:szCs w:val="21"/>
                    </w:rPr>
                  </w:pPr>
                  <w:r>
                    <w:rPr>
                      <w:sz w:val="21"/>
                      <w:szCs w:val="21"/>
                    </w:rPr>
                    <w:t>烟气黑度</w:t>
                  </w:r>
                </w:p>
              </w:tc>
              <w:tc>
                <w:tcPr>
                  <w:tcW w:w="795" w:type="pct"/>
                  <w:vMerge w:val="continue"/>
                  <w:vAlign w:val="center"/>
                </w:tcPr>
                <w:p w14:paraId="6EE0308E">
                  <w:pPr>
                    <w:pStyle w:val="29"/>
                    <w:rPr>
                      <w:sz w:val="21"/>
                      <w:szCs w:val="21"/>
                    </w:rPr>
                  </w:pPr>
                </w:p>
              </w:tc>
              <w:tc>
                <w:tcPr>
                  <w:tcW w:w="659" w:type="pct"/>
                  <w:vMerge w:val="continue"/>
                  <w:vAlign w:val="center"/>
                </w:tcPr>
                <w:p w14:paraId="29B3B4F1">
                  <w:pPr>
                    <w:pStyle w:val="29"/>
                    <w:rPr>
                      <w:sz w:val="21"/>
                      <w:szCs w:val="21"/>
                    </w:rPr>
                  </w:pPr>
                </w:p>
              </w:tc>
              <w:tc>
                <w:tcPr>
                  <w:tcW w:w="212" w:type="pct"/>
                  <w:vMerge w:val="continue"/>
                  <w:vAlign w:val="center"/>
                </w:tcPr>
                <w:p w14:paraId="6E31570B">
                  <w:pPr>
                    <w:pStyle w:val="29"/>
                    <w:rPr>
                      <w:sz w:val="21"/>
                      <w:szCs w:val="21"/>
                    </w:rPr>
                  </w:pPr>
                </w:p>
              </w:tc>
              <w:tc>
                <w:tcPr>
                  <w:tcW w:w="212" w:type="pct"/>
                  <w:vMerge w:val="continue"/>
                  <w:vAlign w:val="center"/>
                </w:tcPr>
                <w:p w14:paraId="75E5247F">
                  <w:pPr>
                    <w:pStyle w:val="29"/>
                    <w:rPr>
                      <w:sz w:val="21"/>
                      <w:szCs w:val="21"/>
                    </w:rPr>
                  </w:pPr>
                </w:p>
              </w:tc>
              <w:tc>
                <w:tcPr>
                  <w:tcW w:w="236" w:type="pct"/>
                  <w:vMerge w:val="continue"/>
                  <w:vAlign w:val="center"/>
                </w:tcPr>
                <w:p w14:paraId="72B624BA">
                  <w:pPr>
                    <w:pStyle w:val="29"/>
                    <w:rPr>
                      <w:sz w:val="21"/>
                      <w:szCs w:val="21"/>
                    </w:rPr>
                  </w:pPr>
                </w:p>
              </w:tc>
              <w:tc>
                <w:tcPr>
                  <w:tcW w:w="144" w:type="pct"/>
                  <w:vMerge w:val="continue"/>
                  <w:vAlign w:val="center"/>
                </w:tcPr>
                <w:p w14:paraId="50ABF8DE">
                  <w:pPr>
                    <w:pStyle w:val="29"/>
                    <w:rPr>
                      <w:sz w:val="21"/>
                      <w:szCs w:val="21"/>
                    </w:rPr>
                  </w:pPr>
                </w:p>
              </w:tc>
              <w:tc>
                <w:tcPr>
                  <w:tcW w:w="475" w:type="pct"/>
                  <w:vAlign w:val="center"/>
                </w:tcPr>
                <w:p w14:paraId="70773BE1">
                  <w:pPr>
                    <w:pStyle w:val="29"/>
                    <w:rPr>
                      <w:sz w:val="21"/>
                      <w:szCs w:val="21"/>
                    </w:rPr>
                  </w:pPr>
                  <w:r>
                    <w:rPr>
                      <w:rFonts w:eastAsiaTheme="minorEastAsia"/>
                      <w:sz w:val="21"/>
                      <w:szCs w:val="21"/>
                    </w:rPr>
                    <w:t>＜1级</w:t>
                  </w:r>
                </w:p>
              </w:tc>
              <w:tc>
                <w:tcPr>
                  <w:tcW w:w="1346" w:type="pct"/>
                  <w:vMerge w:val="continue"/>
                  <w:vAlign w:val="center"/>
                </w:tcPr>
                <w:p w14:paraId="294121C6">
                  <w:pPr>
                    <w:pStyle w:val="29"/>
                    <w:rPr>
                      <w:sz w:val="21"/>
                      <w:szCs w:val="21"/>
                    </w:rPr>
                  </w:pPr>
                </w:p>
              </w:tc>
            </w:tr>
          </w:tbl>
          <w:p w14:paraId="5D964261">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表4-10  本项目无组织废气排放基本情况一览表</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5"/>
              <w:gridCol w:w="1130"/>
              <w:gridCol w:w="1151"/>
              <w:gridCol w:w="1861"/>
              <w:gridCol w:w="1999"/>
              <w:gridCol w:w="1055"/>
            </w:tblGrid>
            <w:tr w14:paraId="16BE0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 w:type="pct"/>
                  <w:vMerge w:val="restart"/>
                  <w:tcBorders>
                    <w:tl2br w:val="nil"/>
                    <w:tr2bl w:val="nil"/>
                  </w:tcBorders>
                  <w:vAlign w:val="center"/>
                </w:tcPr>
                <w:p w14:paraId="687D7C18">
                  <w:pPr>
                    <w:pStyle w:val="29"/>
                    <w:rPr>
                      <w:b/>
                      <w:bCs/>
                      <w:sz w:val="21"/>
                      <w:szCs w:val="21"/>
                    </w:rPr>
                  </w:pPr>
                  <w:r>
                    <w:rPr>
                      <w:b/>
                      <w:bCs/>
                      <w:sz w:val="21"/>
                      <w:szCs w:val="21"/>
                    </w:rPr>
                    <w:t>序号</w:t>
                  </w:r>
                </w:p>
              </w:tc>
              <w:tc>
                <w:tcPr>
                  <w:tcW w:w="738" w:type="pct"/>
                  <w:vMerge w:val="restart"/>
                  <w:tcBorders>
                    <w:tl2br w:val="nil"/>
                    <w:tr2bl w:val="nil"/>
                  </w:tcBorders>
                  <w:vAlign w:val="center"/>
                </w:tcPr>
                <w:p w14:paraId="310EA466">
                  <w:pPr>
                    <w:pStyle w:val="29"/>
                    <w:rPr>
                      <w:b/>
                      <w:bCs/>
                      <w:sz w:val="21"/>
                      <w:szCs w:val="21"/>
                    </w:rPr>
                  </w:pPr>
                  <w:r>
                    <w:rPr>
                      <w:b/>
                      <w:bCs/>
                      <w:sz w:val="21"/>
                      <w:szCs w:val="21"/>
                    </w:rPr>
                    <w:t>产污环节</w:t>
                  </w:r>
                </w:p>
              </w:tc>
              <w:tc>
                <w:tcPr>
                  <w:tcW w:w="752" w:type="pct"/>
                  <w:vMerge w:val="restart"/>
                  <w:tcBorders>
                    <w:tl2br w:val="nil"/>
                    <w:tr2bl w:val="nil"/>
                  </w:tcBorders>
                  <w:vAlign w:val="center"/>
                </w:tcPr>
                <w:p w14:paraId="19C5A450">
                  <w:pPr>
                    <w:pStyle w:val="29"/>
                    <w:rPr>
                      <w:b/>
                      <w:bCs/>
                      <w:sz w:val="21"/>
                      <w:szCs w:val="21"/>
                    </w:rPr>
                  </w:pPr>
                  <w:r>
                    <w:rPr>
                      <w:b/>
                      <w:bCs/>
                      <w:sz w:val="21"/>
                      <w:szCs w:val="21"/>
                    </w:rPr>
                    <w:t>污染物种类</w:t>
                  </w:r>
                </w:p>
              </w:tc>
              <w:tc>
                <w:tcPr>
                  <w:tcW w:w="1216" w:type="pct"/>
                  <w:vMerge w:val="restart"/>
                  <w:tcBorders>
                    <w:tl2br w:val="nil"/>
                    <w:tr2bl w:val="nil"/>
                  </w:tcBorders>
                  <w:vAlign w:val="center"/>
                </w:tcPr>
                <w:p w14:paraId="4E3D60EF">
                  <w:pPr>
                    <w:pStyle w:val="29"/>
                    <w:rPr>
                      <w:b/>
                      <w:bCs/>
                      <w:sz w:val="21"/>
                      <w:szCs w:val="21"/>
                    </w:rPr>
                  </w:pPr>
                  <w:r>
                    <w:rPr>
                      <w:b/>
                      <w:bCs/>
                      <w:sz w:val="21"/>
                      <w:szCs w:val="21"/>
                    </w:rPr>
                    <w:t>主要污染防治措施</w:t>
                  </w:r>
                </w:p>
              </w:tc>
              <w:tc>
                <w:tcPr>
                  <w:tcW w:w="1995" w:type="pct"/>
                  <w:gridSpan w:val="2"/>
                  <w:tcBorders>
                    <w:tl2br w:val="nil"/>
                    <w:tr2bl w:val="nil"/>
                  </w:tcBorders>
                  <w:vAlign w:val="center"/>
                </w:tcPr>
                <w:p w14:paraId="23BCA2CB">
                  <w:pPr>
                    <w:pStyle w:val="29"/>
                    <w:rPr>
                      <w:b/>
                      <w:bCs/>
                      <w:sz w:val="21"/>
                      <w:szCs w:val="21"/>
                    </w:rPr>
                  </w:pPr>
                  <w:r>
                    <w:rPr>
                      <w:b/>
                      <w:bCs/>
                      <w:sz w:val="21"/>
                      <w:szCs w:val="21"/>
                    </w:rPr>
                    <w:t>国家或地方污染物排放标准</w:t>
                  </w:r>
                </w:p>
              </w:tc>
            </w:tr>
            <w:tr w14:paraId="6C907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297" w:type="pct"/>
                  <w:vMerge w:val="continue"/>
                  <w:tcBorders>
                    <w:tl2br w:val="nil"/>
                    <w:tr2bl w:val="nil"/>
                  </w:tcBorders>
                  <w:vAlign w:val="center"/>
                </w:tcPr>
                <w:p w14:paraId="12A41F26">
                  <w:pPr>
                    <w:pStyle w:val="29"/>
                    <w:rPr>
                      <w:b/>
                      <w:bCs/>
                      <w:sz w:val="21"/>
                      <w:szCs w:val="21"/>
                    </w:rPr>
                  </w:pPr>
                </w:p>
              </w:tc>
              <w:tc>
                <w:tcPr>
                  <w:tcW w:w="738" w:type="pct"/>
                  <w:vMerge w:val="continue"/>
                  <w:tcBorders>
                    <w:tl2br w:val="nil"/>
                    <w:tr2bl w:val="nil"/>
                  </w:tcBorders>
                  <w:vAlign w:val="center"/>
                </w:tcPr>
                <w:p w14:paraId="3D4BA236">
                  <w:pPr>
                    <w:pStyle w:val="29"/>
                    <w:rPr>
                      <w:b/>
                      <w:bCs/>
                      <w:sz w:val="21"/>
                      <w:szCs w:val="21"/>
                    </w:rPr>
                  </w:pPr>
                </w:p>
              </w:tc>
              <w:tc>
                <w:tcPr>
                  <w:tcW w:w="752" w:type="pct"/>
                  <w:vMerge w:val="continue"/>
                  <w:tcBorders>
                    <w:tl2br w:val="nil"/>
                    <w:tr2bl w:val="nil"/>
                  </w:tcBorders>
                  <w:vAlign w:val="center"/>
                </w:tcPr>
                <w:p w14:paraId="199ACE4E">
                  <w:pPr>
                    <w:pStyle w:val="29"/>
                    <w:rPr>
                      <w:b/>
                      <w:bCs/>
                      <w:sz w:val="21"/>
                      <w:szCs w:val="21"/>
                    </w:rPr>
                  </w:pPr>
                </w:p>
              </w:tc>
              <w:tc>
                <w:tcPr>
                  <w:tcW w:w="1216" w:type="pct"/>
                  <w:vMerge w:val="continue"/>
                  <w:tcBorders>
                    <w:tl2br w:val="nil"/>
                    <w:tr2bl w:val="nil"/>
                  </w:tcBorders>
                  <w:vAlign w:val="center"/>
                </w:tcPr>
                <w:p w14:paraId="62E95442">
                  <w:pPr>
                    <w:pStyle w:val="29"/>
                    <w:rPr>
                      <w:b/>
                      <w:bCs/>
                      <w:sz w:val="21"/>
                      <w:szCs w:val="21"/>
                    </w:rPr>
                  </w:pPr>
                </w:p>
              </w:tc>
              <w:tc>
                <w:tcPr>
                  <w:tcW w:w="1306" w:type="pct"/>
                  <w:tcBorders>
                    <w:tl2br w:val="nil"/>
                    <w:tr2bl w:val="nil"/>
                  </w:tcBorders>
                  <w:vAlign w:val="center"/>
                </w:tcPr>
                <w:p w14:paraId="2C526495">
                  <w:pPr>
                    <w:pStyle w:val="29"/>
                    <w:rPr>
                      <w:b/>
                      <w:bCs/>
                      <w:sz w:val="21"/>
                      <w:szCs w:val="21"/>
                    </w:rPr>
                  </w:pPr>
                  <w:r>
                    <w:rPr>
                      <w:b/>
                      <w:bCs/>
                      <w:sz w:val="21"/>
                      <w:szCs w:val="21"/>
                    </w:rPr>
                    <w:t>标准名称</w:t>
                  </w:r>
                </w:p>
              </w:tc>
              <w:tc>
                <w:tcPr>
                  <w:tcW w:w="689" w:type="pct"/>
                  <w:tcBorders>
                    <w:tl2br w:val="nil"/>
                    <w:tr2bl w:val="nil"/>
                  </w:tcBorders>
                  <w:vAlign w:val="center"/>
                </w:tcPr>
                <w:p w14:paraId="6FE98496">
                  <w:pPr>
                    <w:pStyle w:val="29"/>
                    <w:rPr>
                      <w:b/>
                      <w:bCs/>
                      <w:sz w:val="21"/>
                      <w:szCs w:val="21"/>
                    </w:rPr>
                  </w:pPr>
                  <w:r>
                    <w:rPr>
                      <w:b/>
                      <w:bCs/>
                      <w:sz w:val="21"/>
                      <w:szCs w:val="21"/>
                    </w:rPr>
                    <w:t>浓度限值(mg/m</w:t>
                  </w:r>
                  <w:r>
                    <w:rPr>
                      <w:b/>
                      <w:bCs/>
                      <w:sz w:val="21"/>
                      <w:szCs w:val="21"/>
                      <w:vertAlign w:val="superscript"/>
                    </w:rPr>
                    <w:t>3</w:t>
                  </w:r>
                  <w:r>
                    <w:rPr>
                      <w:b/>
                      <w:bCs/>
                      <w:sz w:val="21"/>
                      <w:szCs w:val="21"/>
                    </w:rPr>
                    <w:t>)</w:t>
                  </w:r>
                </w:p>
              </w:tc>
            </w:tr>
            <w:tr w14:paraId="2B96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 w:type="pct"/>
                  <w:tcBorders>
                    <w:tl2br w:val="nil"/>
                    <w:tr2bl w:val="nil"/>
                  </w:tcBorders>
                  <w:vAlign w:val="center"/>
                </w:tcPr>
                <w:p w14:paraId="7CC82AD6">
                  <w:pPr>
                    <w:pStyle w:val="29"/>
                    <w:rPr>
                      <w:sz w:val="21"/>
                      <w:szCs w:val="21"/>
                    </w:rPr>
                  </w:pPr>
                  <w:r>
                    <w:rPr>
                      <w:sz w:val="21"/>
                      <w:szCs w:val="21"/>
                    </w:rPr>
                    <w:t>1</w:t>
                  </w:r>
                </w:p>
              </w:tc>
              <w:tc>
                <w:tcPr>
                  <w:tcW w:w="738" w:type="pct"/>
                  <w:tcBorders>
                    <w:tl2br w:val="nil"/>
                    <w:tr2bl w:val="nil"/>
                  </w:tcBorders>
                  <w:vAlign w:val="center"/>
                </w:tcPr>
                <w:p w14:paraId="26205C7D">
                  <w:pPr>
                    <w:pStyle w:val="29"/>
                    <w:rPr>
                      <w:sz w:val="21"/>
                      <w:szCs w:val="21"/>
                    </w:rPr>
                  </w:pPr>
                  <w:r>
                    <w:rPr>
                      <w:sz w:val="21"/>
                      <w:szCs w:val="21"/>
                    </w:rPr>
                    <w:t>制胶工序</w:t>
                  </w:r>
                </w:p>
              </w:tc>
              <w:tc>
                <w:tcPr>
                  <w:tcW w:w="752" w:type="pct"/>
                  <w:tcBorders>
                    <w:tl2br w:val="nil"/>
                    <w:tr2bl w:val="nil"/>
                  </w:tcBorders>
                  <w:vAlign w:val="center"/>
                </w:tcPr>
                <w:p w14:paraId="4288EDEB">
                  <w:pPr>
                    <w:pStyle w:val="29"/>
                    <w:rPr>
                      <w:sz w:val="21"/>
                      <w:szCs w:val="21"/>
                    </w:rPr>
                  </w:pPr>
                  <w:r>
                    <w:rPr>
                      <w:rFonts w:hint="default"/>
                      <w:sz w:val="21"/>
                      <w:szCs w:val="21"/>
                      <w:lang w:eastAsia="zh-CN"/>
                    </w:rPr>
                    <w:t>颗粒物</w:t>
                  </w:r>
                </w:p>
              </w:tc>
              <w:tc>
                <w:tcPr>
                  <w:tcW w:w="1216" w:type="pct"/>
                  <w:tcBorders>
                    <w:tl2br w:val="nil"/>
                    <w:tr2bl w:val="nil"/>
                  </w:tcBorders>
                  <w:vAlign w:val="center"/>
                </w:tcPr>
                <w:p w14:paraId="1A1C274A">
                  <w:pPr>
                    <w:pStyle w:val="29"/>
                    <w:rPr>
                      <w:sz w:val="21"/>
                      <w:szCs w:val="21"/>
                    </w:rPr>
                  </w:pPr>
                  <w:r>
                    <w:rPr>
                      <w:sz w:val="21"/>
                      <w:szCs w:val="21"/>
                    </w:rPr>
                    <w:t>设置制胶车间，密闭搅拌</w:t>
                  </w:r>
                </w:p>
              </w:tc>
              <w:tc>
                <w:tcPr>
                  <w:tcW w:w="1306" w:type="pct"/>
                  <w:tcBorders>
                    <w:tl2br w:val="nil"/>
                    <w:tr2bl w:val="nil"/>
                  </w:tcBorders>
                  <w:vAlign w:val="center"/>
                </w:tcPr>
                <w:p w14:paraId="451C1055">
                  <w:pPr>
                    <w:pStyle w:val="29"/>
                    <w:rPr>
                      <w:sz w:val="21"/>
                      <w:szCs w:val="21"/>
                    </w:rPr>
                  </w:pPr>
                  <w:r>
                    <w:rPr>
                      <w:sz w:val="21"/>
                      <w:szCs w:val="21"/>
                    </w:rPr>
                    <w:t>《大气污染物综合排放标准》（GB16297-1996）</w:t>
                  </w:r>
                </w:p>
              </w:tc>
              <w:tc>
                <w:tcPr>
                  <w:tcW w:w="689" w:type="pct"/>
                  <w:tcBorders>
                    <w:tl2br w:val="nil"/>
                    <w:tr2bl w:val="nil"/>
                  </w:tcBorders>
                  <w:vAlign w:val="center"/>
                </w:tcPr>
                <w:p w14:paraId="60AB6D89">
                  <w:pPr>
                    <w:pStyle w:val="29"/>
                    <w:rPr>
                      <w:sz w:val="21"/>
                      <w:szCs w:val="21"/>
                    </w:rPr>
                  </w:pPr>
                  <w:r>
                    <w:rPr>
                      <w:sz w:val="21"/>
                      <w:szCs w:val="21"/>
                    </w:rPr>
                    <w:t>1</w:t>
                  </w:r>
                </w:p>
              </w:tc>
            </w:tr>
            <w:tr w14:paraId="7F7F5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7" w:type="pct"/>
                  <w:tcBorders>
                    <w:tl2br w:val="nil"/>
                    <w:tr2bl w:val="nil"/>
                  </w:tcBorders>
                  <w:vAlign w:val="center"/>
                </w:tcPr>
                <w:p w14:paraId="358DAF65">
                  <w:pPr>
                    <w:pStyle w:val="29"/>
                    <w:rPr>
                      <w:sz w:val="21"/>
                      <w:szCs w:val="21"/>
                    </w:rPr>
                  </w:pPr>
                  <w:r>
                    <w:rPr>
                      <w:sz w:val="21"/>
                      <w:szCs w:val="21"/>
                    </w:rPr>
                    <w:t>2</w:t>
                  </w:r>
                </w:p>
              </w:tc>
              <w:tc>
                <w:tcPr>
                  <w:tcW w:w="738" w:type="pct"/>
                  <w:tcBorders>
                    <w:tl2br w:val="nil"/>
                    <w:tr2bl w:val="nil"/>
                  </w:tcBorders>
                  <w:vAlign w:val="center"/>
                </w:tcPr>
                <w:p w14:paraId="178E7FA6">
                  <w:pPr>
                    <w:pStyle w:val="29"/>
                    <w:rPr>
                      <w:sz w:val="21"/>
                      <w:szCs w:val="21"/>
                    </w:rPr>
                  </w:pPr>
                  <w:r>
                    <w:rPr>
                      <w:sz w:val="21"/>
                      <w:szCs w:val="21"/>
                    </w:rPr>
                    <w:t>印刷</w:t>
                  </w:r>
                </w:p>
              </w:tc>
              <w:tc>
                <w:tcPr>
                  <w:tcW w:w="752" w:type="pct"/>
                  <w:tcBorders>
                    <w:tl2br w:val="nil"/>
                    <w:tr2bl w:val="nil"/>
                  </w:tcBorders>
                  <w:vAlign w:val="center"/>
                </w:tcPr>
                <w:p w14:paraId="50C3C17F">
                  <w:pPr>
                    <w:pStyle w:val="29"/>
                    <w:rPr>
                      <w:sz w:val="21"/>
                      <w:szCs w:val="21"/>
                    </w:rPr>
                  </w:pPr>
                  <w:r>
                    <w:rPr>
                      <w:sz w:val="21"/>
                      <w:szCs w:val="21"/>
                    </w:rPr>
                    <w:t>非甲烷总烃</w:t>
                  </w:r>
                </w:p>
              </w:tc>
              <w:tc>
                <w:tcPr>
                  <w:tcW w:w="1216" w:type="pct"/>
                  <w:tcBorders>
                    <w:tl2br w:val="nil"/>
                    <w:tr2bl w:val="nil"/>
                  </w:tcBorders>
                  <w:vAlign w:val="center"/>
                </w:tcPr>
                <w:p w14:paraId="00E2F5D7">
                  <w:pPr>
                    <w:pStyle w:val="29"/>
                    <w:rPr>
                      <w:sz w:val="21"/>
                      <w:szCs w:val="21"/>
                    </w:rPr>
                  </w:pPr>
                  <w:r>
                    <w:rPr>
                      <w:sz w:val="21"/>
                      <w:szCs w:val="21"/>
                    </w:rPr>
                    <w:t>印刷机上方设置集气罩</w:t>
                  </w:r>
                </w:p>
              </w:tc>
              <w:tc>
                <w:tcPr>
                  <w:tcW w:w="1306" w:type="pct"/>
                  <w:tcBorders>
                    <w:tl2br w:val="nil"/>
                    <w:tr2bl w:val="nil"/>
                  </w:tcBorders>
                  <w:vAlign w:val="center"/>
                </w:tcPr>
                <w:p w14:paraId="1DFDDE46">
                  <w:pPr>
                    <w:pStyle w:val="29"/>
                    <w:rPr>
                      <w:sz w:val="21"/>
                      <w:szCs w:val="21"/>
                    </w:rPr>
                  </w:pPr>
                  <w:r>
                    <w:rPr>
                      <w:sz w:val="21"/>
                      <w:szCs w:val="21"/>
                    </w:rPr>
                    <w:t>《大气污染物综合排放标准》（GB16297-1996）、《固定源挥发性有机物综合排放标准  第4部分：印刷工业》（DB34/4812.4-2024）</w:t>
                  </w:r>
                </w:p>
              </w:tc>
              <w:tc>
                <w:tcPr>
                  <w:tcW w:w="689" w:type="pct"/>
                  <w:tcBorders>
                    <w:tl2br w:val="nil"/>
                    <w:tr2bl w:val="nil"/>
                  </w:tcBorders>
                  <w:vAlign w:val="center"/>
                </w:tcPr>
                <w:p w14:paraId="2F44DA81">
                  <w:pPr>
                    <w:pStyle w:val="29"/>
                    <w:rPr>
                      <w:sz w:val="21"/>
                      <w:szCs w:val="21"/>
                    </w:rPr>
                  </w:pPr>
                  <w:r>
                    <w:rPr>
                      <w:sz w:val="21"/>
                      <w:szCs w:val="21"/>
                    </w:rPr>
                    <w:t>4</w:t>
                  </w:r>
                </w:p>
              </w:tc>
            </w:tr>
            <w:tr w14:paraId="3A82C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297" w:type="pct"/>
                  <w:vMerge w:val="restart"/>
                  <w:tcBorders>
                    <w:tl2br w:val="nil"/>
                    <w:tr2bl w:val="nil"/>
                  </w:tcBorders>
                  <w:vAlign w:val="center"/>
                </w:tcPr>
                <w:p w14:paraId="538FA7EE">
                  <w:pPr>
                    <w:pStyle w:val="29"/>
                    <w:rPr>
                      <w:sz w:val="21"/>
                      <w:szCs w:val="21"/>
                    </w:rPr>
                  </w:pPr>
                  <w:r>
                    <w:rPr>
                      <w:sz w:val="21"/>
                      <w:szCs w:val="21"/>
                    </w:rPr>
                    <w:t>3</w:t>
                  </w:r>
                </w:p>
              </w:tc>
              <w:tc>
                <w:tcPr>
                  <w:tcW w:w="738" w:type="pct"/>
                  <w:vMerge w:val="restart"/>
                  <w:tcBorders>
                    <w:tl2br w:val="nil"/>
                    <w:tr2bl w:val="nil"/>
                  </w:tcBorders>
                  <w:vAlign w:val="center"/>
                </w:tcPr>
                <w:p w14:paraId="492A3631">
                  <w:pPr>
                    <w:pStyle w:val="29"/>
                    <w:rPr>
                      <w:sz w:val="21"/>
                      <w:szCs w:val="21"/>
                    </w:rPr>
                  </w:pPr>
                  <w:r>
                    <w:rPr>
                      <w:sz w:val="21"/>
                      <w:szCs w:val="21"/>
                    </w:rPr>
                    <w:t>锅炉</w:t>
                  </w:r>
                </w:p>
              </w:tc>
              <w:tc>
                <w:tcPr>
                  <w:tcW w:w="752" w:type="pct"/>
                  <w:tcBorders>
                    <w:tl2br w:val="nil"/>
                    <w:tr2bl w:val="nil"/>
                  </w:tcBorders>
                  <w:vAlign w:val="center"/>
                </w:tcPr>
                <w:p w14:paraId="736DE2BE">
                  <w:pPr>
                    <w:pStyle w:val="29"/>
                    <w:rPr>
                      <w:sz w:val="21"/>
                      <w:szCs w:val="21"/>
                    </w:rPr>
                  </w:pPr>
                  <w:r>
                    <w:rPr>
                      <w:rFonts w:hint="default"/>
                      <w:sz w:val="21"/>
                      <w:szCs w:val="21"/>
                      <w:lang w:eastAsia="zh-CN"/>
                    </w:rPr>
                    <w:t>颗粒物</w:t>
                  </w:r>
                </w:p>
              </w:tc>
              <w:tc>
                <w:tcPr>
                  <w:tcW w:w="1216" w:type="pct"/>
                  <w:vMerge w:val="restart"/>
                  <w:tcBorders>
                    <w:tl2br w:val="nil"/>
                    <w:tr2bl w:val="nil"/>
                  </w:tcBorders>
                  <w:vAlign w:val="center"/>
                </w:tcPr>
                <w:p w14:paraId="59A09745">
                  <w:pPr>
                    <w:pStyle w:val="29"/>
                    <w:rPr>
                      <w:sz w:val="21"/>
                      <w:szCs w:val="21"/>
                    </w:rPr>
                  </w:pPr>
                  <w:r>
                    <w:rPr>
                      <w:sz w:val="21"/>
                      <w:szCs w:val="21"/>
                    </w:rPr>
                    <w:t>低氮燃烧</w:t>
                  </w:r>
                </w:p>
              </w:tc>
              <w:tc>
                <w:tcPr>
                  <w:tcW w:w="1306" w:type="pct"/>
                  <w:vMerge w:val="restart"/>
                  <w:tcBorders>
                    <w:tl2br w:val="nil"/>
                    <w:tr2bl w:val="nil"/>
                  </w:tcBorders>
                  <w:vAlign w:val="center"/>
                </w:tcPr>
                <w:p w14:paraId="00D822D6">
                  <w:pPr>
                    <w:pStyle w:val="29"/>
                    <w:rPr>
                      <w:sz w:val="21"/>
                      <w:szCs w:val="21"/>
                    </w:rPr>
                  </w:pPr>
                  <w:r>
                    <w:rPr>
                      <w:sz w:val="21"/>
                      <w:szCs w:val="21"/>
                    </w:rPr>
                    <w:t>《大气污染物综合排放标准》（GB16297-1996）</w:t>
                  </w:r>
                </w:p>
              </w:tc>
              <w:tc>
                <w:tcPr>
                  <w:tcW w:w="689" w:type="pct"/>
                  <w:tcBorders>
                    <w:tl2br w:val="nil"/>
                    <w:tr2bl w:val="nil"/>
                  </w:tcBorders>
                  <w:vAlign w:val="center"/>
                </w:tcPr>
                <w:p w14:paraId="7EBD2D60">
                  <w:pPr>
                    <w:pStyle w:val="29"/>
                    <w:rPr>
                      <w:sz w:val="21"/>
                      <w:szCs w:val="21"/>
                    </w:rPr>
                  </w:pPr>
                  <w:r>
                    <w:rPr>
                      <w:sz w:val="21"/>
                      <w:szCs w:val="21"/>
                    </w:rPr>
                    <w:t>1</w:t>
                  </w:r>
                </w:p>
              </w:tc>
            </w:tr>
            <w:tr w14:paraId="59F38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 w:type="pct"/>
                  <w:vMerge w:val="continue"/>
                  <w:tcBorders>
                    <w:tl2br w:val="nil"/>
                    <w:tr2bl w:val="nil"/>
                  </w:tcBorders>
                  <w:vAlign w:val="center"/>
                </w:tcPr>
                <w:p w14:paraId="4522A0CB">
                  <w:pPr>
                    <w:pStyle w:val="29"/>
                    <w:rPr>
                      <w:sz w:val="21"/>
                      <w:szCs w:val="21"/>
                    </w:rPr>
                  </w:pPr>
                </w:p>
              </w:tc>
              <w:tc>
                <w:tcPr>
                  <w:tcW w:w="738" w:type="pct"/>
                  <w:vMerge w:val="continue"/>
                  <w:tcBorders>
                    <w:tl2br w:val="nil"/>
                    <w:tr2bl w:val="nil"/>
                  </w:tcBorders>
                  <w:vAlign w:val="center"/>
                </w:tcPr>
                <w:p w14:paraId="5C7F59F8">
                  <w:pPr>
                    <w:pStyle w:val="29"/>
                    <w:rPr>
                      <w:sz w:val="21"/>
                      <w:szCs w:val="21"/>
                    </w:rPr>
                  </w:pPr>
                </w:p>
              </w:tc>
              <w:tc>
                <w:tcPr>
                  <w:tcW w:w="752" w:type="pct"/>
                  <w:tcBorders>
                    <w:tl2br w:val="nil"/>
                    <w:tr2bl w:val="nil"/>
                  </w:tcBorders>
                  <w:vAlign w:val="center"/>
                </w:tcPr>
                <w:p w14:paraId="1CAB7136">
                  <w:pPr>
                    <w:pStyle w:val="29"/>
                    <w:rPr>
                      <w:sz w:val="21"/>
                      <w:szCs w:val="21"/>
                    </w:rPr>
                  </w:pPr>
                  <w:r>
                    <w:rPr>
                      <w:sz w:val="21"/>
                      <w:szCs w:val="21"/>
                    </w:rPr>
                    <w:t>二氧化硫</w:t>
                  </w:r>
                </w:p>
              </w:tc>
              <w:tc>
                <w:tcPr>
                  <w:tcW w:w="1216" w:type="pct"/>
                  <w:vMerge w:val="continue"/>
                  <w:tcBorders>
                    <w:tl2br w:val="nil"/>
                    <w:tr2bl w:val="nil"/>
                  </w:tcBorders>
                  <w:vAlign w:val="center"/>
                </w:tcPr>
                <w:p w14:paraId="7822F097">
                  <w:pPr>
                    <w:pStyle w:val="29"/>
                    <w:rPr>
                      <w:sz w:val="21"/>
                      <w:szCs w:val="21"/>
                    </w:rPr>
                  </w:pPr>
                </w:p>
              </w:tc>
              <w:tc>
                <w:tcPr>
                  <w:tcW w:w="1306" w:type="pct"/>
                  <w:vMerge w:val="continue"/>
                  <w:tcBorders>
                    <w:tl2br w:val="nil"/>
                    <w:tr2bl w:val="nil"/>
                  </w:tcBorders>
                  <w:vAlign w:val="center"/>
                </w:tcPr>
                <w:p w14:paraId="6F74D819">
                  <w:pPr>
                    <w:pStyle w:val="29"/>
                    <w:rPr>
                      <w:sz w:val="21"/>
                      <w:szCs w:val="21"/>
                    </w:rPr>
                  </w:pPr>
                </w:p>
              </w:tc>
              <w:tc>
                <w:tcPr>
                  <w:tcW w:w="689" w:type="pct"/>
                  <w:tcBorders>
                    <w:tl2br w:val="nil"/>
                    <w:tr2bl w:val="nil"/>
                  </w:tcBorders>
                  <w:vAlign w:val="center"/>
                </w:tcPr>
                <w:p w14:paraId="70933209">
                  <w:pPr>
                    <w:pStyle w:val="29"/>
                    <w:rPr>
                      <w:sz w:val="21"/>
                      <w:szCs w:val="21"/>
                    </w:rPr>
                  </w:pPr>
                  <w:r>
                    <w:rPr>
                      <w:sz w:val="21"/>
                      <w:szCs w:val="21"/>
                    </w:rPr>
                    <w:t>0.4</w:t>
                  </w:r>
                </w:p>
              </w:tc>
            </w:tr>
            <w:tr w14:paraId="1D64B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 w:type="pct"/>
                  <w:vMerge w:val="continue"/>
                  <w:tcBorders>
                    <w:tl2br w:val="nil"/>
                    <w:tr2bl w:val="nil"/>
                  </w:tcBorders>
                  <w:vAlign w:val="center"/>
                </w:tcPr>
                <w:p w14:paraId="6E74C5C9">
                  <w:pPr>
                    <w:pStyle w:val="29"/>
                    <w:rPr>
                      <w:sz w:val="21"/>
                      <w:szCs w:val="21"/>
                    </w:rPr>
                  </w:pPr>
                </w:p>
              </w:tc>
              <w:tc>
                <w:tcPr>
                  <w:tcW w:w="738" w:type="pct"/>
                  <w:vMerge w:val="continue"/>
                  <w:tcBorders>
                    <w:tl2br w:val="nil"/>
                    <w:tr2bl w:val="nil"/>
                  </w:tcBorders>
                  <w:vAlign w:val="center"/>
                </w:tcPr>
                <w:p w14:paraId="10D4B399">
                  <w:pPr>
                    <w:pStyle w:val="29"/>
                    <w:rPr>
                      <w:sz w:val="21"/>
                      <w:szCs w:val="21"/>
                    </w:rPr>
                  </w:pPr>
                </w:p>
              </w:tc>
              <w:tc>
                <w:tcPr>
                  <w:tcW w:w="752" w:type="pct"/>
                  <w:tcBorders>
                    <w:tl2br w:val="nil"/>
                    <w:tr2bl w:val="nil"/>
                  </w:tcBorders>
                  <w:vAlign w:val="center"/>
                </w:tcPr>
                <w:p w14:paraId="4AFAA68F">
                  <w:pPr>
                    <w:pStyle w:val="29"/>
                    <w:rPr>
                      <w:sz w:val="21"/>
                      <w:szCs w:val="21"/>
                    </w:rPr>
                  </w:pPr>
                  <w:r>
                    <w:rPr>
                      <w:sz w:val="21"/>
                      <w:szCs w:val="21"/>
                    </w:rPr>
                    <w:t>氮氧化物</w:t>
                  </w:r>
                </w:p>
              </w:tc>
              <w:tc>
                <w:tcPr>
                  <w:tcW w:w="1216" w:type="pct"/>
                  <w:vMerge w:val="continue"/>
                  <w:tcBorders>
                    <w:tl2br w:val="nil"/>
                    <w:tr2bl w:val="nil"/>
                  </w:tcBorders>
                  <w:vAlign w:val="center"/>
                </w:tcPr>
                <w:p w14:paraId="0CD49BB6">
                  <w:pPr>
                    <w:pStyle w:val="29"/>
                    <w:rPr>
                      <w:sz w:val="21"/>
                      <w:szCs w:val="21"/>
                    </w:rPr>
                  </w:pPr>
                </w:p>
              </w:tc>
              <w:tc>
                <w:tcPr>
                  <w:tcW w:w="1306" w:type="pct"/>
                  <w:vMerge w:val="continue"/>
                  <w:tcBorders>
                    <w:tl2br w:val="nil"/>
                    <w:tr2bl w:val="nil"/>
                  </w:tcBorders>
                  <w:vAlign w:val="center"/>
                </w:tcPr>
                <w:p w14:paraId="53664DD6">
                  <w:pPr>
                    <w:pStyle w:val="29"/>
                    <w:rPr>
                      <w:sz w:val="21"/>
                      <w:szCs w:val="21"/>
                    </w:rPr>
                  </w:pPr>
                </w:p>
              </w:tc>
              <w:tc>
                <w:tcPr>
                  <w:tcW w:w="689" w:type="pct"/>
                  <w:tcBorders>
                    <w:tl2br w:val="nil"/>
                    <w:tr2bl w:val="nil"/>
                  </w:tcBorders>
                  <w:vAlign w:val="center"/>
                </w:tcPr>
                <w:p w14:paraId="16C4F7D7">
                  <w:pPr>
                    <w:pStyle w:val="29"/>
                    <w:rPr>
                      <w:sz w:val="21"/>
                      <w:szCs w:val="21"/>
                    </w:rPr>
                  </w:pPr>
                  <w:r>
                    <w:rPr>
                      <w:sz w:val="21"/>
                      <w:szCs w:val="21"/>
                    </w:rPr>
                    <w:t>0.12</w:t>
                  </w:r>
                </w:p>
              </w:tc>
            </w:tr>
          </w:tbl>
          <w:p w14:paraId="3C0954C3">
            <w:pPr>
              <w:adjustRightInd w:val="0"/>
              <w:rPr>
                <w:rFonts w:hint="default" w:ascii="Times New Roman" w:hAnsi="Times New Roman" w:cs="Times New Roman"/>
                <w:b/>
                <w:lang w:bidi="en-US"/>
              </w:rPr>
            </w:pPr>
            <w:r>
              <w:rPr>
                <w:rFonts w:hint="default" w:ascii="Times New Roman" w:hAnsi="Times New Roman" w:cs="Times New Roman"/>
                <w:b/>
                <w:lang w:bidi="en-US"/>
              </w:rPr>
              <w:t>4.2.3废气排放治理措施可行性分析</w:t>
            </w:r>
          </w:p>
          <w:p w14:paraId="4D059E9F">
            <w:pPr>
              <w:pStyle w:val="45"/>
              <w:wordWrap/>
              <w:adjustRightInd w:val="0"/>
              <w:snapToGrid w:val="0"/>
              <w:ind w:firstLine="0" w:firstLineChars="0"/>
              <w:rPr>
                <w:rFonts w:hint="default"/>
                <w:kern w:val="0"/>
                <w:szCs w:val="20"/>
              </w:rPr>
            </w:pPr>
            <w:r>
              <w:rPr>
                <w:rFonts w:hint="default"/>
                <w:kern w:val="0"/>
                <w:szCs w:val="20"/>
              </w:rPr>
              <w:t>1、有组织废气治理措施</w:t>
            </w:r>
          </w:p>
          <w:p w14:paraId="6BA3152C">
            <w:pPr>
              <w:pStyle w:val="45"/>
              <w:wordWrap/>
              <w:adjustRightInd w:val="0"/>
              <w:snapToGrid w:val="0"/>
              <w:ind w:firstLine="480" w:firstLineChars="200"/>
              <w:rPr>
                <w:rFonts w:hint="default"/>
                <w:kern w:val="0"/>
                <w:szCs w:val="20"/>
              </w:rPr>
            </w:pPr>
            <w:r>
              <w:rPr>
                <w:rFonts w:hint="default"/>
                <w:kern w:val="0"/>
                <w:szCs w:val="20"/>
              </w:rPr>
              <w:t>根据《排污许可证申请与核发技术规范 印刷工业》（HJ1066-2019）中相关管理要求中的表 4 简化管理排污单位废气产污环节、污染物项目、排放形式及污染防治设施一览表”，印刷工序产生颗粒物的推荐污染防治可行技术为：集气设施或密闭车间、活性炭吸附（现场再生）、浓缩+热力（催化）氧化技术、直接热力（催化）氧化技术、其他，本项目涂装废气挥发性有机</w:t>
            </w:r>
            <w:r>
              <w:rPr>
                <w:rFonts w:hint="default"/>
                <w:spacing w:val="0"/>
                <w:kern w:val="0"/>
                <w:szCs w:val="20"/>
              </w:rPr>
              <w:t>物治理措施为二级活性炭吸附装置。综上所述，本项目采用的废气处理措施均为规范中推荐的可行技术，废气</w:t>
            </w:r>
            <w:r>
              <w:rPr>
                <w:rFonts w:hint="default"/>
                <w:kern w:val="0"/>
                <w:szCs w:val="20"/>
              </w:rPr>
              <w:t>污染防治措施可行。锅炉采用低氮燃烧工艺；在车间外侧合理设置绿化，降低无组织排放废气的影响。采用上述措施后，可减少项目的无组织废气排放，使污染物无组织排放量降低到较低的水平。</w:t>
            </w:r>
          </w:p>
          <w:p w14:paraId="6A7029E6">
            <w:pPr>
              <w:pStyle w:val="45"/>
              <w:snapToGrid w:val="0"/>
              <w:ind w:firstLineChars="0"/>
              <w:rPr>
                <w:rFonts w:hint="default" w:ascii="Times New Roman" w:hAnsi="Times New Roman" w:cs="Times New Roman"/>
              </w:rPr>
            </w:pPr>
            <w:r>
              <w:rPr>
                <w:rFonts w:hint="default"/>
                <w:kern w:val="0"/>
                <w:szCs w:val="20"/>
              </w:rPr>
              <w:t>具体可行性措施对照见下表：</w:t>
            </w:r>
          </w:p>
          <w:p w14:paraId="6C045290">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4-11 废气治理技术可行性对照表</w:t>
            </w:r>
          </w:p>
          <w:tbl>
            <w:tblPr>
              <w:tblStyle w:val="22"/>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4"/>
              <w:gridCol w:w="559"/>
              <w:gridCol w:w="744"/>
              <w:gridCol w:w="594"/>
              <w:gridCol w:w="2586"/>
              <w:gridCol w:w="1910"/>
              <w:gridCol w:w="611"/>
            </w:tblGrid>
            <w:tr w14:paraId="15B47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21" w:type="pct"/>
                  <w:vAlign w:val="center"/>
                </w:tcPr>
                <w:p w14:paraId="7CE061BC">
                  <w:pPr>
                    <w:adjustRightInd w:val="0"/>
                    <w:snapToGrid w:val="0"/>
                    <w:spacing w:line="240" w:lineRule="auto"/>
                    <w:jc w:val="center"/>
                    <w:rPr>
                      <w:b/>
                      <w:bCs/>
                      <w:sz w:val="21"/>
                      <w:szCs w:val="21"/>
                    </w:rPr>
                  </w:pPr>
                  <w:r>
                    <w:rPr>
                      <w:b/>
                      <w:bCs/>
                      <w:sz w:val="21"/>
                      <w:szCs w:val="21"/>
                    </w:rPr>
                    <w:t>生产单元</w:t>
                  </w:r>
                </w:p>
              </w:tc>
              <w:tc>
                <w:tcPr>
                  <w:tcW w:w="365" w:type="pct"/>
                  <w:vAlign w:val="center"/>
                </w:tcPr>
                <w:p w14:paraId="47125A37">
                  <w:pPr>
                    <w:adjustRightInd w:val="0"/>
                    <w:snapToGrid w:val="0"/>
                    <w:spacing w:line="240" w:lineRule="auto"/>
                    <w:jc w:val="center"/>
                    <w:rPr>
                      <w:b/>
                      <w:bCs/>
                      <w:sz w:val="21"/>
                      <w:szCs w:val="21"/>
                    </w:rPr>
                  </w:pPr>
                  <w:r>
                    <w:rPr>
                      <w:b/>
                      <w:bCs/>
                      <w:sz w:val="21"/>
                      <w:szCs w:val="21"/>
                    </w:rPr>
                    <w:t>生产设施</w:t>
                  </w:r>
                </w:p>
              </w:tc>
              <w:tc>
                <w:tcPr>
                  <w:tcW w:w="486" w:type="pct"/>
                  <w:vAlign w:val="center"/>
                </w:tcPr>
                <w:p w14:paraId="261BBFA2">
                  <w:pPr>
                    <w:adjustRightInd w:val="0"/>
                    <w:snapToGrid w:val="0"/>
                    <w:spacing w:line="240" w:lineRule="auto"/>
                    <w:jc w:val="center"/>
                    <w:rPr>
                      <w:b/>
                      <w:bCs/>
                      <w:sz w:val="21"/>
                      <w:szCs w:val="21"/>
                    </w:rPr>
                  </w:pPr>
                  <w:r>
                    <w:rPr>
                      <w:b/>
                      <w:bCs/>
                      <w:sz w:val="21"/>
                      <w:szCs w:val="21"/>
                    </w:rPr>
                    <w:t>废气产污环节</w:t>
                  </w:r>
                </w:p>
              </w:tc>
              <w:tc>
                <w:tcPr>
                  <w:tcW w:w="388" w:type="pct"/>
                  <w:vAlign w:val="center"/>
                </w:tcPr>
                <w:p w14:paraId="1193608D">
                  <w:pPr>
                    <w:adjustRightInd w:val="0"/>
                    <w:snapToGrid w:val="0"/>
                    <w:spacing w:line="240" w:lineRule="auto"/>
                    <w:jc w:val="center"/>
                    <w:rPr>
                      <w:b/>
                      <w:bCs/>
                      <w:sz w:val="21"/>
                      <w:szCs w:val="21"/>
                    </w:rPr>
                  </w:pPr>
                  <w:r>
                    <w:rPr>
                      <w:b/>
                      <w:bCs/>
                      <w:sz w:val="21"/>
                      <w:szCs w:val="21"/>
                    </w:rPr>
                    <w:t>排放形式</w:t>
                  </w:r>
                </w:p>
              </w:tc>
              <w:tc>
                <w:tcPr>
                  <w:tcW w:w="1689" w:type="pct"/>
                  <w:vAlign w:val="center"/>
                </w:tcPr>
                <w:p w14:paraId="5DEBCBA0">
                  <w:pPr>
                    <w:adjustRightInd w:val="0"/>
                    <w:snapToGrid w:val="0"/>
                    <w:spacing w:line="240" w:lineRule="auto"/>
                    <w:jc w:val="center"/>
                    <w:rPr>
                      <w:b/>
                      <w:bCs/>
                      <w:sz w:val="21"/>
                      <w:szCs w:val="21"/>
                    </w:rPr>
                  </w:pPr>
                  <w:r>
                    <w:rPr>
                      <w:b/>
                      <w:bCs/>
                      <w:sz w:val="21"/>
                      <w:szCs w:val="21"/>
                    </w:rPr>
                    <w:t>污染防治措施</w:t>
                  </w:r>
                </w:p>
              </w:tc>
              <w:tc>
                <w:tcPr>
                  <w:tcW w:w="1248" w:type="pct"/>
                  <w:vAlign w:val="center"/>
                </w:tcPr>
                <w:p w14:paraId="39EFA120">
                  <w:pPr>
                    <w:adjustRightInd w:val="0"/>
                    <w:snapToGrid w:val="0"/>
                    <w:spacing w:line="240" w:lineRule="auto"/>
                    <w:jc w:val="center"/>
                    <w:rPr>
                      <w:b/>
                      <w:bCs/>
                      <w:sz w:val="21"/>
                      <w:szCs w:val="21"/>
                    </w:rPr>
                  </w:pPr>
                  <w:r>
                    <w:rPr>
                      <w:b/>
                      <w:bCs/>
                      <w:sz w:val="21"/>
                      <w:szCs w:val="21"/>
                    </w:rPr>
                    <w:t>本项目建设情况</w:t>
                  </w:r>
                </w:p>
              </w:tc>
              <w:tc>
                <w:tcPr>
                  <w:tcW w:w="399" w:type="pct"/>
                  <w:vAlign w:val="center"/>
                </w:tcPr>
                <w:p w14:paraId="390526F6">
                  <w:pPr>
                    <w:adjustRightInd w:val="0"/>
                    <w:snapToGrid w:val="0"/>
                    <w:spacing w:line="240" w:lineRule="auto"/>
                    <w:jc w:val="center"/>
                    <w:rPr>
                      <w:b/>
                      <w:bCs/>
                      <w:sz w:val="21"/>
                      <w:szCs w:val="21"/>
                    </w:rPr>
                  </w:pPr>
                  <w:r>
                    <w:rPr>
                      <w:b/>
                      <w:bCs/>
                      <w:sz w:val="21"/>
                      <w:szCs w:val="21"/>
                    </w:rPr>
                    <w:t>可行性</w:t>
                  </w:r>
                </w:p>
              </w:tc>
            </w:tr>
            <w:tr w14:paraId="53961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421" w:type="pct"/>
                  <w:vAlign w:val="center"/>
                </w:tcPr>
                <w:p w14:paraId="479848BF">
                  <w:pPr>
                    <w:adjustRightInd w:val="0"/>
                    <w:snapToGrid w:val="0"/>
                    <w:spacing w:line="240" w:lineRule="auto"/>
                    <w:jc w:val="center"/>
                    <w:rPr>
                      <w:sz w:val="21"/>
                      <w:szCs w:val="21"/>
                    </w:rPr>
                  </w:pPr>
                  <w:r>
                    <w:rPr>
                      <w:sz w:val="21"/>
                      <w:szCs w:val="21"/>
                    </w:rPr>
                    <w:t>印刷</w:t>
                  </w:r>
                </w:p>
              </w:tc>
              <w:tc>
                <w:tcPr>
                  <w:tcW w:w="365" w:type="pct"/>
                  <w:vAlign w:val="center"/>
                </w:tcPr>
                <w:p w14:paraId="382BAC17">
                  <w:pPr>
                    <w:adjustRightInd w:val="0"/>
                    <w:snapToGrid w:val="0"/>
                    <w:spacing w:line="240" w:lineRule="auto"/>
                    <w:jc w:val="center"/>
                    <w:rPr>
                      <w:sz w:val="21"/>
                      <w:szCs w:val="21"/>
                    </w:rPr>
                  </w:pPr>
                  <w:r>
                    <w:rPr>
                      <w:sz w:val="21"/>
                      <w:szCs w:val="21"/>
                    </w:rPr>
                    <w:t>印刷设备</w:t>
                  </w:r>
                </w:p>
              </w:tc>
              <w:tc>
                <w:tcPr>
                  <w:tcW w:w="486" w:type="pct"/>
                  <w:vAlign w:val="center"/>
                </w:tcPr>
                <w:p w14:paraId="7E75CCFD">
                  <w:pPr>
                    <w:adjustRightInd w:val="0"/>
                    <w:snapToGrid w:val="0"/>
                    <w:spacing w:line="240" w:lineRule="auto"/>
                    <w:jc w:val="center"/>
                    <w:rPr>
                      <w:sz w:val="21"/>
                      <w:szCs w:val="21"/>
                    </w:rPr>
                  </w:pPr>
                  <w:r>
                    <w:rPr>
                      <w:sz w:val="21"/>
                      <w:szCs w:val="21"/>
                    </w:rPr>
                    <w:t>油墨废气</w:t>
                  </w:r>
                </w:p>
              </w:tc>
              <w:tc>
                <w:tcPr>
                  <w:tcW w:w="388" w:type="pct"/>
                  <w:vAlign w:val="center"/>
                </w:tcPr>
                <w:p w14:paraId="0845EF90">
                  <w:pPr>
                    <w:adjustRightInd w:val="0"/>
                    <w:snapToGrid w:val="0"/>
                    <w:spacing w:line="240" w:lineRule="auto"/>
                    <w:jc w:val="center"/>
                    <w:rPr>
                      <w:sz w:val="21"/>
                      <w:szCs w:val="21"/>
                    </w:rPr>
                  </w:pPr>
                  <w:r>
                    <w:rPr>
                      <w:sz w:val="21"/>
                      <w:szCs w:val="21"/>
                    </w:rPr>
                    <w:t>有组织、无组织</w:t>
                  </w:r>
                </w:p>
              </w:tc>
              <w:tc>
                <w:tcPr>
                  <w:tcW w:w="1689" w:type="pct"/>
                  <w:vAlign w:val="center"/>
                </w:tcPr>
                <w:p w14:paraId="7E041F48">
                  <w:pPr>
                    <w:adjustRightInd w:val="0"/>
                    <w:snapToGrid w:val="0"/>
                    <w:spacing w:line="240" w:lineRule="auto"/>
                    <w:rPr>
                      <w:sz w:val="21"/>
                      <w:szCs w:val="21"/>
                    </w:rPr>
                  </w:pPr>
                  <w:r>
                    <w:rPr>
                      <w:sz w:val="21"/>
                      <w:szCs w:val="21"/>
                    </w:rPr>
                    <w:t>集气设施或密闭车间、活性炭吸附（现场再生）、浓缩+热力（催化）氧化技术、直接热力（催化）氧化技术、其他</w:t>
                  </w:r>
                </w:p>
              </w:tc>
              <w:tc>
                <w:tcPr>
                  <w:tcW w:w="1248" w:type="pct"/>
                  <w:vAlign w:val="center"/>
                </w:tcPr>
                <w:p w14:paraId="7F31014B">
                  <w:pPr>
                    <w:adjustRightInd w:val="0"/>
                    <w:snapToGrid w:val="0"/>
                    <w:spacing w:line="240" w:lineRule="auto"/>
                    <w:rPr>
                      <w:sz w:val="21"/>
                      <w:szCs w:val="21"/>
                    </w:rPr>
                  </w:pPr>
                  <w:r>
                    <w:rPr>
                      <w:sz w:val="21"/>
                      <w:szCs w:val="21"/>
                    </w:rPr>
                    <w:t>本项目印刷设备上方布设集气罩收集后经二级活性炭吸附装置处理，通过一根15m高排气筒（DA001）排放</w:t>
                  </w:r>
                </w:p>
              </w:tc>
              <w:tc>
                <w:tcPr>
                  <w:tcW w:w="399" w:type="pct"/>
                  <w:vAlign w:val="center"/>
                </w:tcPr>
                <w:p w14:paraId="160B8911">
                  <w:pPr>
                    <w:adjustRightInd w:val="0"/>
                    <w:snapToGrid w:val="0"/>
                    <w:spacing w:line="240" w:lineRule="auto"/>
                    <w:jc w:val="center"/>
                    <w:rPr>
                      <w:sz w:val="21"/>
                      <w:szCs w:val="21"/>
                    </w:rPr>
                  </w:pPr>
                  <w:r>
                    <w:rPr>
                      <w:sz w:val="21"/>
                      <w:szCs w:val="21"/>
                    </w:rPr>
                    <w:t>可行</w:t>
                  </w:r>
                </w:p>
              </w:tc>
            </w:tr>
          </w:tbl>
          <w:p w14:paraId="40F7A167">
            <w:pPr>
              <w:pStyle w:val="45"/>
              <w:ind w:firstLine="480"/>
              <w:rPr>
                <w:rFonts w:hint="default" w:ascii="Times New Roman" w:hAnsi="Times New Roman" w:cs="Times New Roman"/>
              </w:rPr>
            </w:pPr>
            <w:r>
              <w:rPr>
                <w:rFonts w:hint="default" w:ascii="Times New Roman" w:hAnsi="Times New Roman" w:cs="Times New Roman"/>
              </w:rPr>
              <w:t>2、无组织废气管控措施</w:t>
            </w:r>
          </w:p>
          <w:p w14:paraId="76F7D2B1">
            <w:pPr>
              <w:pStyle w:val="45"/>
              <w:ind w:firstLine="480"/>
              <w:rPr>
                <w:rFonts w:hint="default" w:ascii="Times New Roman" w:hAnsi="Times New Roman" w:cs="Times New Roman"/>
                <w:b/>
              </w:rPr>
            </w:pPr>
            <w:r>
              <w:rPr>
                <w:rFonts w:hint="default" w:ascii="Times New Roman" w:hAnsi="Times New Roman" w:cs="Times New Roman"/>
              </w:rPr>
              <w:t>本项目主要无组织废气为制胶投料粉尘、未被收集的印刷废气和锅炉天然气燃烧废气。本项目运营期产生的废气经过废气处理设施收集处理后可有效减少无组织排放量，定期检查环保设备，确保其正常运转。生产设备和废气收集装置同步运行，废气处理装置发生故障或检修，停止生产。选用高质量的生产设备，提高安装质量，加强印刷车间密闭性，尽量减少废气逸散途径，定期进行检修维护，保证废气的收集效果；制胶工序在密闭车间内进行，同时加强对操作工的培训和管理，规范操作流程，以减少人为造成的废气无组织排放。</w:t>
            </w:r>
          </w:p>
          <w:p w14:paraId="1C5ACE2F">
            <w:pPr>
              <w:adjustRightInd w:val="0"/>
              <w:rPr>
                <w:rFonts w:hint="default" w:ascii="Times New Roman" w:hAnsi="Times New Roman" w:cs="Times New Roman"/>
                <w:b/>
                <w:lang w:bidi="en-US"/>
              </w:rPr>
            </w:pPr>
            <w:r>
              <w:rPr>
                <w:rFonts w:hint="default" w:ascii="Times New Roman" w:hAnsi="Times New Roman" w:cs="Times New Roman"/>
                <w:b/>
                <w:lang w:bidi="en-US"/>
              </w:rPr>
              <w:t>4.2.3非正常工况</w:t>
            </w:r>
          </w:p>
          <w:p w14:paraId="62A49A8B">
            <w:pPr>
              <w:pStyle w:val="45"/>
              <w:ind w:firstLine="480"/>
              <w:rPr>
                <w:rFonts w:hint="default" w:ascii="Times New Roman" w:hAnsi="Times New Roman" w:cs="Times New Roman"/>
              </w:rPr>
            </w:pPr>
            <w:r>
              <w:rPr>
                <w:rFonts w:hint="default" w:ascii="Times New Roman" w:hAnsi="Times New Roman" w:cs="Times New Roman"/>
              </w:rPr>
              <w:t>本项目非正常工况废气排放分析及防范措施具体如下：</w:t>
            </w:r>
          </w:p>
          <w:p w14:paraId="5FC9AC8C">
            <w:pPr>
              <w:pStyle w:val="45"/>
              <w:ind w:firstLine="480"/>
              <w:rPr>
                <w:rFonts w:hint="default" w:ascii="Times New Roman" w:hAnsi="Times New Roman" w:cs="Times New Roman"/>
              </w:rPr>
            </w:pPr>
            <w:r>
              <w:rPr>
                <w:rFonts w:hint="default" w:ascii="Times New Roman" w:hAnsi="Times New Roman" w:cs="Times New Roman"/>
              </w:rPr>
              <w:t>1、非正常工况源强分析</w:t>
            </w:r>
          </w:p>
          <w:p w14:paraId="56ED5FD5">
            <w:pPr>
              <w:pStyle w:val="45"/>
              <w:ind w:firstLine="480"/>
              <w:rPr>
                <w:rFonts w:hint="default" w:ascii="Times New Roman" w:hAnsi="Times New Roman" w:cs="Times New Roman"/>
              </w:rPr>
            </w:pPr>
            <w:r>
              <w:rPr>
                <w:rFonts w:hint="default" w:ascii="Times New Roman" w:hAnsi="Times New Roman" w:cs="Times New Roman"/>
              </w:rPr>
              <w:t>非正常排放一般包括开停车、检修、环保设施不达标三种情况。</w:t>
            </w:r>
          </w:p>
          <w:p w14:paraId="6B825A93">
            <w:pPr>
              <w:pStyle w:val="45"/>
              <w:ind w:firstLine="480"/>
              <w:rPr>
                <w:rFonts w:hint="default" w:ascii="Times New Roman" w:hAnsi="Times New Roman" w:cs="Times New Roman"/>
              </w:rPr>
            </w:pPr>
            <w:r>
              <w:rPr>
                <w:rFonts w:hint="default" w:ascii="Times New Roman" w:hAnsi="Times New Roman" w:cs="Times New Roman"/>
              </w:rPr>
              <w:t>本项目在开车时，首先运行废气处理装置，然后进行生产作业，使生产中的废气都能得到及时处理。停车时，废气处理装置继续运转，待工艺中的废气完全排出后再关闭。设备检修以及突发性故障（如区域性停电时的停车），企业会事先安排好设备正常停车，停止生产。项目在开、停车时排出污染物均可得到有效处理，排出的污染物和正常生产时的情况基本一致。因此，非正常工况考虑废气环保设施运行不正常的情况，本报告按最不利的情况考虑，即废气处理装置完全失效，处理效率下降至0%。本项目非正常工况为废气处理装置发生故障。</w:t>
            </w:r>
          </w:p>
          <w:p w14:paraId="02D99E56">
            <w:pPr>
              <w:pStyle w:val="45"/>
              <w:ind w:firstLine="480"/>
              <w:rPr>
                <w:rFonts w:hint="default" w:ascii="Times New Roman" w:hAnsi="Times New Roman" w:cs="Times New Roman"/>
              </w:rPr>
            </w:pPr>
            <w:r>
              <w:rPr>
                <w:rFonts w:hint="default" w:ascii="Times New Roman" w:hAnsi="Times New Roman" w:cs="Times New Roman"/>
              </w:rPr>
              <w:t>在非正常工况下，按照项目建成后污染物排放最大情况汇总如下表所示。</w:t>
            </w:r>
          </w:p>
          <w:p w14:paraId="719BF021">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4-12 非正常排放情况项目废气排放情况表</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326"/>
              <w:gridCol w:w="433"/>
              <w:gridCol w:w="593"/>
              <w:gridCol w:w="832"/>
              <w:gridCol w:w="542"/>
              <w:gridCol w:w="571"/>
              <w:gridCol w:w="761"/>
              <w:gridCol w:w="792"/>
              <w:gridCol w:w="1404"/>
              <w:gridCol w:w="1397"/>
            </w:tblGrid>
            <w:tr w14:paraId="69DBD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85" w:hRule="atLeast"/>
                <w:jc w:val="center"/>
              </w:trPr>
              <w:tc>
                <w:tcPr>
                  <w:tcW w:w="213" w:type="pct"/>
                  <w:vMerge w:val="restart"/>
                  <w:vAlign w:val="center"/>
                </w:tcPr>
                <w:p w14:paraId="06580640">
                  <w:pPr>
                    <w:pStyle w:val="29"/>
                    <w:rPr>
                      <w:b/>
                      <w:bCs/>
                      <w:sz w:val="21"/>
                      <w:szCs w:val="21"/>
                    </w:rPr>
                  </w:pPr>
                  <w:r>
                    <w:rPr>
                      <w:b/>
                      <w:bCs/>
                      <w:sz w:val="21"/>
                      <w:szCs w:val="21"/>
                    </w:rPr>
                    <w:t>序号</w:t>
                  </w:r>
                </w:p>
              </w:tc>
              <w:tc>
                <w:tcPr>
                  <w:tcW w:w="283" w:type="pct"/>
                  <w:vMerge w:val="restart"/>
                  <w:vAlign w:val="center"/>
                </w:tcPr>
                <w:p w14:paraId="79F46AC9">
                  <w:pPr>
                    <w:pStyle w:val="29"/>
                    <w:rPr>
                      <w:b/>
                      <w:bCs/>
                      <w:sz w:val="21"/>
                      <w:szCs w:val="21"/>
                    </w:rPr>
                  </w:pPr>
                  <w:r>
                    <w:rPr>
                      <w:b/>
                      <w:bCs/>
                      <w:sz w:val="21"/>
                      <w:szCs w:val="21"/>
                    </w:rPr>
                    <w:t>产排污环节</w:t>
                  </w:r>
                </w:p>
              </w:tc>
              <w:tc>
                <w:tcPr>
                  <w:tcW w:w="387" w:type="pct"/>
                  <w:vMerge w:val="restart"/>
                  <w:vAlign w:val="center"/>
                </w:tcPr>
                <w:p w14:paraId="30B1A14C">
                  <w:pPr>
                    <w:pStyle w:val="29"/>
                    <w:rPr>
                      <w:b/>
                      <w:bCs/>
                      <w:sz w:val="21"/>
                      <w:szCs w:val="21"/>
                    </w:rPr>
                  </w:pPr>
                  <w:r>
                    <w:rPr>
                      <w:b/>
                      <w:bCs/>
                      <w:sz w:val="21"/>
                      <w:szCs w:val="21"/>
                    </w:rPr>
                    <w:t>污染因子</w:t>
                  </w:r>
                </w:p>
              </w:tc>
              <w:tc>
                <w:tcPr>
                  <w:tcW w:w="543" w:type="pct"/>
                  <w:vMerge w:val="restart"/>
                  <w:vAlign w:val="center"/>
                </w:tcPr>
                <w:p w14:paraId="2985B940">
                  <w:pPr>
                    <w:pStyle w:val="29"/>
                    <w:rPr>
                      <w:b/>
                      <w:bCs/>
                      <w:sz w:val="21"/>
                      <w:szCs w:val="21"/>
                    </w:rPr>
                  </w:pPr>
                  <w:r>
                    <w:rPr>
                      <w:b/>
                      <w:bCs/>
                      <w:sz w:val="21"/>
                      <w:szCs w:val="21"/>
                    </w:rPr>
                    <w:t>非正常排放原因</w:t>
                  </w:r>
                </w:p>
              </w:tc>
              <w:tc>
                <w:tcPr>
                  <w:tcW w:w="354" w:type="pct"/>
                  <w:vMerge w:val="restart"/>
                  <w:vAlign w:val="center"/>
                </w:tcPr>
                <w:p w14:paraId="0A20A186">
                  <w:pPr>
                    <w:pStyle w:val="29"/>
                    <w:rPr>
                      <w:b/>
                      <w:bCs/>
                      <w:sz w:val="21"/>
                      <w:szCs w:val="21"/>
                    </w:rPr>
                  </w:pPr>
                  <w:r>
                    <w:rPr>
                      <w:b/>
                      <w:bCs/>
                      <w:sz w:val="21"/>
                      <w:szCs w:val="21"/>
                    </w:rPr>
                    <w:t>频次</w:t>
                  </w:r>
                </w:p>
              </w:tc>
              <w:tc>
                <w:tcPr>
                  <w:tcW w:w="373" w:type="pct"/>
                  <w:vMerge w:val="restart"/>
                  <w:vAlign w:val="center"/>
                </w:tcPr>
                <w:p w14:paraId="20E139EB">
                  <w:pPr>
                    <w:pStyle w:val="29"/>
                    <w:rPr>
                      <w:b/>
                      <w:bCs/>
                      <w:sz w:val="21"/>
                      <w:szCs w:val="21"/>
                    </w:rPr>
                  </w:pPr>
                  <w:r>
                    <w:rPr>
                      <w:b/>
                      <w:bCs/>
                      <w:sz w:val="21"/>
                      <w:szCs w:val="21"/>
                    </w:rPr>
                    <w:t>持续时间</w:t>
                  </w:r>
                </w:p>
              </w:tc>
              <w:tc>
                <w:tcPr>
                  <w:tcW w:w="1931" w:type="pct"/>
                  <w:gridSpan w:val="3"/>
                  <w:vAlign w:val="center"/>
                </w:tcPr>
                <w:p w14:paraId="7B77B499">
                  <w:pPr>
                    <w:pStyle w:val="29"/>
                    <w:rPr>
                      <w:b/>
                      <w:bCs/>
                      <w:sz w:val="21"/>
                      <w:szCs w:val="21"/>
                    </w:rPr>
                  </w:pPr>
                  <w:r>
                    <w:rPr>
                      <w:b/>
                      <w:bCs/>
                      <w:sz w:val="21"/>
                      <w:szCs w:val="21"/>
                    </w:rPr>
                    <w:t>排放情况</w:t>
                  </w:r>
                </w:p>
              </w:tc>
              <w:tc>
                <w:tcPr>
                  <w:tcW w:w="912" w:type="pct"/>
                  <w:vMerge w:val="restart"/>
                  <w:vAlign w:val="center"/>
                </w:tcPr>
                <w:p w14:paraId="3A5855AE">
                  <w:pPr>
                    <w:pStyle w:val="29"/>
                    <w:rPr>
                      <w:b/>
                      <w:bCs/>
                      <w:sz w:val="21"/>
                      <w:szCs w:val="21"/>
                    </w:rPr>
                  </w:pPr>
                  <w:r>
                    <w:rPr>
                      <w:b/>
                      <w:bCs/>
                      <w:sz w:val="21"/>
                      <w:szCs w:val="21"/>
                    </w:rPr>
                    <w:t>控制措施</w:t>
                  </w:r>
                </w:p>
              </w:tc>
            </w:tr>
            <w:tr w14:paraId="5C9FA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213" w:type="pct"/>
                  <w:vMerge w:val="continue"/>
                  <w:vAlign w:val="center"/>
                </w:tcPr>
                <w:p w14:paraId="31D58AE0">
                  <w:pPr>
                    <w:pStyle w:val="29"/>
                    <w:rPr>
                      <w:sz w:val="21"/>
                      <w:szCs w:val="21"/>
                    </w:rPr>
                  </w:pPr>
                </w:p>
              </w:tc>
              <w:tc>
                <w:tcPr>
                  <w:tcW w:w="283" w:type="pct"/>
                  <w:vMerge w:val="continue"/>
                  <w:vAlign w:val="center"/>
                </w:tcPr>
                <w:p w14:paraId="683D90F5">
                  <w:pPr>
                    <w:pStyle w:val="29"/>
                    <w:rPr>
                      <w:sz w:val="21"/>
                      <w:szCs w:val="21"/>
                    </w:rPr>
                  </w:pPr>
                </w:p>
              </w:tc>
              <w:tc>
                <w:tcPr>
                  <w:tcW w:w="387" w:type="pct"/>
                  <w:vMerge w:val="continue"/>
                  <w:vAlign w:val="center"/>
                </w:tcPr>
                <w:p w14:paraId="1CEF0230">
                  <w:pPr>
                    <w:pStyle w:val="29"/>
                    <w:rPr>
                      <w:sz w:val="21"/>
                      <w:szCs w:val="21"/>
                    </w:rPr>
                  </w:pPr>
                </w:p>
              </w:tc>
              <w:tc>
                <w:tcPr>
                  <w:tcW w:w="543" w:type="pct"/>
                  <w:vMerge w:val="continue"/>
                  <w:vAlign w:val="center"/>
                </w:tcPr>
                <w:p w14:paraId="1833B698">
                  <w:pPr>
                    <w:pStyle w:val="29"/>
                    <w:rPr>
                      <w:sz w:val="21"/>
                      <w:szCs w:val="21"/>
                    </w:rPr>
                  </w:pPr>
                </w:p>
              </w:tc>
              <w:tc>
                <w:tcPr>
                  <w:tcW w:w="354" w:type="pct"/>
                  <w:vMerge w:val="continue"/>
                  <w:vAlign w:val="center"/>
                </w:tcPr>
                <w:p w14:paraId="12F09FD1">
                  <w:pPr>
                    <w:pStyle w:val="29"/>
                    <w:rPr>
                      <w:sz w:val="21"/>
                      <w:szCs w:val="21"/>
                    </w:rPr>
                  </w:pPr>
                </w:p>
              </w:tc>
              <w:tc>
                <w:tcPr>
                  <w:tcW w:w="373" w:type="pct"/>
                  <w:vMerge w:val="continue"/>
                  <w:vAlign w:val="center"/>
                </w:tcPr>
                <w:p w14:paraId="342FCA0D">
                  <w:pPr>
                    <w:pStyle w:val="29"/>
                    <w:rPr>
                      <w:sz w:val="21"/>
                      <w:szCs w:val="21"/>
                    </w:rPr>
                  </w:pPr>
                </w:p>
              </w:tc>
              <w:tc>
                <w:tcPr>
                  <w:tcW w:w="497" w:type="pct"/>
                  <w:vAlign w:val="center"/>
                </w:tcPr>
                <w:p w14:paraId="2867263F">
                  <w:pPr>
                    <w:pStyle w:val="29"/>
                    <w:rPr>
                      <w:b/>
                      <w:bCs/>
                      <w:sz w:val="21"/>
                      <w:szCs w:val="21"/>
                    </w:rPr>
                  </w:pPr>
                  <w:r>
                    <w:rPr>
                      <w:b/>
                      <w:bCs/>
                      <w:sz w:val="21"/>
                      <w:szCs w:val="21"/>
                    </w:rPr>
                    <w:t>排放浓度mg/m</w:t>
                  </w:r>
                  <w:r>
                    <w:rPr>
                      <w:b/>
                      <w:bCs/>
                      <w:sz w:val="21"/>
                      <w:szCs w:val="21"/>
                      <w:vertAlign w:val="superscript"/>
                    </w:rPr>
                    <w:t>3</w:t>
                  </w:r>
                </w:p>
              </w:tc>
              <w:tc>
                <w:tcPr>
                  <w:tcW w:w="517" w:type="pct"/>
                  <w:vAlign w:val="center"/>
                </w:tcPr>
                <w:p w14:paraId="18330A58">
                  <w:pPr>
                    <w:pStyle w:val="29"/>
                    <w:rPr>
                      <w:b/>
                      <w:bCs/>
                      <w:sz w:val="21"/>
                      <w:szCs w:val="21"/>
                    </w:rPr>
                  </w:pPr>
                  <w:r>
                    <w:rPr>
                      <w:b/>
                      <w:bCs/>
                      <w:sz w:val="21"/>
                      <w:szCs w:val="21"/>
                    </w:rPr>
                    <w:t>排放速率kg/h</w:t>
                  </w:r>
                </w:p>
              </w:tc>
              <w:tc>
                <w:tcPr>
                  <w:tcW w:w="916" w:type="pct"/>
                  <w:vAlign w:val="center"/>
                </w:tcPr>
                <w:p w14:paraId="79208212">
                  <w:pPr>
                    <w:pStyle w:val="46"/>
                    <w:framePr w:hSpace="0" w:wrap="auto" w:vAnchor="margin" w:hAnchor="text" w:xAlign="left" w:yAlign="inline"/>
                    <w:rPr>
                      <w:rFonts w:cs="Times New Roman"/>
                      <w:b/>
                      <w:bCs/>
                      <w:sz w:val="21"/>
                      <w:szCs w:val="21"/>
                    </w:rPr>
                  </w:pPr>
                  <w:r>
                    <w:rPr>
                      <w:rFonts w:cs="Times New Roman"/>
                      <w:b/>
                      <w:bCs/>
                      <w:sz w:val="21"/>
                      <w:szCs w:val="21"/>
                    </w:rPr>
                    <w:t>排放量</w:t>
                  </w:r>
                </w:p>
                <w:p w14:paraId="6F2ADDE7">
                  <w:pPr>
                    <w:pStyle w:val="29"/>
                    <w:rPr>
                      <w:b/>
                      <w:bCs/>
                      <w:sz w:val="21"/>
                      <w:szCs w:val="21"/>
                    </w:rPr>
                  </w:pPr>
                  <w:r>
                    <w:rPr>
                      <w:b/>
                      <w:bCs/>
                      <w:sz w:val="21"/>
                      <w:szCs w:val="21"/>
                    </w:rPr>
                    <w:t>kg/a</w:t>
                  </w:r>
                </w:p>
              </w:tc>
              <w:tc>
                <w:tcPr>
                  <w:tcW w:w="912" w:type="pct"/>
                  <w:vMerge w:val="continue"/>
                  <w:vAlign w:val="center"/>
                </w:tcPr>
                <w:p w14:paraId="5A8FE060">
                  <w:pPr>
                    <w:pStyle w:val="29"/>
                    <w:rPr>
                      <w:sz w:val="21"/>
                      <w:szCs w:val="21"/>
                    </w:rPr>
                  </w:pPr>
                </w:p>
              </w:tc>
            </w:tr>
            <w:tr w14:paraId="75279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213" w:type="pct"/>
                  <w:vAlign w:val="center"/>
                </w:tcPr>
                <w:p w14:paraId="74D58CEC">
                  <w:pPr>
                    <w:pStyle w:val="29"/>
                    <w:rPr>
                      <w:sz w:val="21"/>
                      <w:szCs w:val="21"/>
                    </w:rPr>
                  </w:pPr>
                  <w:r>
                    <w:rPr>
                      <w:sz w:val="21"/>
                      <w:szCs w:val="21"/>
                    </w:rPr>
                    <w:t>1</w:t>
                  </w:r>
                </w:p>
              </w:tc>
              <w:tc>
                <w:tcPr>
                  <w:tcW w:w="283" w:type="pct"/>
                  <w:vAlign w:val="center"/>
                </w:tcPr>
                <w:p w14:paraId="3F8C2ED9">
                  <w:pPr>
                    <w:pStyle w:val="29"/>
                    <w:rPr>
                      <w:sz w:val="21"/>
                      <w:szCs w:val="21"/>
                    </w:rPr>
                  </w:pPr>
                  <w:r>
                    <w:rPr>
                      <w:sz w:val="21"/>
                      <w:szCs w:val="21"/>
                    </w:rPr>
                    <w:t>印刷工序</w:t>
                  </w:r>
                </w:p>
              </w:tc>
              <w:tc>
                <w:tcPr>
                  <w:tcW w:w="387" w:type="pct"/>
                  <w:vAlign w:val="center"/>
                </w:tcPr>
                <w:p w14:paraId="7FEE1112">
                  <w:pPr>
                    <w:pStyle w:val="29"/>
                    <w:rPr>
                      <w:sz w:val="21"/>
                      <w:szCs w:val="21"/>
                    </w:rPr>
                  </w:pPr>
                  <w:r>
                    <w:rPr>
                      <w:sz w:val="21"/>
                      <w:szCs w:val="21"/>
                    </w:rPr>
                    <w:t>非甲烷总烃</w:t>
                  </w:r>
                </w:p>
              </w:tc>
              <w:tc>
                <w:tcPr>
                  <w:tcW w:w="543" w:type="pct"/>
                  <w:vAlign w:val="center"/>
                </w:tcPr>
                <w:p w14:paraId="6B11E25D">
                  <w:pPr>
                    <w:pStyle w:val="29"/>
                    <w:rPr>
                      <w:sz w:val="21"/>
                      <w:szCs w:val="21"/>
                    </w:rPr>
                  </w:pPr>
                  <w:r>
                    <w:rPr>
                      <w:sz w:val="21"/>
                      <w:szCs w:val="21"/>
                    </w:rPr>
                    <w:t>污染物处理设备损坏</w:t>
                  </w:r>
                </w:p>
              </w:tc>
              <w:tc>
                <w:tcPr>
                  <w:tcW w:w="354" w:type="pct"/>
                  <w:shd w:val="clear" w:color="auto" w:fill="auto"/>
                  <w:vAlign w:val="center"/>
                </w:tcPr>
                <w:p w14:paraId="2825E952">
                  <w:pPr>
                    <w:pStyle w:val="29"/>
                    <w:rPr>
                      <w:sz w:val="21"/>
                      <w:szCs w:val="21"/>
                    </w:rPr>
                  </w:pPr>
                  <w:r>
                    <w:rPr>
                      <w:sz w:val="21"/>
                      <w:szCs w:val="21"/>
                    </w:rPr>
                    <w:t>1次/a</w:t>
                  </w:r>
                </w:p>
              </w:tc>
              <w:tc>
                <w:tcPr>
                  <w:tcW w:w="373" w:type="pct"/>
                  <w:shd w:val="clear" w:color="auto" w:fill="auto"/>
                  <w:vAlign w:val="center"/>
                </w:tcPr>
                <w:p w14:paraId="5174B90B">
                  <w:pPr>
                    <w:pStyle w:val="29"/>
                    <w:rPr>
                      <w:sz w:val="21"/>
                      <w:szCs w:val="21"/>
                    </w:rPr>
                  </w:pPr>
                  <w:r>
                    <w:rPr>
                      <w:sz w:val="21"/>
                      <w:szCs w:val="21"/>
                    </w:rPr>
                    <w:t>1h/次</w:t>
                  </w:r>
                </w:p>
              </w:tc>
              <w:tc>
                <w:tcPr>
                  <w:tcW w:w="497" w:type="pct"/>
                  <w:vAlign w:val="center"/>
                </w:tcPr>
                <w:p w14:paraId="05EBB510">
                  <w:pPr>
                    <w:pStyle w:val="29"/>
                    <w:rPr>
                      <w:sz w:val="21"/>
                      <w:szCs w:val="21"/>
                    </w:rPr>
                  </w:pPr>
                  <w:r>
                    <w:rPr>
                      <w:sz w:val="21"/>
                      <w:szCs w:val="21"/>
                    </w:rPr>
                    <w:t>4.03</w:t>
                  </w:r>
                </w:p>
              </w:tc>
              <w:tc>
                <w:tcPr>
                  <w:tcW w:w="517" w:type="pct"/>
                  <w:vAlign w:val="center"/>
                </w:tcPr>
                <w:p w14:paraId="3E8DE707">
                  <w:pPr>
                    <w:pStyle w:val="29"/>
                    <w:rPr>
                      <w:sz w:val="21"/>
                      <w:szCs w:val="21"/>
                    </w:rPr>
                  </w:pPr>
                  <w:r>
                    <w:rPr>
                      <w:sz w:val="21"/>
                      <w:szCs w:val="21"/>
                    </w:rPr>
                    <w:t>0.0104</w:t>
                  </w:r>
                </w:p>
              </w:tc>
              <w:tc>
                <w:tcPr>
                  <w:tcW w:w="916" w:type="pct"/>
                  <w:vAlign w:val="center"/>
                </w:tcPr>
                <w:p w14:paraId="64E4C491">
                  <w:pPr>
                    <w:pStyle w:val="29"/>
                    <w:rPr>
                      <w:sz w:val="21"/>
                      <w:szCs w:val="21"/>
                    </w:rPr>
                  </w:pPr>
                  <w:r>
                    <w:rPr>
                      <w:sz w:val="21"/>
                      <w:szCs w:val="21"/>
                    </w:rPr>
                    <w:t>0.0104</w:t>
                  </w:r>
                </w:p>
              </w:tc>
              <w:tc>
                <w:tcPr>
                  <w:tcW w:w="912" w:type="pct"/>
                  <w:vAlign w:val="center"/>
                </w:tcPr>
                <w:p w14:paraId="3755E464">
                  <w:pPr>
                    <w:pStyle w:val="29"/>
                    <w:rPr>
                      <w:sz w:val="21"/>
                      <w:szCs w:val="21"/>
                    </w:rPr>
                  </w:pPr>
                  <w:r>
                    <w:rPr>
                      <w:sz w:val="21"/>
                      <w:szCs w:val="21"/>
                    </w:rPr>
                    <w:t>立即停止生产，联系维修人员进行检修，修复后进行监测，监测达标后才能恢复生产。</w:t>
                  </w:r>
                </w:p>
              </w:tc>
            </w:tr>
          </w:tbl>
          <w:p w14:paraId="0A064FD8">
            <w:pPr>
              <w:ind w:firstLine="480" w:firstLineChars="200"/>
              <w:rPr>
                <w:rFonts w:hint="default" w:ascii="Times New Roman" w:hAnsi="Times New Roman" w:cs="Times New Roman"/>
                <w:bCs/>
              </w:rPr>
            </w:pPr>
            <w:r>
              <w:rPr>
                <w:rFonts w:hint="default" w:ascii="Times New Roman" w:hAnsi="Times New Roman" w:cs="Times New Roman"/>
                <w:bCs/>
              </w:rPr>
              <w:t>在非正常工况下污染物浓度将会明显升高，为防止出现非正常工况时，废气直排对环境造成的影响增大，建设单位必须加强废气处理设施的管理，定期检修，确保废气处理设施正常运行，在废气处理设备停止运行时，产生废气的各工序也必须相应停止生产；平时注意废气处理设施的维护保养，及时发现处理设备的隐患，确保废气处理系统正常运行，减小废气排放对周围环境的影响。</w:t>
            </w:r>
          </w:p>
          <w:p w14:paraId="2F31D1AF">
            <w:pPr>
              <w:pStyle w:val="45"/>
              <w:ind w:firstLine="480"/>
              <w:rPr>
                <w:rFonts w:hint="default" w:ascii="Times New Roman" w:hAnsi="Times New Roman" w:cs="Times New Roman"/>
              </w:rPr>
            </w:pPr>
            <w:r>
              <w:rPr>
                <w:rFonts w:hint="default" w:ascii="Times New Roman" w:hAnsi="Times New Roman" w:cs="Times New Roman"/>
              </w:rPr>
              <w:t>2、非正常工况防范措施</w:t>
            </w:r>
          </w:p>
          <w:p w14:paraId="2545F39A">
            <w:pPr>
              <w:pStyle w:val="45"/>
              <w:ind w:firstLine="480"/>
              <w:rPr>
                <w:rFonts w:hint="default" w:ascii="Times New Roman" w:hAnsi="Times New Roman" w:cs="Times New Roman"/>
              </w:rPr>
            </w:pPr>
            <w:r>
              <w:rPr>
                <w:rFonts w:hint="default" w:ascii="Times New Roman" w:hAnsi="Times New Roman" w:cs="Times New Roman"/>
              </w:rPr>
              <w:t>为确保项目废气处理装置正常运行，建设方在日常运行过程中，拟采取如下措施：</w:t>
            </w:r>
          </w:p>
          <w:p w14:paraId="079F2A4C">
            <w:pPr>
              <w:pStyle w:val="45"/>
              <w:ind w:firstLine="480"/>
              <w:rPr>
                <w:rFonts w:hint="default" w:ascii="Times New Roman" w:hAnsi="Times New Roman" w:cs="Times New Roman"/>
              </w:rPr>
            </w:pPr>
            <w:r>
              <w:rPr>
                <w:rFonts w:hint="default" w:ascii="Times New Roman" w:hAnsi="Times New Roman" w:cs="Times New Roman"/>
              </w:rPr>
              <w:t>（1）由公司委派专人负责每日巡检废气处理装置，做好巡检记录。</w:t>
            </w:r>
          </w:p>
          <w:p w14:paraId="002666CD">
            <w:pPr>
              <w:pStyle w:val="45"/>
              <w:ind w:firstLine="480"/>
              <w:rPr>
                <w:rFonts w:hint="default" w:ascii="Times New Roman" w:hAnsi="Times New Roman" w:cs="Times New Roman"/>
              </w:rPr>
            </w:pPr>
            <w:r>
              <w:rPr>
                <w:rFonts w:hint="default" w:ascii="Times New Roman" w:hAnsi="Times New Roman" w:cs="Times New Roman"/>
              </w:rPr>
              <w:t>（2）当发现废气处理设施故障并导致废气非正常排放时，应立即停止生产，待废气处理装置故障排除后并可正常运行时方可恢复生产。</w:t>
            </w:r>
          </w:p>
          <w:p w14:paraId="5C427AFF">
            <w:pPr>
              <w:pStyle w:val="45"/>
              <w:ind w:firstLine="480"/>
              <w:rPr>
                <w:rFonts w:hint="default" w:ascii="Times New Roman" w:hAnsi="Times New Roman" w:cs="Times New Roman"/>
              </w:rPr>
            </w:pPr>
            <w:r>
              <w:rPr>
                <w:rFonts w:hint="default" w:ascii="Times New Roman" w:hAnsi="Times New Roman" w:cs="Times New Roman"/>
              </w:rPr>
              <w:t>（3）按照环评要求定期对废气处理装置进行维护保养，以减少废气非正常排放。</w:t>
            </w:r>
          </w:p>
          <w:p w14:paraId="7D756F23">
            <w:pPr>
              <w:pStyle w:val="45"/>
              <w:ind w:firstLine="480"/>
              <w:rPr>
                <w:rFonts w:hint="default" w:ascii="Times New Roman" w:hAnsi="Times New Roman" w:cs="Times New Roman"/>
                <w:bCs/>
              </w:rPr>
            </w:pPr>
            <w:r>
              <w:rPr>
                <w:rFonts w:hint="default" w:ascii="Times New Roman" w:hAnsi="Times New Roman" w:cs="Times New Roman"/>
              </w:rPr>
              <w:t>（4）建立废气处理装置运行管理台账，由专人负责记录。</w:t>
            </w:r>
          </w:p>
          <w:p w14:paraId="1D358C86">
            <w:pPr>
              <w:pStyle w:val="40"/>
              <w:ind w:firstLine="0" w:firstLineChars="0"/>
              <w:rPr>
                <w:rFonts w:hint="default" w:ascii="Times New Roman" w:hAnsi="Times New Roman" w:cs="Times New Roman"/>
              </w:rPr>
            </w:pPr>
            <w:r>
              <w:rPr>
                <w:rFonts w:hint="default" w:ascii="Times New Roman" w:hAnsi="Times New Roman" w:cs="Times New Roman"/>
              </w:rPr>
              <w:t>4.2.</w:t>
            </w:r>
            <w:r>
              <w:rPr>
                <w:rFonts w:hint="default" w:ascii="Times New Roman" w:hAnsi="Times New Roman" w:cs="Times New Roman" w:eastAsiaTheme="minorEastAsia"/>
              </w:rPr>
              <w:t>4</w:t>
            </w:r>
            <w:r>
              <w:rPr>
                <w:rFonts w:hint="default" w:ascii="Times New Roman" w:hAnsi="Times New Roman" w:cs="Times New Roman"/>
              </w:rPr>
              <w:t xml:space="preserve"> 废气监测计划</w:t>
            </w:r>
          </w:p>
          <w:p w14:paraId="2A5CBF6E">
            <w:pPr>
              <w:pStyle w:val="45"/>
              <w:ind w:firstLine="480"/>
              <w:rPr>
                <w:rFonts w:hint="default" w:ascii="Times New Roman" w:hAnsi="Times New Roman" w:cs="Times New Roman"/>
              </w:rPr>
            </w:pPr>
            <w:r>
              <w:rPr>
                <w:rFonts w:hint="default" w:ascii="Times New Roman" w:hAnsi="Times New Roman" w:cs="Times New Roman"/>
              </w:rPr>
              <w:t>根据固定污染源排污许可分类管理名录(2019年版)内容，本项目排污申报为简化管理。对照《排污单位自行监测技术指南 总则》(HJ819-2017)、《排污单位自行监测技术指南印刷工业》（HJ 1246—2022）及《排污单位自行监测技术指南火力发电及锅炉》（HJ820-2017）中的的相关要求开展常规监测，本项目废气自行监测计划内容如下表。</w:t>
            </w:r>
          </w:p>
          <w:p w14:paraId="4328B521">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4-13项目运营期废气监测计划一览表</w:t>
            </w:r>
          </w:p>
          <w:tbl>
            <w:tblPr>
              <w:tblStyle w:val="21"/>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96"/>
              <w:gridCol w:w="1154"/>
              <w:gridCol w:w="1000"/>
              <w:gridCol w:w="4204"/>
            </w:tblGrid>
            <w:tr w14:paraId="3E88C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Align w:val="center"/>
                </w:tcPr>
                <w:p w14:paraId="0BB9887C">
                  <w:pPr>
                    <w:pStyle w:val="38"/>
                    <w:framePr w:hSpace="0" w:wrap="auto" w:vAnchor="margin" w:hAnchor="text" w:xAlign="left" w:yAlign="inline"/>
                    <w:rPr>
                      <w:rFonts w:cs="Times New Roman"/>
                      <w:b/>
                      <w:bCs/>
                      <w:sz w:val="21"/>
                      <w:szCs w:val="21"/>
                    </w:rPr>
                  </w:pPr>
                  <w:r>
                    <w:rPr>
                      <w:rFonts w:cs="Times New Roman"/>
                      <w:b/>
                      <w:bCs/>
                      <w:sz w:val="21"/>
                      <w:szCs w:val="21"/>
                    </w:rPr>
                    <w:t>监测点位</w:t>
                  </w:r>
                </w:p>
              </w:tc>
              <w:tc>
                <w:tcPr>
                  <w:tcW w:w="753" w:type="pct"/>
                  <w:vAlign w:val="center"/>
                </w:tcPr>
                <w:p w14:paraId="67B5BA30">
                  <w:pPr>
                    <w:pStyle w:val="38"/>
                    <w:framePr w:hSpace="0" w:wrap="auto" w:vAnchor="margin" w:hAnchor="text" w:xAlign="left" w:yAlign="inline"/>
                    <w:rPr>
                      <w:rFonts w:cs="Times New Roman"/>
                      <w:b/>
                      <w:bCs/>
                      <w:sz w:val="21"/>
                      <w:szCs w:val="21"/>
                    </w:rPr>
                  </w:pPr>
                  <w:r>
                    <w:rPr>
                      <w:rFonts w:cs="Times New Roman"/>
                      <w:b/>
                      <w:bCs/>
                      <w:sz w:val="21"/>
                      <w:szCs w:val="21"/>
                    </w:rPr>
                    <w:t>监测指标</w:t>
                  </w:r>
                </w:p>
              </w:tc>
              <w:tc>
                <w:tcPr>
                  <w:tcW w:w="653" w:type="pct"/>
                  <w:vAlign w:val="center"/>
                </w:tcPr>
                <w:p w14:paraId="41B4A5AB">
                  <w:pPr>
                    <w:pStyle w:val="38"/>
                    <w:framePr w:hSpace="0" w:wrap="auto" w:vAnchor="margin" w:hAnchor="text" w:xAlign="left" w:yAlign="inline"/>
                    <w:rPr>
                      <w:rFonts w:cs="Times New Roman"/>
                      <w:b/>
                      <w:bCs/>
                      <w:sz w:val="21"/>
                      <w:szCs w:val="21"/>
                    </w:rPr>
                  </w:pPr>
                  <w:r>
                    <w:rPr>
                      <w:rFonts w:cs="Times New Roman"/>
                      <w:b/>
                      <w:bCs/>
                      <w:sz w:val="21"/>
                      <w:szCs w:val="21"/>
                    </w:rPr>
                    <w:t>监测频次</w:t>
                  </w:r>
                </w:p>
              </w:tc>
              <w:tc>
                <w:tcPr>
                  <w:tcW w:w="2746" w:type="pct"/>
                  <w:vAlign w:val="center"/>
                </w:tcPr>
                <w:p w14:paraId="4A446FFB">
                  <w:pPr>
                    <w:pStyle w:val="38"/>
                    <w:framePr w:hSpace="0" w:wrap="auto" w:vAnchor="margin" w:hAnchor="text" w:xAlign="left" w:yAlign="inline"/>
                    <w:rPr>
                      <w:rFonts w:cs="Times New Roman"/>
                      <w:b/>
                      <w:bCs/>
                      <w:sz w:val="21"/>
                      <w:szCs w:val="21"/>
                    </w:rPr>
                  </w:pPr>
                  <w:r>
                    <w:rPr>
                      <w:rFonts w:cs="Times New Roman"/>
                      <w:b/>
                      <w:bCs/>
                      <w:sz w:val="21"/>
                      <w:szCs w:val="21"/>
                    </w:rPr>
                    <w:t>执行标准</w:t>
                  </w:r>
                </w:p>
              </w:tc>
            </w:tr>
            <w:tr w14:paraId="53A5A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Align w:val="center"/>
                </w:tcPr>
                <w:p w14:paraId="207BDCB3">
                  <w:pPr>
                    <w:pStyle w:val="38"/>
                    <w:framePr w:hSpace="0" w:wrap="auto" w:vAnchor="margin" w:hAnchor="text" w:xAlign="left" w:yAlign="inline"/>
                    <w:rPr>
                      <w:rFonts w:cs="Times New Roman"/>
                      <w:sz w:val="21"/>
                      <w:szCs w:val="21"/>
                      <w:lang w:val="en-US"/>
                    </w:rPr>
                  </w:pPr>
                  <w:r>
                    <w:rPr>
                      <w:rFonts w:cs="Times New Roman"/>
                      <w:sz w:val="21"/>
                      <w:szCs w:val="21"/>
                      <w:lang w:val="en-US"/>
                    </w:rPr>
                    <w:t>DA001</w:t>
                  </w:r>
                </w:p>
              </w:tc>
              <w:tc>
                <w:tcPr>
                  <w:tcW w:w="753" w:type="pct"/>
                  <w:vAlign w:val="center"/>
                </w:tcPr>
                <w:p w14:paraId="4ACE7FFD">
                  <w:pPr>
                    <w:pStyle w:val="38"/>
                    <w:framePr w:hSpace="0" w:wrap="auto" w:vAnchor="margin" w:hAnchor="text" w:xAlign="left" w:yAlign="inline"/>
                    <w:rPr>
                      <w:rFonts w:cs="Times New Roman"/>
                      <w:sz w:val="21"/>
                      <w:szCs w:val="21"/>
                    </w:rPr>
                  </w:pPr>
                  <w:r>
                    <w:rPr>
                      <w:rFonts w:cs="Times New Roman"/>
                      <w:sz w:val="21"/>
                      <w:szCs w:val="21"/>
                    </w:rPr>
                    <w:t>非甲烷总烃</w:t>
                  </w:r>
                </w:p>
              </w:tc>
              <w:tc>
                <w:tcPr>
                  <w:tcW w:w="653" w:type="pct"/>
                  <w:vAlign w:val="center"/>
                </w:tcPr>
                <w:p w14:paraId="6F10F941">
                  <w:pPr>
                    <w:pStyle w:val="38"/>
                    <w:framePr w:hSpace="0" w:wrap="auto" w:vAnchor="margin" w:hAnchor="text" w:xAlign="left" w:yAlign="inline"/>
                    <w:rPr>
                      <w:rFonts w:cs="Times New Roman"/>
                      <w:sz w:val="21"/>
                      <w:szCs w:val="21"/>
                    </w:rPr>
                  </w:pPr>
                  <w:r>
                    <w:rPr>
                      <w:rFonts w:cs="Times New Roman"/>
                      <w:sz w:val="21"/>
                      <w:szCs w:val="21"/>
                    </w:rPr>
                    <w:t>1次/年</w:t>
                  </w:r>
                </w:p>
              </w:tc>
              <w:tc>
                <w:tcPr>
                  <w:tcW w:w="2746" w:type="pct"/>
                  <w:vAlign w:val="center"/>
                </w:tcPr>
                <w:p w14:paraId="7937257A">
                  <w:pPr>
                    <w:pStyle w:val="38"/>
                    <w:framePr w:hSpace="0" w:wrap="auto" w:vAnchor="margin" w:hAnchor="text" w:xAlign="left" w:yAlign="inline"/>
                    <w:rPr>
                      <w:rFonts w:cs="Times New Roman"/>
                      <w:sz w:val="21"/>
                      <w:szCs w:val="21"/>
                    </w:rPr>
                  </w:pPr>
                  <w:r>
                    <w:rPr>
                      <w:rFonts w:cs="Times New Roman"/>
                      <w:sz w:val="21"/>
                      <w:szCs w:val="21"/>
                      <w:lang w:val="en-US"/>
                    </w:rPr>
                    <w:t>《固定源挥发性有机物综合排放标准  第4部分：印刷工业》（DB34/4812.4-2024）表1</w:t>
                  </w:r>
                </w:p>
              </w:tc>
            </w:tr>
            <w:tr w14:paraId="08AF4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Merge w:val="restart"/>
                  <w:vAlign w:val="center"/>
                </w:tcPr>
                <w:p w14:paraId="14ABFF62">
                  <w:pPr>
                    <w:pStyle w:val="38"/>
                    <w:framePr w:hSpace="0" w:wrap="auto" w:vAnchor="margin" w:hAnchor="text" w:xAlign="left" w:yAlign="inline"/>
                    <w:rPr>
                      <w:rFonts w:cs="Times New Roman"/>
                      <w:sz w:val="21"/>
                      <w:szCs w:val="21"/>
                      <w:lang w:val="en-US"/>
                    </w:rPr>
                  </w:pPr>
                  <w:r>
                    <w:rPr>
                      <w:rFonts w:cs="Times New Roman"/>
                      <w:sz w:val="21"/>
                      <w:szCs w:val="21"/>
                    </w:rPr>
                    <w:t>DA002</w:t>
                  </w:r>
                </w:p>
              </w:tc>
              <w:tc>
                <w:tcPr>
                  <w:tcW w:w="753" w:type="pct"/>
                  <w:vAlign w:val="center"/>
                </w:tcPr>
                <w:p w14:paraId="2571075A">
                  <w:pPr>
                    <w:pStyle w:val="38"/>
                    <w:framePr w:hSpace="0" w:wrap="auto" w:vAnchor="margin" w:hAnchor="text" w:xAlign="left" w:yAlign="inline"/>
                    <w:rPr>
                      <w:rFonts w:cs="Times New Roman"/>
                      <w:sz w:val="21"/>
                      <w:szCs w:val="21"/>
                    </w:rPr>
                  </w:pPr>
                  <w:r>
                    <w:rPr>
                      <w:rFonts w:cs="Times New Roman"/>
                      <w:sz w:val="21"/>
                      <w:szCs w:val="21"/>
                    </w:rPr>
                    <w:t>颗粒物、SO</w:t>
                  </w:r>
                  <w:r>
                    <w:rPr>
                      <w:rFonts w:cs="Times New Roman"/>
                      <w:sz w:val="21"/>
                      <w:szCs w:val="21"/>
                      <w:vertAlign w:val="subscript"/>
                    </w:rPr>
                    <w:t>2</w:t>
                  </w:r>
                  <w:r>
                    <w:rPr>
                      <w:rFonts w:cs="Times New Roman"/>
                      <w:sz w:val="21"/>
                      <w:szCs w:val="21"/>
                    </w:rPr>
                    <w:t>、烟气黑度</w:t>
                  </w:r>
                </w:p>
              </w:tc>
              <w:tc>
                <w:tcPr>
                  <w:tcW w:w="653" w:type="pct"/>
                  <w:vAlign w:val="center"/>
                </w:tcPr>
                <w:p w14:paraId="7C33DCBC">
                  <w:pPr>
                    <w:pStyle w:val="38"/>
                    <w:framePr w:hSpace="0" w:wrap="auto" w:vAnchor="margin" w:hAnchor="text" w:xAlign="left" w:yAlign="inline"/>
                    <w:rPr>
                      <w:rFonts w:cs="Times New Roman"/>
                      <w:sz w:val="21"/>
                      <w:szCs w:val="21"/>
                    </w:rPr>
                  </w:pPr>
                  <w:r>
                    <w:rPr>
                      <w:rFonts w:cs="Times New Roman"/>
                      <w:sz w:val="21"/>
                      <w:szCs w:val="21"/>
                    </w:rPr>
                    <w:t>1次/年</w:t>
                  </w:r>
                </w:p>
              </w:tc>
              <w:tc>
                <w:tcPr>
                  <w:tcW w:w="2746" w:type="pct"/>
                  <w:vAlign w:val="center"/>
                </w:tcPr>
                <w:p w14:paraId="6CA81EB7">
                  <w:pPr>
                    <w:pStyle w:val="38"/>
                    <w:framePr w:hSpace="0" w:wrap="auto" w:vAnchor="margin" w:hAnchor="text" w:xAlign="left" w:yAlign="inline"/>
                    <w:rPr>
                      <w:rFonts w:cs="Times New Roman"/>
                      <w:sz w:val="21"/>
                      <w:szCs w:val="21"/>
                      <w:lang w:val="en-US"/>
                    </w:rPr>
                  </w:pPr>
                  <w:r>
                    <w:rPr>
                      <w:rFonts w:cs="Times New Roman"/>
                      <w:sz w:val="21"/>
                      <w:szCs w:val="21"/>
                    </w:rPr>
                    <w:t>《锅炉大气污染物排放标准》（GB13271-2014）</w:t>
                  </w:r>
                </w:p>
              </w:tc>
            </w:tr>
            <w:tr w14:paraId="15CD1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Merge w:val="continue"/>
                  <w:vAlign w:val="center"/>
                </w:tcPr>
                <w:p w14:paraId="48405E1D">
                  <w:pPr>
                    <w:pStyle w:val="38"/>
                    <w:framePr w:hSpace="0" w:wrap="auto" w:vAnchor="margin" w:hAnchor="text" w:xAlign="left" w:yAlign="inline"/>
                    <w:rPr>
                      <w:rFonts w:cs="Times New Roman"/>
                      <w:sz w:val="21"/>
                      <w:szCs w:val="21"/>
                    </w:rPr>
                  </w:pPr>
                </w:p>
              </w:tc>
              <w:tc>
                <w:tcPr>
                  <w:tcW w:w="753" w:type="pct"/>
                  <w:vAlign w:val="center"/>
                </w:tcPr>
                <w:p w14:paraId="68676A94">
                  <w:pPr>
                    <w:pStyle w:val="38"/>
                    <w:framePr w:hSpace="0" w:wrap="auto" w:vAnchor="margin" w:hAnchor="text" w:xAlign="left" w:yAlign="inline"/>
                    <w:rPr>
                      <w:rFonts w:cs="Times New Roman"/>
                      <w:sz w:val="21"/>
                      <w:szCs w:val="21"/>
                    </w:rPr>
                  </w:pPr>
                  <w:r>
                    <w:rPr>
                      <w:rFonts w:cs="Times New Roman"/>
                      <w:sz w:val="21"/>
                      <w:szCs w:val="21"/>
                      <w:lang w:val="en-US"/>
                    </w:rPr>
                    <w:t>NO</w:t>
                  </w:r>
                  <w:r>
                    <w:rPr>
                      <w:rFonts w:cs="Times New Roman"/>
                      <w:sz w:val="21"/>
                      <w:szCs w:val="21"/>
                      <w:vertAlign w:val="subscript"/>
                      <w:lang w:val="en-US"/>
                    </w:rPr>
                    <w:t>X</w:t>
                  </w:r>
                </w:p>
              </w:tc>
              <w:tc>
                <w:tcPr>
                  <w:tcW w:w="653" w:type="pct"/>
                  <w:vAlign w:val="center"/>
                </w:tcPr>
                <w:p w14:paraId="6270AD1E">
                  <w:pPr>
                    <w:pStyle w:val="38"/>
                    <w:framePr w:hSpace="0" w:wrap="auto" w:vAnchor="margin" w:hAnchor="text" w:xAlign="left" w:yAlign="inline"/>
                    <w:rPr>
                      <w:rFonts w:cs="Times New Roman"/>
                      <w:sz w:val="21"/>
                      <w:szCs w:val="21"/>
                      <w:lang w:val="en-US"/>
                    </w:rPr>
                  </w:pPr>
                  <w:r>
                    <w:rPr>
                      <w:rFonts w:cs="Times New Roman"/>
                      <w:sz w:val="21"/>
                      <w:szCs w:val="21"/>
                      <w:lang w:val="en-US"/>
                    </w:rPr>
                    <w:t>1次/月</w:t>
                  </w:r>
                </w:p>
              </w:tc>
              <w:tc>
                <w:tcPr>
                  <w:tcW w:w="2746" w:type="pct"/>
                  <w:vAlign w:val="center"/>
                </w:tcPr>
                <w:p w14:paraId="277A19D7">
                  <w:pPr>
                    <w:pStyle w:val="38"/>
                    <w:framePr w:hSpace="0" w:wrap="auto" w:vAnchor="margin" w:hAnchor="text" w:xAlign="left" w:yAlign="inline"/>
                    <w:rPr>
                      <w:rFonts w:hint="default" w:cs="Times New Roman" w:eastAsiaTheme="minorEastAsia"/>
                      <w:sz w:val="21"/>
                      <w:szCs w:val="21"/>
                    </w:rPr>
                  </w:pPr>
                  <w:r>
                    <w:rPr>
                      <w:rFonts w:hint="default" w:cs="Times New Roman" w:eastAsiaTheme="minorEastAsia"/>
                      <w:sz w:val="21"/>
                      <w:szCs w:val="21"/>
                    </w:rPr>
                    <w:t>安徽省大气办关于印发《安徽省2020年</w:t>
                  </w:r>
                </w:p>
                <w:p w14:paraId="17AE53AF">
                  <w:pPr>
                    <w:pStyle w:val="38"/>
                    <w:framePr w:hSpace="0" w:wrap="auto" w:vAnchor="margin" w:hAnchor="text" w:xAlign="left" w:yAlign="inline"/>
                    <w:rPr>
                      <w:rFonts w:cs="Times New Roman"/>
                      <w:sz w:val="21"/>
                      <w:szCs w:val="21"/>
                    </w:rPr>
                  </w:pPr>
                  <w:r>
                    <w:rPr>
                      <w:rFonts w:hint="default" w:cs="Times New Roman" w:eastAsiaTheme="minorEastAsia"/>
                      <w:sz w:val="21"/>
                      <w:szCs w:val="21"/>
                    </w:rPr>
                    <w:t>大气污染防治重点工作任务》的通知</w:t>
                  </w:r>
                </w:p>
              </w:tc>
            </w:tr>
            <w:tr w14:paraId="316EE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Align w:val="center"/>
                </w:tcPr>
                <w:p w14:paraId="77EE83BC">
                  <w:pPr>
                    <w:pStyle w:val="38"/>
                    <w:framePr w:hSpace="0" w:wrap="auto" w:vAnchor="margin" w:hAnchor="text" w:xAlign="left" w:yAlign="inline"/>
                    <w:rPr>
                      <w:rFonts w:cs="Times New Roman"/>
                      <w:sz w:val="21"/>
                      <w:szCs w:val="21"/>
                      <w:lang w:val="en-US"/>
                    </w:rPr>
                  </w:pPr>
                  <w:r>
                    <w:rPr>
                      <w:rFonts w:cs="Times New Roman"/>
                      <w:sz w:val="21"/>
                      <w:szCs w:val="21"/>
                      <w:lang w:val="en-US"/>
                    </w:rPr>
                    <w:t>厂区</w:t>
                  </w:r>
                </w:p>
              </w:tc>
              <w:tc>
                <w:tcPr>
                  <w:tcW w:w="753" w:type="pct"/>
                  <w:vAlign w:val="center"/>
                </w:tcPr>
                <w:p w14:paraId="1440C826">
                  <w:pPr>
                    <w:pStyle w:val="38"/>
                    <w:framePr w:hSpace="0" w:wrap="auto" w:vAnchor="margin" w:hAnchor="text" w:xAlign="left" w:yAlign="inline"/>
                    <w:rPr>
                      <w:rFonts w:cs="Times New Roman"/>
                      <w:sz w:val="21"/>
                      <w:szCs w:val="21"/>
                      <w:lang w:val="en-US"/>
                    </w:rPr>
                  </w:pPr>
                  <w:r>
                    <w:rPr>
                      <w:rFonts w:cs="Times New Roman"/>
                      <w:sz w:val="21"/>
                      <w:szCs w:val="21"/>
                      <w:lang w:val="en-US"/>
                    </w:rPr>
                    <w:t>非甲烷总烃</w:t>
                  </w:r>
                </w:p>
              </w:tc>
              <w:tc>
                <w:tcPr>
                  <w:tcW w:w="653" w:type="pct"/>
                  <w:vAlign w:val="center"/>
                </w:tcPr>
                <w:p w14:paraId="144B0F3B">
                  <w:pPr>
                    <w:pStyle w:val="38"/>
                    <w:framePr w:hSpace="0" w:wrap="auto" w:vAnchor="margin" w:hAnchor="text" w:xAlign="left" w:yAlign="inline"/>
                    <w:rPr>
                      <w:rFonts w:cs="Times New Roman"/>
                      <w:sz w:val="21"/>
                      <w:szCs w:val="21"/>
                      <w:lang w:val="en-US"/>
                    </w:rPr>
                  </w:pPr>
                  <w:r>
                    <w:rPr>
                      <w:rFonts w:cs="Times New Roman"/>
                      <w:sz w:val="21"/>
                      <w:szCs w:val="21"/>
                      <w:lang w:val="en-US"/>
                    </w:rPr>
                    <w:t>1次/年</w:t>
                  </w:r>
                </w:p>
              </w:tc>
              <w:tc>
                <w:tcPr>
                  <w:tcW w:w="2746" w:type="pct"/>
                  <w:vAlign w:val="center"/>
                </w:tcPr>
                <w:p w14:paraId="1E941178">
                  <w:pPr>
                    <w:pStyle w:val="38"/>
                    <w:framePr w:hSpace="0" w:wrap="auto" w:vAnchor="margin" w:hAnchor="text" w:xAlign="left" w:yAlign="inline"/>
                    <w:rPr>
                      <w:rFonts w:cs="Times New Roman"/>
                      <w:sz w:val="21"/>
                      <w:szCs w:val="21"/>
                      <w:lang w:val="en-US"/>
                    </w:rPr>
                  </w:pPr>
                  <w:r>
                    <w:rPr>
                      <w:rFonts w:cs="Times New Roman"/>
                      <w:sz w:val="21"/>
                      <w:szCs w:val="21"/>
                      <w:lang w:val="en-US"/>
                    </w:rPr>
                    <w:t>《固定源挥发性有机物综合排放标准  第4部分：印刷工业》（DB34/4812.4-2024）表3</w:t>
                  </w:r>
                </w:p>
              </w:tc>
            </w:tr>
            <w:tr w14:paraId="78C90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6" w:hRule="atLeast"/>
              </w:trPr>
              <w:tc>
                <w:tcPr>
                  <w:tcW w:w="846" w:type="pct"/>
                  <w:vMerge w:val="restart"/>
                  <w:vAlign w:val="center"/>
                </w:tcPr>
                <w:p w14:paraId="061CE348">
                  <w:pPr>
                    <w:pStyle w:val="38"/>
                    <w:framePr w:hSpace="0" w:wrap="auto" w:vAnchor="margin" w:hAnchor="text" w:xAlign="left" w:yAlign="inline"/>
                    <w:rPr>
                      <w:rFonts w:cs="Times New Roman"/>
                      <w:sz w:val="21"/>
                      <w:szCs w:val="21"/>
                      <w:lang w:val="en-US"/>
                    </w:rPr>
                  </w:pPr>
                  <w:r>
                    <w:rPr>
                      <w:rFonts w:cs="Times New Roman"/>
                      <w:sz w:val="21"/>
                      <w:szCs w:val="21"/>
                      <w:lang w:val="en-US"/>
                    </w:rPr>
                    <w:t>厂界</w:t>
                  </w:r>
                </w:p>
              </w:tc>
              <w:tc>
                <w:tcPr>
                  <w:tcW w:w="753" w:type="pct"/>
                  <w:vAlign w:val="center"/>
                </w:tcPr>
                <w:p w14:paraId="1D47FE13">
                  <w:pPr>
                    <w:pStyle w:val="38"/>
                    <w:framePr w:hSpace="0" w:wrap="auto" w:vAnchor="margin" w:hAnchor="text" w:xAlign="left" w:yAlign="inline"/>
                    <w:rPr>
                      <w:rFonts w:cs="Times New Roman"/>
                      <w:sz w:val="21"/>
                      <w:szCs w:val="21"/>
                      <w:lang w:val="en-US"/>
                    </w:rPr>
                  </w:pPr>
                  <w:r>
                    <w:rPr>
                      <w:rFonts w:cs="Times New Roman"/>
                      <w:sz w:val="21"/>
                      <w:szCs w:val="21"/>
                      <w:lang w:val="en-US"/>
                    </w:rPr>
                    <w:t>颗粒物</w:t>
                  </w:r>
                </w:p>
              </w:tc>
              <w:tc>
                <w:tcPr>
                  <w:tcW w:w="653" w:type="pct"/>
                  <w:vAlign w:val="center"/>
                </w:tcPr>
                <w:p w14:paraId="6DEAEC3A">
                  <w:pPr>
                    <w:pStyle w:val="38"/>
                    <w:framePr w:hSpace="0" w:wrap="auto" w:vAnchor="margin" w:hAnchor="text" w:xAlign="left" w:yAlign="inline"/>
                    <w:rPr>
                      <w:rFonts w:cs="Times New Roman"/>
                      <w:sz w:val="21"/>
                      <w:szCs w:val="21"/>
                      <w:lang w:val="en-US"/>
                    </w:rPr>
                  </w:pPr>
                  <w:r>
                    <w:rPr>
                      <w:rFonts w:cs="Times New Roman"/>
                      <w:sz w:val="21"/>
                      <w:szCs w:val="21"/>
                      <w:lang w:val="en-US"/>
                    </w:rPr>
                    <w:t>1次/年</w:t>
                  </w:r>
                </w:p>
              </w:tc>
              <w:tc>
                <w:tcPr>
                  <w:tcW w:w="2746" w:type="pct"/>
                  <w:vMerge w:val="restart"/>
                  <w:vAlign w:val="center"/>
                </w:tcPr>
                <w:p w14:paraId="6875584A">
                  <w:pPr>
                    <w:pStyle w:val="38"/>
                    <w:framePr w:hSpace="0" w:wrap="auto" w:vAnchor="margin" w:hAnchor="text" w:xAlign="left" w:yAlign="inline"/>
                    <w:rPr>
                      <w:rFonts w:cs="Times New Roman"/>
                      <w:sz w:val="21"/>
                      <w:szCs w:val="21"/>
                      <w:lang w:val="en-US"/>
                    </w:rPr>
                  </w:pPr>
                  <w:r>
                    <w:rPr>
                      <w:rFonts w:cs="Times New Roman"/>
                      <w:sz w:val="21"/>
                      <w:szCs w:val="21"/>
                      <w:lang w:val="en-US"/>
                    </w:rPr>
                    <w:t>《大气污染物综合排放标准》（GB16297-1996）无组织排放监控浓度限值</w:t>
                  </w:r>
                </w:p>
              </w:tc>
            </w:tr>
            <w:tr w14:paraId="05BE4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46" w:type="pct"/>
                  <w:vMerge w:val="continue"/>
                  <w:vAlign w:val="center"/>
                </w:tcPr>
                <w:p w14:paraId="53ED1552">
                  <w:pPr>
                    <w:pStyle w:val="38"/>
                    <w:framePr w:hSpace="0" w:wrap="auto" w:vAnchor="margin" w:hAnchor="text" w:xAlign="left" w:yAlign="inline"/>
                    <w:rPr>
                      <w:rFonts w:cs="Times New Roman"/>
                      <w:sz w:val="21"/>
                      <w:szCs w:val="21"/>
                    </w:rPr>
                  </w:pPr>
                </w:p>
              </w:tc>
              <w:tc>
                <w:tcPr>
                  <w:tcW w:w="753" w:type="pct"/>
                  <w:vAlign w:val="center"/>
                </w:tcPr>
                <w:p w14:paraId="4957BF3C">
                  <w:pPr>
                    <w:pStyle w:val="38"/>
                    <w:framePr w:hSpace="0" w:wrap="auto" w:vAnchor="margin" w:hAnchor="text" w:xAlign="left" w:yAlign="inline"/>
                    <w:rPr>
                      <w:rFonts w:cs="Times New Roman"/>
                      <w:sz w:val="21"/>
                      <w:szCs w:val="21"/>
                    </w:rPr>
                  </w:pPr>
                  <w:r>
                    <w:rPr>
                      <w:rFonts w:cs="Times New Roman"/>
                      <w:sz w:val="21"/>
                      <w:szCs w:val="21"/>
                    </w:rPr>
                    <w:t>非甲烷总烃</w:t>
                  </w:r>
                </w:p>
              </w:tc>
              <w:tc>
                <w:tcPr>
                  <w:tcW w:w="653" w:type="pct"/>
                  <w:vAlign w:val="center"/>
                </w:tcPr>
                <w:p w14:paraId="46502F79">
                  <w:pPr>
                    <w:pStyle w:val="38"/>
                    <w:framePr w:hSpace="0" w:wrap="auto" w:vAnchor="margin" w:hAnchor="text" w:xAlign="left" w:yAlign="inline"/>
                    <w:rPr>
                      <w:rFonts w:cs="Times New Roman"/>
                      <w:sz w:val="21"/>
                      <w:szCs w:val="21"/>
                    </w:rPr>
                  </w:pPr>
                  <w:r>
                    <w:rPr>
                      <w:rFonts w:cs="Times New Roman"/>
                      <w:sz w:val="21"/>
                      <w:szCs w:val="21"/>
                    </w:rPr>
                    <w:t>1次/年</w:t>
                  </w:r>
                </w:p>
              </w:tc>
              <w:tc>
                <w:tcPr>
                  <w:tcW w:w="2746" w:type="pct"/>
                  <w:vMerge w:val="continue"/>
                  <w:vAlign w:val="center"/>
                </w:tcPr>
                <w:p w14:paraId="0D3A0429">
                  <w:pPr>
                    <w:pStyle w:val="38"/>
                    <w:framePr w:hSpace="0" w:wrap="auto" w:vAnchor="margin" w:hAnchor="text" w:xAlign="left" w:yAlign="inline"/>
                    <w:rPr>
                      <w:rFonts w:cs="Times New Roman"/>
                      <w:sz w:val="21"/>
                      <w:szCs w:val="21"/>
                    </w:rPr>
                  </w:pPr>
                </w:p>
              </w:tc>
            </w:tr>
          </w:tbl>
          <w:p w14:paraId="707C0A92">
            <w:pPr>
              <w:pStyle w:val="53"/>
              <w:ind w:firstLine="0" w:firstLineChars="0"/>
              <w:rPr>
                <w:rFonts w:hint="default" w:ascii="Times New Roman" w:hAnsi="Times New Roman" w:cs="Times New Roman"/>
              </w:rPr>
            </w:pPr>
            <w:r>
              <w:rPr>
                <w:rFonts w:hint="default" w:ascii="Times New Roman" w:hAnsi="Times New Roman" w:cs="Times New Roman"/>
              </w:rPr>
              <w:t>4.2.5 大气环境影响分析结论</w:t>
            </w:r>
          </w:p>
          <w:p w14:paraId="61AE68CA">
            <w:pPr>
              <w:ind w:firstLine="480" w:firstLineChars="200"/>
              <w:rPr>
                <w:rFonts w:hint="default" w:ascii="Times New Roman" w:hAnsi="Times New Roman" w:cs="Times New Roman"/>
              </w:rPr>
            </w:pPr>
            <w:r>
              <w:rPr>
                <w:rFonts w:hint="default" w:ascii="Times New Roman" w:hAnsi="Times New Roman" w:cs="Times New Roman"/>
              </w:rPr>
              <w:t>根据大气环境现状分析，项目所在区域各基本污染物（除</w:t>
            </w:r>
            <w:r>
              <w:rPr>
                <w:rFonts w:hint="default" w:ascii="Times New Roman" w:hAnsi="Times New Roman" w:cs="Times New Roman"/>
                <w:lang w:val="en"/>
              </w:rPr>
              <w:t>PM</w:t>
            </w:r>
            <w:r>
              <w:rPr>
                <w:rFonts w:hint="default" w:ascii="Times New Roman" w:hAnsi="Times New Roman" w:cs="Times New Roman"/>
                <w:vertAlign w:val="subscript"/>
                <w:lang w:val="en"/>
              </w:rPr>
              <w:t>2.5</w:t>
            </w:r>
            <w:r>
              <w:rPr>
                <w:rFonts w:hint="default" w:ascii="Times New Roman" w:hAnsi="Times New Roman" w:cs="Times New Roman"/>
              </w:rPr>
              <w:t>）质量浓度均满足《环境空气质量标准》（GB3095-2012）中的二级标准要求，项目地所在区域为环境空气质量不达标区。大气污染物颗粒物、非甲烷总烃、SO</w:t>
            </w:r>
            <w:r>
              <w:rPr>
                <w:rFonts w:hint="default" w:ascii="Times New Roman" w:hAnsi="Times New Roman" w:cs="Times New Roman"/>
                <w:vertAlign w:val="subscript"/>
              </w:rPr>
              <w:t>2</w:t>
            </w:r>
            <w:r>
              <w:rPr>
                <w:rFonts w:hint="default" w:ascii="Times New Roman" w:hAnsi="Times New Roman" w:cs="Times New Roman"/>
              </w:rPr>
              <w:t>、NOx在落实倍量替代的前提下，维持环境质量现状；</w:t>
            </w:r>
          </w:p>
          <w:p w14:paraId="7AF700FE">
            <w:pPr>
              <w:ind w:firstLine="480" w:firstLineChars="200"/>
              <w:rPr>
                <w:rFonts w:hint="default" w:ascii="Times New Roman" w:hAnsi="Times New Roman" w:cs="Times New Roman"/>
              </w:rPr>
            </w:pPr>
            <w:r>
              <w:rPr>
                <w:rFonts w:hint="default" w:ascii="Times New Roman" w:hAnsi="Times New Roman" w:cs="Times New Roman"/>
              </w:rPr>
              <w:t>根据现场调查，项目周边以待开发空地和工业企业为主，本项目的建设对其大气环境质量影响较小，周边环境相容性关系较好，有组织废气通过废气处理措施收集处理，无组织废气通过加强管理、厂区绿化等减轻对周边环境的影响。本项目废气均达标排放且污染物排放量较小，对区域大气环境质量影响较小，对环境保护目标影响较小。</w:t>
            </w:r>
          </w:p>
          <w:p w14:paraId="70EE1AE3">
            <w:pPr>
              <w:spacing w:before="0" w:beforeLines="0"/>
              <w:rPr>
                <w:rFonts w:hint="default" w:ascii="Times New Roman" w:hAnsi="Times New Roman" w:cs="Times New Roman"/>
                <w:b/>
                <w:bCs/>
              </w:rPr>
            </w:pPr>
            <w:r>
              <w:rPr>
                <w:rFonts w:hint="default" w:ascii="Times New Roman" w:hAnsi="Times New Roman" w:cs="Times New Roman"/>
                <w:b/>
                <w:bCs/>
              </w:rPr>
              <w:t>4.3废水</w:t>
            </w:r>
          </w:p>
          <w:p w14:paraId="798A782A">
            <w:pPr>
              <w:ind w:firstLine="0" w:firstLineChars="0"/>
              <w:rPr>
                <w:rFonts w:hint="default" w:ascii="Times New Roman" w:hAnsi="Times New Roman" w:cs="Times New Roman"/>
                <w:b/>
                <w:bCs/>
              </w:rPr>
            </w:pPr>
            <w:r>
              <w:rPr>
                <w:rFonts w:hint="default" w:ascii="Times New Roman" w:hAnsi="Times New Roman" w:cs="Times New Roman"/>
                <w:b/>
                <w:bCs/>
              </w:rPr>
              <w:t>4.3.1废水污染源强</w:t>
            </w:r>
          </w:p>
          <w:p w14:paraId="5030CD48">
            <w:pPr>
              <w:ind w:firstLine="480" w:firstLineChars="200"/>
              <w:rPr>
                <w:rFonts w:hint="default" w:ascii="Times New Roman" w:hAnsi="Times New Roman" w:cs="Times New Roman"/>
              </w:rPr>
            </w:pPr>
            <w:r>
              <w:rPr>
                <w:rFonts w:hint="default" w:ascii="Times New Roman" w:hAnsi="Times New Roman" w:cs="Times New Roman"/>
              </w:rPr>
              <w:t>本项目用水主要为生活用水、制胶设备清洗用水、制胶用水、印刷设备清洗水和锅炉用水等，本项目废水排放情况如下。</w:t>
            </w:r>
          </w:p>
          <w:p w14:paraId="7B401DE4">
            <w:pPr>
              <w:ind w:firstLine="480" w:firstLineChars="200"/>
              <w:rPr>
                <w:rFonts w:hint="default" w:ascii="Times New Roman" w:hAnsi="Times New Roman" w:cs="Times New Roman"/>
              </w:rPr>
            </w:pPr>
            <w:r>
              <w:rPr>
                <w:rFonts w:hint="default" w:ascii="Times New Roman" w:hAnsi="Times New Roman" w:cs="Times New Roman"/>
              </w:rPr>
              <w:t>1、生活污水</w:t>
            </w:r>
          </w:p>
          <w:p w14:paraId="65C7B2C1">
            <w:pPr>
              <w:ind w:firstLine="480" w:firstLineChars="200"/>
              <w:rPr>
                <w:rFonts w:hint="default" w:ascii="Times New Roman" w:hAnsi="Times New Roman" w:cs="Times New Roman"/>
              </w:rPr>
            </w:pPr>
            <w:r>
              <w:rPr>
                <w:rFonts w:hint="default" w:ascii="Times New Roman" w:hAnsi="Times New Roman" w:cs="Times New Roman"/>
              </w:rPr>
              <w:t>本项目劳动定员为40名，根据《安徽省行业用水定额》（DB34/T679-2025）中的相关内容，参照办公用水定额取38L/人·d。则生活用水量为501.6t/a（1.2t/d）；生活污水排污系数《排放源统计调查产排污核算方法和系数手册-生活源产排污核算系数手册》中第一部分城镇生活源水污染物产生系数：人均2.4日生活用水量≤150升/人·天时，产污系数取0.8，则生活污水产生量为401.28t/a（1.216t/d）。生活污水水质指标参照《生活污染源产排污系数手册》中“表1-1城镇生活源水污染物产生系数”中四区产污系数，废水中各污染因子产生浓度为CODcr：340mg/L、SS：200mg/L、NH</w:t>
            </w:r>
            <w:r>
              <w:rPr>
                <w:rFonts w:hint="default" w:ascii="Times New Roman" w:hAnsi="Times New Roman" w:cs="Times New Roman"/>
                <w:vertAlign w:val="subscript"/>
              </w:rPr>
              <w:t>3</w:t>
            </w:r>
            <w:r>
              <w:rPr>
                <w:rFonts w:hint="default" w:ascii="Times New Roman" w:hAnsi="Times New Roman" w:cs="Times New Roman"/>
              </w:rPr>
              <w:t>-N：32.6mg/L。则生活污水各污染因子产生量CODcr为0.136t/a，SS为0.080t/a，NH</w:t>
            </w:r>
            <w:r>
              <w:rPr>
                <w:rFonts w:hint="default" w:ascii="Times New Roman" w:hAnsi="Times New Roman" w:cs="Times New Roman"/>
                <w:vertAlign w:val="subscript"/>
              </w:rPr>
              <w:t>3</w:t>
            </w:r>
            <w:r>
              <w:rPr>
                <w:rFonts w:hint="default" w:ascii="Times New Roman" w:hAnsi="Times New Roman" w:cs="Times New Roman"/>
              </w:rPr>
              <w:t>-N为0.013t/a。生活污水经化粪池处理后接市政污水管网，排放至</w:t>
            </w:r>
            <w:r>
              <w:rPr>
                <w:rFonts w:hint="default" w:ascii="Times New Roman" w:hAnsi="Times New Roman" w:cs="Times New Roman"/>
                <w:lang w:eastAsia="zh-CN"/>
              </w:rPr>
              <w:t>淮南首创八公山污水处理厂</w:t>
            </w:r>
            <w:r>
              <w:rPr>
                <w:rFonts w:hint="default" w:ascii="Times New Roman" w:hAnsi="Times New Roman" w:cs="Times New Roman"/>
              </w:rPr>
              <w:t>处理达标后，尾水排入淮河（淮南段）。</w:t>
            </w:r>
          </w:p>
          <w:p w14:paraId="39218AED">
            <w:pPr>
              <w:ind w:firstLine="480" w:firstLineChars="200"/>
              <w:rPr>
                <w:rFonts w:hint="default" w:ascii="Times New Roman" w:hAnsi="Times New Roman" w:cs="Times New Roman"/>
              </w:rPr>
            </w:pPr>
            <w:r>
              <w:rPr>
                <w:rFonts w:hint="default" w:ascii="Times New Roman" w:hAnsi="Times New Roman" w:cs="Times New Roman"/>
              </w:rPr>
              <w:t>2、制胶设备清洗废水</w:t>
            </w:r>
          </w:p>
          <w:p w14:paraId="56DB86C1">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在生产过程中，企业采用制胶搅拌机进行调胶，生产使用后残留在制胶搅拌机设备上的淀粉胶对其用水进行冲洗，制胶搅拌机设备定期清理，采用设备配备的水泵和喷头将对胶辊进行自来水冲洗，约1月/次，项目设有1台制胶搅拌机，每次清洗用水量约为0.05t，则制胶设备清洗用水年用量为0.6t/a。项目需使用淀粉胶对纸板进行粘合工序，在完成粘合工序后，瓦楞纸板生产线部分设备上会沾有少量的淀粉胶，由于淀粉胶粘性较强，不定期清理会对生产设备造成一定的影响，因此本项目使用自来水对设备进行清洁。设备清洗用水量约为40L/次，约5天清洗1次，即清洗用水量为2.4t/a。</w:t>
            </w:r>
          </w:p>
          <w:p w14:paraId="3ECD8017">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该类设备清洗用水总量为3t/a，损耗量按5%计算，则糊胶、制胶设备清洗废水产生量为2.85t/a，收集后回用于调胶工序。</w:t>
            </w:r>
          </w:p>
          <w:p w14:paraId="6CB7D45C">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3、锅炉废水</w:t>
            </w:r>
          </w:p>
          <w:p w14:paraId="635ABDBD">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根据建设单位提供资料，项目1台2t/h天然气锅炉，年运行时长3000h。项目产生可使用蒸汽量6000t/a，锅炉排水量为443.7t/a。则锅炉需水量为2.14t/h（6443.7t/a）。</w:t>
            </w:r>
          </w:p>
          <w:p w14:paraId="2B2DE04A">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rPr>
              <w:t>锅炉用水为软化水，软水制备系统主要采用“反渗透”工艺制备软化水，软水制备率为60%，则软水制备设备总用水量为10739.5t/a，本项目软水制备排水量为4295.8t/a。</w:t>
            </w:r>
          </w:p>
          <w:p w14:paraId="1A024E8D">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项目蒸汽供热为间接加热，项目产生可使用蒸汽量6000t/a，损耗量按70%计，则冷凝水产生量为4200t/a。该部分冷凝水为清净下水，可直接回用至锅炉循环补水。因此项目锅炉新鲜水用水量为6539.5t/a（19.81t/d）。</w:t>
            </w:r>
          </w:p>
          <w:p w14:paraId="658C3EA1">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项目天然气锅炉废水主要为软水系统排污水、锅炉排污水，参考《排放源统计调查产排污核算方法和系数手册》（生态环境部，公告2021年第24号）中4430工业锅炉（热力生产和供应行业）产污系数表-工业废水量和化学需氧量，</w:t>
            </w:r>
            <w:r>
              <w:rPr>
                <w:rFonts w:hint="default" w:ascii="Times New Roman" w:hAnsi="Times New Roman" w:cs="Times New Roman"/>
                <w:szCs w:val="22"/>
              </w:rPr>
              <w:t>每燃烧1万m</w:t>
            </w:r>
            <w:r>
              <w:rPr>
                <w:rFonts w:hint="default" w:ascii="Times New Roman" w:hAnsi="Times New Roman" w:cs="Times New Roman"/>
                <w:szCs w:val="22"/>
                <w:vertAlign w:val="superscript"/>
              </w:rPr>
              <w:t>3</w:t>
            </w:r>
            <w:r>
              <w:rPr>
                <w:rFonts w:hint="default" w:ascii="Times New Roman" w:hAnsi="Times New Roman" w:cs="Times New Roman"/>
                <w:szCs w:val="22"/>
              </w:rPr>
              <w:t>天然气</w:t>
            </w:r>
            <w:r>
              <w:rPr>
                <w:rFonts w:hint="default" w:ascii="Times New Roman" w:hAnsi="Times New Roman" w:cs="Times New Roman"/>
                <w:bCs/>
                <w:snapToGrid w:val="0"/>
                <w:shd w:val="clear" w:color="auto" w:fill="FFFFFF"/>
              </w:rPr>
              <w:t>工业废水产生量为9.86吨（软化处理废水）。则项目天然气锅炉废水产生量为443.7t/a。</w:t>
            </w:r>
          </w:p>
          <w:p w14:paraId="504B844C">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项目锅炉总排水量为4739.5t/a其中软水系统排污水为4295.8t/a，锅炉排污水为443.7t/a。</w:t>
            </w:r>
          </w:p>
          <w:p w14:paraId="43BC4BD9">
            <w:pPr>
              <w:ind w:firstLine="480" w:firstLineChars="200"/>
              <w:rPr>
                <w:rFonts w:hint="default" w:ascii="Times New Roman" w:hAnsi="Times New Roman" w:cs="Times New Roman"/>
                <w:bCs/>
                <w:snapToGrid w:val="0"/>
                <w:shd w:val="clear" w:color="auto" w:fill="FFFFFF"/>
              </w:rPr>
            </w:pPr>
            <w:r>
              <w:rPr>
                <w:rFonts w:hint="default" w:ascii="Times New Roman" w:hAnsi="Times New Roman" w:cs="Times New Roman"/>
                <w:bCs/>
                <w:snapToGrid w:val="0"/>
                <w:shd w:val="clear" w:color="auto" w:fill="FFFFFF"/>
              </w:rPr>
              <w:t>参考《排放源统计调查产排污核算方法和系数手册》（生态环境部，公告2021年第24号）中4430工业锅炉（热力生产和供应行业）产污系数表-工业废水量和化学需氧量，每燃烧1万m</w:t>
            </w:r>
            <w:r>
              <w:rPr>
                <w:rFonts w:hint="default" w:ascii="Times New Roman" w:hAnsi="Times New Roman" w:cs="Times New Roman"/>
                <w:bCs/>
                <w:snapToGrid w:val="0"/>
                <w:shd w:val="clear" w:color="auto" w:fill="FFFFFF"/>
                <w:vertAlign w:val="superscript"/>
              </w:rPr>
              <w:t>3</w:t>
            </w:r>
            <w:r>
              <w:rPr>
                <w:rFonts w:hint="default" w:ascii="Times New Roman" w:hAnsi="Times New Roman" w:cs="Times New Roman"/>
                <w:bCs/>
                <w:snapToGrid w:val="0"/>
                <w:shd w:val="clear" w:color="auto" w:fill="FFFFFF"/>
              </w:rPr>
              <w:t>天然气锅内水处理化学需氧量产生量为1080克，则锅炉总排污水COD产生量为0.048t/a。产生浓度为13.87mg/L，满足《污水综合排放标准》（GB8978-1996）三级标准和</w:t>
            </w:r>
            <w:r>
              <w:rPr>
                <w:rFonts w:hint="default" w:ascii="Times New Roman" w:hAnsi="Times New Roman" w:cs="Times New Roman"/>
                <w:bCs/>
                <w:snapToGrid w:val="0"/>
                <w:shd w:val="clear" w:color="auto" w:fill="FFFFFF"/>
                <w:lang w:eastAsia="zh-CN"/>
              </w:rPr>
              <w:t>淮南首创八公山污水处理厂</w:t>
            </w:r>
            <w:r>
              <w:rPr>
                <w:rFonts w:hint="default" w:ascii="Times New Roman" w:hAnsi="Times New Roman" w:cs="Times New Roman"/>
                <w:bCs/>
                <w:snapToGrid w:val="0"/>
                <w:shd w:val="clear" w:color="auto" w:fill="FFFFFF"/>
              </w:rPr>
              <w:t>接管进水水质要求，锅炉废水经新建排污口DW001依托园区污水管网排入</w:t>
            </w:r>
            <w:r>
              <w:rPr>
                <w:rFonts w:hint="default" w:ascii="Times New Roman" w:hAnsi="Times New Roman" w:cs="Times New Roman"/>
                <w:bCs/>
                <w:snapToGrid w:val="0"/>
                <w:shd w:val="clear" w:color="auto" w:fill="FFFFFF"/>
                <w:lang w:eastAsia="zh-CN"/>
              </w:rPr>
              <w:t>淮南首创</w:t>
            </w:r>
            <w:r>
              <w:rPr>
                <w:rFonts w:hint="default" w:ascii="Times New Roman" w:hAnsi="Times New Roman" w:cs="Times New Roman"/>
                <w:bCs/>
                <w:snapToGrid w:val="0"/>
                <w:shd w:val="clear" w:color="auto" w:fill="FFFFFF"/>
              </w:rPr>
              <w:t>八公山污水处理厂。</w:t>
            </w:r>
          </w:p>
          <w:p w14:paraId="561A3F08">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表4-14 项目废水产生及治理情况一览表</w:t>
            </w:r>
          </w:p>
          <w:tbl>
            <w:tblPr>
              <w:tblStyle w:val="21"/>
              <w:tblW w:w="766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0"/>
              <w:gridCol w:w="845"/>
              <w:gridCol w:w="917"/>
              <w:gridCol w:w="716"/>
              <w:gridCol w:w="818"/>
              <w:gridCol w:w="1483"/>
              <w:gridCol w:w="696"/>
              <w:gridCol w:w="788"/>
              <w:gridCol w:w="701"/>
            </w:tblGrid>
            <w:tr w14:paraId="43BD91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456" w:type="pct"/>
                  <w:tcBorders>
                    <w:top w:val="single" w:color="auto" w:sz="6" w:space="0"/>
                    <w:left w:val="single" w:color="auto" w:sz="0" w:space="0"/>
                    <w:bottom w:val="single" w:color="auto" w:sz="6" w:space="0"/>
                    <w:right w:val="single" w:color="auto" w:sz="6" w:space="0"/>
                  </w:tcBorders>
                  <w:vAlign w:val="center"/>
                </w:tcPr>
                <w:p w14:paraId="47F0F823">
                  <w:pPr>
                    <w:pStyle w:val="29"/>
                    <w:rPr>
                      <w:b/>
                      <w:bCs/>
                      <w:sz w:val="21"/>
                      <w:szCs w:val="21"/>
                    </w:rPr>
                  </w:pPr>
                  <w:r>
                    <w:rPr>
                      <w:b/>
                      <w:bCs/>
                      <w:sz w:val="21"/>
                      <w:szCs w:val="21"/>
                    </w:rPr>
                    <w:t>废水名称</w:t>
                  </w:r>
                </w:p>
              </w:tc>
              <w:tc>
                <w:tcPr>
                  <w:tcW w:w="551" w:type="pct"/>
                  <w:tcBorders>
                    <w:top w:val="single" w:color="auto" w:sz="6" w:space="0"/>
                    <w:left w:val="single" w:color="auto" w:sz="6" w:space="0"/>
                    <w:bottom w:val="single" w:color="auto" w:sz="6" w:space="0"/>
                    <w:right w:val="single" w:color="auto" w:sz="6" w:space="0"/>
                  </w:tcBorders>
                  <w:vAlign w:val="center"/>
                </w:tcPr>
                <w:p w14:paraId="026C3594">
                  <w:pPr>
                    <w:pStyle w:val="29"/>
                    <w:rPr>
                      <w:b/>
                      <w:bCs/>
                      <w:sz w:val="21"/>
                      <w:szCs w:val="21"/>
                    </w:rPr>
                  </w:pPr>
                  <w:r>
                    <w:rPr>
                      <w:b/>
                      <w:bCs/>
                      <w:sz w:val="21"/>
                      <w:szCs w:val="21"/>
                    </w:rPr>
                    <w:t>废水产生量m</w:t>
                  </w:r>
                  <w:r>
                    <w:rPr>
                      <w:b/>
                      <w:bCs/>
                      <w:sz w:val="21"/>
                      <w:szCs w:val="21"/>
                      <w:vertAlign w:val="superscript"/>
                    </w:rPr>
                    <w:t>3</w:t>
                  </w:r>
                  <w:r>
                    <w:rPr>
                      <w:b/>
                      <w:bCs/>
                      <w:sz w:val="21"/>
                      <w:szCs w:val="21"/>
                    </w:rPr>
                    <w:t>/a</w:t>
                  </w:r>
                </w:p>
              </w:tc>
              <w:tc>
                <w:tcPr>
                  <w:tcW w:w="598" w:type="pct"/>
                  <w:tcBorders>
                    <w:top w:val="single" w:color="auto" w:sz="6" w:space="0"/>
                    <w:left w:val="single" w:color="auto" w:sz="6" w:space="0"/>
                    <w:bottom w:val="single" w:color="auto" w:sz="6" w:space="0"/>
                    <w:right w:val="single" w:color="auto" w:sz="6" w:space="0"/>
                  </w:tcBorders>
                  <w:vAlign w:val="center"/>
                </w:tcPr>
                <w:p w14:paraId="0C502099">
                  <w:pPr>
                    <w:pStyle w:val="29"/>
                    <w:rPr>
                      <w:b/>
                      <w:bCs/>
                      <w:sz w:val="21"/>
                      <w:szCs w:val="21"/>
                    </w:rPr>
                  </w:pPr>
                  <w:r>
                    <w:rPr>
                      <w:b/>
                      <w:bCs/>
                      <w:sz w:val="21"/>
                      <w:szCs w:val="21"/>
                    </w:rPr>
                    <w:t>污染物</w:t>
                  </w:r>
                </w:p>
                <w:p w14:paraId="78FF390A">
                  <w:pPr>
                    <w:pStyle w:val="29"/>
                    <w:rPr>
                      <w:b/>
                      <w:bCs/>
                      <w:sz w:val="21"/>
                      <w:szCs w:val="21"/>
                    </w:rPr>
                  </w:pPr>
                  <w:r>
                    <w:rPr>
                      <w:b/>
                      <w:bCs/>
                      <w:sz w:val="21"/>
                      <w:szCs w:val="21"/>
                    </w:rPr>
                    <w:t>名称</w:t>
                  </w:r>
                </w:p>
              </w:tc>
              <w:tc>
                <w:tcPr>
                  <w:tcW w:w="467" w:type="pct"/>
                  <w:tcBorders>
                    <w:top w:val="single" w:color="auto" w:sz="6" w:space="0"/>
                    <w:left w:val="single" w:color="auto" w:sz="6" w:space="0"/>
                    <w:bottom w:val="single" w:color="auto" w:sz="6" w:space="0"/>
                    <w:right w:val="single" w:color="auto" w:sz="6" w:space="0"/>
                  </w:tcBorders>
                  <w:vAlign w:val="center"/>
                </w:tcPr>
                <w:p w14:paraId="723C32F3">
                  <w:pPr>
                    <w:pStyle w:val="29"/>
                    <w:rPr>
                      <w:b/>
                      <w:bCs/>
                      <w:sz w:val="21"/>
                      <w:szCs w:val="21"/>
                    </w:rPr>
                  </w:pPr>
                  <w:r>
                    <w:rPr>
                      <w:b/>
                      <w:bCs/>
                      <w:sz w:val="21"/>
                      <w:szCs w:val="21"/>
                    </w:rPr>
                    <w:t>产生浓度</w:t>
                  </w:r>
                </w:p>
                <w:p w14:paraId="0A7B8ECA">
                  <w:pPr>
                    <w:pStyle w:val="29"/>
                    <w:rPr>
                      <w:b/>
                      <w:bCs/>
                      <w:sz w:val="21"/>
                      <w:szCs w:val="21"/>
                    </w:rPr>
                  </w:pPr>
                  <w:r>
                    <w:rPr>
                      <w:b/>
                      <w:bCs/>
                      <w:sz w:val="21"/>
                      <w:szCs w:val="21"/>
                    </w:rPr>
                    <w:t>mg/L</w:t>
                  </w:r>
                </w:p>
              </w:tc>
              <w:tc>
                <w:tcPr>
                  <w:tcW w:w="533" w:type="pct"/>
                  <w:tcBorders>
                    <w:top w:val="single" w:color="auto" w:sz="6" w:space="0"/>
                    <w:left w:val="single" w:color="auto" w:sz="6" w:space="0"/>
                    <w:bottom w:val="single" w:color="auto" w:sz="6" w:space="0"/>
                    <w:right w:val="single" w:color="auto" w:sz="6" w:space="0"/>
                  </w:tcBorders>
                  <w:vAlign w:val="center"/>
                </w:tcPr>
                <w:p w14:paraId="41218E42">
                  <w:pPr>
                    <w:pStyle w:val="29"/>
                    <w:rPr>
                      <w:b/>
                      <w:bCs/>
                      <w:sz w:val="21"/>
                      <w:szCs w:val="21"/>
                    </w:rPr>
                  </w:pPr>
                  <w:r>
                    <w:rPr>
                      <w:b/>
                      <w:bCs/>
                      <w:sz w:val="21"/>
                      <w:szCs w:val="21"/>
                    </w:rPr>
                    <w:t>产生量</w:t>
                  </w:r>
                </w:p>
                <w:p w14:paraId="3F5B60A1">
                  <w:pPr>
                    <w:pStyle w:val="29"/>
                    <w:rPr>
                      <w:b/>
                      <w:bCs/>
                      <w:sz w:val="21"/>
                      <w:szCs w:val="21"/>
                    </w:rPr>
                  </w:pPr>
                  <w:r>
                    <w:rPr>
                      <w:b/>
                      <w:bCs/>
                      <w:sz w:val="21"/>
                      <w:szCs w:val="21"/>
                    </w:rPr>
                    <w:t>t/a</w:t>
                  </w:r>
                </w:p>
              </w:tc>
              <w:tc>
                <w:tcPr>
                  <w:tcW w:w="967" w:type="pct"/>
                  <w:tcBorders>
                    <w:top w:val="single" w:color="auto" w:sz="6" w:space="0"/>
                    <w:left w:val="single" w:color="auto" w:sz="6" w:space="0"/>
                    <w:bottom w:val="single" w:color="auto" w:sz="6" w:space="0"/>
                    <w:right w:val="single" w:color="auto" w:sz="6" w:space="0"/>
                  </w:tcBorders>
                  <w:vAlign w:val="center"/>
                </w:tcPr>
                <w:p w14:paraId="2F96D47C">
                  <w:pPr>
                    <w:pStyle w:val="29"/>
                    <w:rPr>
                      <w:b/>
                      <w:bCs/>
                      <w:sz w:val="21"/>
                      <w:szCs w:val="21"/>
                    </w:rPr>
                  </w:pPr>
                  <w:r>
                    <w:rPr>
                      <w:b/>
                      <w:bCs/>
                      <w:sz w:val="21"/>
                      <w:szCs w:val="21"/>
                    </w:rPr>
                    <w:t>处理方法</w:t>
                  </w:r>
                </w:p>
              </w:tc>
              <w:tc>
                <w:tcPr>
                  <w:tcW w:w="454" w:type="pct"/>
                  <w:tcBorders>
                    <w:top w:val="single" w:color="auto" w:sz="6" w:space="0"/>
                    <w:left w:val="single" w:color="auto" w:sz="6" w:space="0"/>
                    <w:bottom w:val="single" w:color="auto" w:sz="6" w:space="0"/>
                    <w:right w:val="single" w:color="auto" w:sz="6" w:space="0"/>
                  </w:tcBorders>
                  <w:vAlign w:val="center"/>
                </w:tcPr>
                <w:p w14:paraId="48626446">
                  <w:pPr>
                    <w:pStyle w:val="29"/>
                    <w:rPr>
                      <w:b/>
                      <w:bCs/>
                      <w:sz w:val="21"/>
                      <w:szCs w:val="21"/>
                    </w:rPr>
                  </w:pPr>
                  <w:r>
                    <w:rPr>
                      <w:b/>
                      <w:bCs/>
                      <w:sz w:val="21"/>
                      <w:szCs w:val="21"/>
                    </w:rPr>
                    <w:t>废水排放量</w:t>
                  </w:r>
                </w:p>
                <w:p w14:paraId="01ADB95C">
                  <w:pPr>
                    <w:pStyle w:val="29"/>
                    <w:rPr>
                      <w:b/>
                      <w:bCs/>
                      <w:sz w:val="21"/>
                      <w:szCs w:val="21"/>
                    </w:rPr>
                  </w:pPr>
                  <w:r>
                    <w:rPr>
                      <w:b/>
                      <w:bCs/>
                      <w:sz w:val="21"/>
                      <w:szCs w:val="21"/>
                    </w:rPr>
                    <w:t>m</w:t>
                  </w:r>
                  <w:r>
                    <w:rPr>
                      <w:b/>
                      <w:bCs/>
                      <w:sz w:val="21"/>
                      <w:szCs w:val="21"/>
                      <w:vertAlign w:val="superscript"/>
                    </w:rPr>
                    <w:t>3</w:t>
                  </w:r>
                  <w:r>
                    <w:rPr>
                      <w:b/>
                      <w:bCs/>
                      <w:sz w:val="21"/>
                      <w:szCs w:val="21"/>
                    </w:rPr>
                    <w:t>/a</w:t>
                  </w:r>
                </w:p>
              </w:tc>
              <w:tc>
                <w:tcPr>
                  <w:tcW w:w="514" w:type="pct"/>
                  <w:tcBorders>
                    <w:top w:val="single" w:color="auto" w:sz="6" w:space="0"/>
                    <w:left w:val="single" w:color="auto" w:sz="6" w:space="0"/>
                    <w:bottom w:val="single" w:color="auto" w:sz="6" w:space="0"/>
                    <w:right w:val="single" w:color="auto" w:sz="6" w:space="0"/>
                  </w:tcBorders>
                  <w:vAlign w:val="center"/>
                </w:tcPr>
                <w:p w14:paraId="00ACAF6E">
                  <w:pPr>
                    <w:pStyle w:val="29"/>
                    <w:rPr>
                      <w:b/>
                      <w:bCs/>
                      <w:sz w:val="21"/>
                      <w:szCs w:val="21"/>
                    </w:rPr>
                  </w:pPr>
                  <w:r>
                    <w:rPr>
                      <w:b/>
                      <w:bCs/>
                      <w:sz w:val="21"/>
                      <w:szCs w:val="21"/>
                    </w:rPr>
                    <w:t>排放浓度</w:t>
                  </w:r>
                </w:p>
                <w:p w14:paraId="7BD2BA7E">
                  <w:pPr>
                    <w:pStyle w:val="29"/>
                    <w:rPr>
                      <w:b/>
                      <w:bCs/>
                      <w:sz w:val="21"/>
                      <w:szCs w:val="21"/>
                    </w:rPr>
                  </w:pPr>
                  <w:r>
                    <w:rPr>
                      <w:b/>
                      <w:bCs/>
                      <w:sz w:val="21"/>
                      <w:szCs w:val="21"/>
                    </w:rPr>
                    <w:t>mg/L</w:t>
                  </w:r>
                </w:p>
              </w:tc>
              <w:tc>
                <w:tcPr>
                  <w:tcW w:w="456" w:type="pct"/>
                  <w:tcBorders>
                    <w:top w:val="single" w:color="auto" w:sz="6" w:space="0"/>
                    <w:left w:val="single" w:color="auto" w:sz="6" w:space="0"/>
                    <w:bottom w:val="single" w:color="auto" w:sz="6" w:space="0"/>
                    <w:right w:val="single" w:color="auto" w:sz="6" w:space="0"/>
                  </w:tcBorders>
                  <w:vAlign w:val="center"/>
                </w:tcPr>
                <w:p w14:paraId="5E497910">
                  <w:pPr>
                    <w:pStyle w:val="29"/>
                    <w:rPr>
                      <w:b/>
                      <w:bCs/>
                      <w:sz w:val="21"/>
                      <w:szCs w:val="21"/>
                    </w:rPr>
                  </w:pPr>
                  <w:r>
                    <w:rPr>
                      <w:b/>
                      <w:bCs/>
                      <w:sz w:val="21"/>
                      <w:szCs w:val="21"/>
                    </w:rPr>
                    <w:t>排放量</w:t>
                  </w:r>
                </w:p>
                <w:p w14:paraId="43B64D3A">
                  <w:pPr>
                    <w:pStyle w:val="29"/>
                    <w:rPr>
                      <w:b/>
                      <w:bCs/>
                      <w:sz w:val="21"/>
                      <w:szCs w:val="21"/>
                    </w:rPr>
                  </w:pPr>
                  <w:r>
                    <w:rPr>
                      <w:b/>
                      <w:bCs/>
                      <w:sz w:val="21"/>
                      <w:szCs w:val="21"/>
                    </w:rPr>
                    <w:t>t/a</w:t>
                  </w:r>
                </w:p>
              </w:tc>
            </w:tr>
            <w:tr w14:paraId="0BCFB0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6" w:type="pct"/>
                  <w:vMerge w:val="restart"/>
                  <w:tcBorders>
                    <w:top w:val="single" w:color="auto" w:sz="6" w:space="0"/>
                    <w:left w:val="single" w:color="auto" w:sz="4" w:space="0"/>
                    <w:bottom w:val="single" w:color="auto" w:sz="6" w:space="0"/>
                    <w:right w:val="single" w:color="auto" w:sz="6" w:space="0"/>
                  </w:tcBorders>
                  <w:vAlign w:val="center"/>
                </w:tcPr>
                <w:p w14:paraId="5A93DB22">
                  <w:pPr>
                    <w:pStyle w:val="29"/>
                    <w:rPr>
                      <w:sz w:val="21"/>
                      <w:szCs w:val="21"/>
                    </w:rPr>
                  </w:pPr>
                  <w:r>
                    <w:rPr>
                      <w:sz w:val="21"/>
                      <w:szCs w:val="21"/>
                    </w:rPr>
                    <w:t>生活污水</w:t>
                  </w:r>
                </w:p>
              </w:tc>
              <w:tc>
                <w:tcPr>
                  <w:tcW w:w="551" w:type="pct"/>
                  <w:vMerge w:val="restart"/>
                  <w:tcBorders>
                    <w:top w:val="single" w:color="auto" w:sz="6" w:space="0"/>
                    <w:left w:val="single" w:color="auto" w:sz="6" w:space="0"/>
                    <w:bottom w:val="single" w:color="auto" w:sz="6" w:space="0"/>
                    <w:right w:val="single" w:color="auto" w:sz="6" w:space="0"/>
                  </w:tcBorders>
                  <w:vAlign w:val="center"/>
                </w:tcPr>
                <w:p w14:paraId="754A7D5E">
                  <w:pPr>
                    <w:pStyle w:val="29"/>
                    <w:rPr>
                      <w:sz w:val="21"/>
                      <w:szCs w:val="21"/>
                    </w:rPr>
                  </w:pPr>
                  <w:r>
                    <w:rPr>
                      <w:sz w:val="21"/>
                      <w:szCs w:val="21"/>
                    </w:rPr>
                    <w:t>401.28</w:t>
                  </w:r>
                </w:p>
              </w:tc>
              <w:tc>
                <w:tcPr>
                  <w:tcW w:w="598" w:type="pct"/>
                  <w:tcBorders>
                    <w:top w:val="single" w:color="auto" w:sz="6" w:space="0"/>
                    <w:left w:val="single" w:color="auto" w:sz="6" w:space="0"/>
                    <w:bottom w:val="single" w:color="auto" w:sz="6" w:space="0"/>
                    <w:right w:val="single" w:color="auto" w:sz="6" w:space="0"/>
                  </w:tcBorders>
                  <w:vAlign w:val="center"/>
                </w:tcPr>
                <w:p w14:paraId="45B86D11">
                  <w:pPr>
                    <w:pStyle w:val="29"/>
                    <w:rPr>
                      <w:sz w:val="21"/>
                      <w:szCs w:val="21"/>
                    </w:rPr>
                  </w:pPr>
                  <w:r>
                    <w:rPr>
                      <w:sz w:val="21"/>
                      <w:szCs w:val="21"/>
                    </w:rPr>
                    <w:t>CODcr</w:t>
                  </w:r>
                </w:p>
              </w:tc>
              <w:tc>
                <w:tcPr>
                  <w:tcW w:w="467" w:type="pct"/>
                  <w:tcBorders>
                    <w:top w:val="single" w:color="auto" w:sz="6" w:space="0"/>
                    <w:left w:val="single" w:color="auto" w:sz="6" w:space="0"/>
                    <w:bottom w:val="single" w:color="auto" w:sz="6" w:space="0"/>
                    <w:right w:val="single" w:color="auto" w:sz="6" w:space="0"/>
                  </w:tcBorders>
                  <w:vAlign w:val="center"/>
                </w:tcPr>
                <w:p w14:paraId="4F3D10FF">
                  <w:pPr>
                    <w:pStyle w:val="29"/>
                    <w:rPr>
                      <w:sz w:val="21"/>
                      <w:szCs w:val="21"/>
                    </w:rPr>
                  </w:pPr>
                  <w:r>
                    <w:rPr>
                      <w:sz w:val="21"/>
                      <w:szCs w:val="21"/>
                    </w:rPr>
                    <w:t>340</w:t>
                  </w:r>
                </w:p>
              </w:tc>
              <w:tc>
                <w:tcPr>
                  <w:tcW w:w="533" w:type="pct"/>
                  <w:tcBorders>
                    <w:top w:val="single" w:color="auto" w:sz="6" w:space="0"/>
                    <w:left w:val="single" w:color="auto" w:sz="6" w:space="0"/>
                    <w:bottom w:val="single" w:color="auto" w:sz="6" w:space="0"/>
                    <w:right w:val="single" w:color="auto" w:sz="6" w:space="0"/>
                  </w:tcBorders>
                  <w:vAlign w:val="center"/>
                </w:tcPr>
                <w:p w14:paraId="74C1EF15">
                  <w:pPr>
                    <w:pStyle w:val="29"/>
                    <w:rPr>
                      <w:sz w:val="21"/>
                      <w:szCs w:val="21"/>
                    </w:rPr>
                  </w:pPr>
                  <w:r>
                    <w:rPr>
                      <w:sz w:val="21"/>
                      <w:szCs w:val="21"/>
                    </w:rPr>
                    <w:t xml:space="preserve">0.136 </w:t>
                  </w:r>
                </w:p>
              </w:tc>
              <w:tc>
                <w:tcPr>
                  <w:tcW w:w="967" w:type="pct"/>
                  <w:vMerge w:val="restart"/>
                  <w:tcBorders>
                    <w:top w:val="single" w:color="auto" w:sz="6" w:space="0"/>
                    <w:left w:val="single" w:color="auto" w:sz="6" w:space="0"/>
                    <w:bottom w:val="single" w:color="auto" w:sz="6" w:space="0"/>
                    <w:right w:val="single" w:color="auto" w:sz="6" w:space="0"/>
                  </w:tcBorders>
                  <w:vAlign w:val="center"/>
                </w:tcPr>
                <w:p w14:paraId="4EFE00C6">
                  <w:pPr>
                    <w:pStyle w:val="29"/>
                    <w:rPr>
                      <w:sz w:val="21"/>
                      <w:szCs w:val="21"/>
                    </w:rPr>
                  </w:pPr>
                  <w:r>
                    <w:rPr>
                      <w:sz w:val="21"/>
                      <w:szCs w:val="21"/>
                    </w:rPr>
                    <w:t>经厂区化粪池预处理后排放至处理厂</w:t>
                  </w:r>
                </w:p>
              </w:tc>
              <w:tc>
                <w:tcPr>
                  <w:tcW w:w="454" w:type="pct"/>
                  <w:vMerge w:val="restart"/>
                  <w:tcBorders>
                    <w:top w:val="single" w:color="auto" w:sz="6" w:space="0"/>
                    <w:left w:val="single" w:color="auto" w:sz="6" w:space="0"/>
                    <w:bottom w:val="single" w:color="auto" w:sz="6" w:space="0"/>
                    <w:right w:val="single" w:color="auto" w:sz="6" w:space="0"/>
                  </w:tcBorders>
                  <w:vAlign w:val="center"/>
                </w:tcPr>
                <w:p w14:paraId="0170876C">
                  <w:pPr>
                    <w:pStyle w:val="29"/>
                    <w:rPr>
                      <w:sz w:val="21"/>
                      <w:szCs w:val="21"/>
                    </w:rPr>
                  </w:pPr>
                  <w:r>
                    <w:rPr>
                      <w:sz w:val="21"/>
                      <w:szCs w:val="21"/>
                    </w:rPr>
                    <w:t>401.28</w:t>
                  </w:r>
                </w:p>
              </w:tc>
              <w:tc>
                <w:tcPr>
                  <w:tcW w:w="514" w:type="pct"/>
                  <w:tcBorders>
                    <w:top w:val="single" w:color="auto" w:sz="6" w:space="0"/>
                    <w:left w:val="single" w:color="auto" w:sz="6" w:space="0"/>
                    <w:bottom w:val="single" w:color="auto" w:sz="6" w:space="0"/>
                    <w:right w:val="single" w:color="auto" w:sz="6" w:space="0"/>
                  </w:tcBorders>
                  <w:vAlign w:val="center"/>
                </w:tcPr>
                <w:p w14:paraId="5507E564">
                  <w:pPr>
                    <w:pStyle w:val="29"/>
                    <w:rPr>
                      <w:sz w:val="21"/>
                      <w:szCs w:val="21"/>
                    </w:rPr>
                  </w:pPr>
                  <w:r>
                    <w:rPr>
                      <w:sz w:val="21"/>
                      <w:szCs w:val="21"/>
                    </w:rPr>
                    <w:t>350</w:t>
                  </w:r>
                </w:p>
              </w:tc>
              <w:tc>
                <w:tcPr>
                  <w:tcW w:w="456" w:type="pct"/>
                  <w:tcBorders>
                    <w:top w:val="single" w:color="auto" w:sz="6" w:space="0"/>
                    <w:left w:val="single" w:color="auto" w:sz="6" w:space="0"/>
                    <w:bottom w:val="single" w:color="auto" w:sz="6" w:space="0"/>
                    <w:right w:val="single" w:color="auto" w:sz="6" w:space="0"/>
                  </w:tcBorders>
                  <w:vAlign w:val="center"/>
                </w:tcPr>
                <w:p w14:paraId="2AF81F26">
                  <w:pPr>
                    <w:pStyle w:val="29"/>
                    <w:rPr>
                      <w:sz w:val="21"/>
                      <w:szCs w:val="21"/>
                    </w:rPr>
                  </w:pPr>
                  <w:r>
                    <w:rPr>
                      <w:sz w:val="21"/>
                      <w:szCs w:val="21"/>
                    </w:rPr>
                    <w:t xml:space="preserve">0.140 </w:t>
                  </w:r>
                </w:p>
              </w:tc>
            </w:tr>
            <w:tr w14:paraId="72C4A0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6" w:type="pct"/>
                  <w:vMerge w:val="continue"/>
                  <w:tcBorders>
                    <w:top w:val="single" w:color="auto" w:sz="6" w:space="0"/>
                    <w:left w:val="single" w:color="auto" w:sz="4" w:space="0"/>
                    <w:bottom w:val="single" w:color="auto" w:sz="6" w:space="0"/>
                    <w:right w:val="single" w:color="auto" w:sz="6" w:space="0"/>
                  </w:tcBorders>
                  <w:vAlign w:val="center"/>
                </w:tcPr>
                <w:p w14:paraId="39AE15DD">
                  <w:pPr>
                    <w:pStyle w:val="29"/>
                    <w:rPr>
                      <w:sz w:val="21"/>
                      <w:szCs w:val="21"/>
                      <w:lang w:val="en-GB"/>
                    </w:rPr>
                  </w:pPr>
                </w:p>
              </w:tc>
              <w:tc>
                <w:tcPr>
                  <w:tcW w:w="551" w:type="pct"/>
                  <w:vMerge w:val="continue"/>
                  <w:tcBorders>
                    <w:top w:val="single" w:color="auto" w:sz="6" w:space="0"/>
                    <w:left w:val="single" w:color="auto" w:sz="6" w:space="0"/>
                    <w:bottom w:val="single" w:color="auto" w:sz="6" w:space="0"/>
                    <w:right w:val="single" w:color="auto" w:sz="6" w:space="0"/>
                  </w:tcBorders>
                  <w:vAlign w:val="center"/>
                </w:tcPr>
                <w:p w14:paraId="66898198">
                  <w:pPr>
                    <w:pStyle w:val="29"/>
                    <w:rPr>
                      <w:sz w:val="21"/>
                      <w:szCs w:val="21"/>
                    </w:rPr>
                  </w:pPr>
                </w:p>
              </w:tc>
              <w:tc>
                <w:tcPr>
                  <w:tcW w:w="598" w:type="pct"/>
                  <w:tcBorders>
                    <w:top w:val="single" w:color="auto" w:sz="6" w:space="0"/>
                    <w:left w:val="single" w:color="auto" w:sz="6" w:space="0"/>
                    <w:bottom w:val="single" w:color="auto" w:sz="6" w:space="0"/>
                    <w:right w:val="single" w:color="auto" w:sz="6" w:space="0"/>
                  </w:tcBorders>
                  <w:vAlign w:val="center"/>
                </w:tcPr>
                <w:p w14:paraId="443D9AE8">
                  <w:pPr>
                    <w:pStyle w:val="29"/>
                    <w:rPr>
                      <w:sz w:val="21"/>
                      <w:szCs w:val="21"/>
                    </w:rPr>
                  </w:pPr>
                  <w:r>
                    <w:rPr>
                      <w:sz w:val="21"/>
                      <w:szCs w:val="21"/>
                    </w:rPr>
                    <w:t>SS</w:t>
                  </w:r>
                </w:p>
              </w:tc>
              <w:tc>
                <w:tcPr>
                  <w:tcW w:w="467" w:type="pct"/>
                  <w:tcBorders>
                    <w:top w:val="single" w:color="auto" w:sz="6" w:space="0"/>
                    <w:left w:val="single" w:color="auto" w:sz="6" w:space="0"/>
                    <w:bottom w:val="single" w:color="auto" w:sz="6" w:space="0"/>
                    <w:right w:val="single" w:color="auto" w:sz="6" w:space="0"/>
                  </w:tcBorders>
                  <w:vAlign w:val="center"/>
                </w:tcPr>
                <w:p w14:paraId="0A6C8556">
                  <w:pPr>
                    <w:pStyle w:val="29"/>
                    <w:rPr>
                      <w:sz w:val="21"/>
                      <w:szCs w:val="21"/>
                    </w:rPr>
                  </w:pPr>
                  <w:r>
                    <w:rPr>
                      <w:sz w:val="21"/>
                      <w:szCs w:val="21"/>
                    </w:rPr>
                    <w:t>200</w:t>
                  </w:r>
                </w:p>
              </w:tc>
              <w:tc>
                <w:tcPr>
                  <w:tcW w:w="533" w:type="pct"/>
                  <w:tcBorders>
                    <w:top w:val="single" w:color="auto" w:sz="6" w:space="0"/>
                    <w:left w:val="single" w:color="auto" w:sz="6" w:space="0"/>
                    <w:bottom w:val="single" w:color="auto" w:sz="6" w:space="0"/>
                    <w:right w:val="single" w:color="auto" w:sz="6" w:space="0"/>
                  </w:tcBorders>
                  <w:vAlign w:val="center"/>
                </w:tcPr>
                <w:p w14:paraId="0043D990">
                  <w:pPr>
                    <w:pStyle w:val="29"/>
                    <w:rPr>
                      <w:sz w:val="21"/>
                      <w:szCs w:val="21"/>
                    </w:rPr>
                  </w:pPr>
                  <w:r>
                    <w:rPr>
                      <w:sz w:val="21"/>
                      <w:szCs w:val="21"/>
                    </w:rPr>
                    <w:t xml:space="preserve">0.080 </w:t>
                  </w:r>
                </w:p>
              </w:tc>
              <w:tc>
                <w:tcPr>
                  <w:tcW w:w="967" w:type="pct"/>
                  <w:vMerge w:val="continue"/>
                  <w:tcBorders>
                    <w:top w:val="single" w:color="auto" w:sz="6" w:space="0"/>
                    <w:left w:val="single" w:color="auto" w:sz="6" w:space="0"/>
                    <w:bottom w:val="single" w:color="auto" w:sz="6" w:space="0"/>
                    <w:right w:val="single" w:color="auto" w:sz="6" w:space="0"/>
                  </w:tcBorders>
                  <w:vAlign w:val="center"/>
                </w:tcPr>
                <w:p w14:paraId="45FE07F5">
                  <w:pPr>
                    <w:pStyle w:val="29"/>
                    <w:rPr>
                      <w:sz w:val="21"/>
                      <w:szCs w:val="21"/>
                    </w:rPr>
                  </w:pPr>
                </w:p>
              </w:tc>
              <w:tc>
                <w:tcPr>
                  <w:tcW w:w="454" w:type="pct"/>
                  <w:vMerge w:val="continue"/>
                  <w:tcBorders>
                    <w:top w:val="single" w:color="auto" w:sz="6" w:space="0"/>
                    <w:left w:val="single" w:color="auto" w:sz="6" w:space="0"/>
                    <w:bottom w:val="single" w:color="auto" w:sz="6" w:space="0"/>
                    <w:right w:val="single" w:color="auto" w:sz="6" w:space="0"/>
                  </w:tcBorders>
                  <w:vAlign w:val="center"/>
                </w:tcPr>
                <w:p w14:paraId="3D842702">
                  <w:pPr>
                    <w:pStyle w:val="29"/>
                    <w:rPr>
                      <w:sz w:val="21"/>
                      <w:szCs w:val="21"/>
                    </w:rPr>
                  </w:pPr>
                </w:p>
              </w:tc>
              <w:tc>
                <w:tcPr>
                  <w:tcW w:w="514" w:type="pct"/>
                  <w:tcBorders>
                    <w:top w:val="single" w:color="auto" w:sz="6" w:space="0"/>
                    <w:left w:val="single" w:color="auto" w:sz="6" w:space="0"/>
                    <w:bottom w:val="single" w:color="auto" w:sz="6" w:space="0"/>
                    <w:right w:val="single" w:color="auto" w:sz="6" w:space="0"/>
                  </w:tcBorders>
                  <w:vAlign w:val="center"/>
                </w:tcPr>
                <w:p w14:paraId="11D95A43">
                  <w:pPr>
                    <w:pStyle w:val="29"/>
                    <w:rPr>
                      <w:sz w:val="21"/>
                      <w:szCs w:val="21"/>
                    </w:rPr>
                  </w:pPr>
                  <w:r>
                    <w:rPr>
                      <w:sz w:val="21"/>
                      <w:szCs w:val="21"/>
                    </w:rPr>
                    <w:t>100</w:t>
                  </w:r>
                </w:p>
              </w:tc>
              <w:tc>
                <w:tcPr>
                  <w:tcW w:w="456" w:type="pct"/>
                  <w:tcBorders>
                    <w:top w:val="single" w:color="auto" w:sz="6" w:space="0"/>
                    <w:left w:val="single" w:color="auto" w:sz="6" w:space="0"/>
                    <w:bottom w:val="single" w:color="auto" w:sz="6" w:space="0"/>
                    <w:right w:val="single" w:color="auto" w:sz="6" w:space="0"/>
                  </w:tcBorders>
                  <w:vAlign w:val="center"/>
                </w:tcPr>
                <w:p w14:paraId="5A686A58">
                  <w:pPr>
                    <w:pStyle w:val="29"/>
                    <w:rPr>
                      <w:sz w:val="21"/>
                      <w:szCs w:val="21"/>
                    </w:rPr>
                  </w:pPr>
                  <w:r>
                    <w:rPr>
                      <w:sz w:val="21"/>
                      <w:szCs w:val="21"/>
                    </w:rPr>
                    <w:t xml:space="preserve">0.040 </w:t>
                  </w:r>
                </w:p>
              </w:tc>
            </w:tr>
            <w:tr w14:paraId="0D5C16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6" w:type="pct"/>
                  <w:vMerge w:val="continue"/>
                  <w:tcBorders>
                    <w:top w:val="single" w:color="auto" w:sz="6" w:space="0"/>
                    <w:left w:val="single" w:color="auto" w:sz="4" w:space="0"/>
                    <w:bottom w:val="single" w:color="auto" w:sz="6" w:space="0"/>
                    <w:right w:val="single" w:color="auto" w:sz="6" w:space="0"/>
                  </w:tcBorders>
                  <w:vAlign w:val="center"/>
                </w:tcPr>
                <w:p w14:paraId="7C3C72F3">
                  <w:pPr>
                    <w:pStyle w:val="29"/>
                    <w:rPr>
                      <w:sz w:val="21"/>
                      <w:szCs w:val="21"/>
                      <w:lang w:val="en-GB"/>
                    </w:rPr>
                  </w:pPr>
                </w:p>
              </w:tc>
              <w:tc>
                <w:tcPr>
                  <w:tcW w:w="551" w:type="pct"/>
                  <w:vMerge w:val="continue"/>
                  <w:tcBorders>
                    <w:top w:val="single" w:color="auto" w:sz="6" w:space="0"/>
                    <w:left w:val="single" w:color="auto" w:sz="6" w:space="0"/>
                    <w:bottom w:val="single" w:color="auto" w:sz="6" w:space="0"/>
                    <w:right w:val="single" w:color="auto" w:sz="6" w:space="0"/>
                  </w:tcBorders>
                  <w:vAlign w:val="center"/>
                </w:tcPr>
                <w:p w14:paraId="3612D3E2">
                  <w:pPr>
                    <w:pStyle w:val="29"/>
                    <w:rPr>
                      <w:sz w:val="21"/>
                      <w:szCs w:val="21"/>
                    </w:rPr>
                  </w:pPr>
                </w:p>
              </w:tc>
              <w:tc>
                <w:tcPr>
                  <w:tcW w:w="598" w:type="pct"/>
                  <w:tcBorders>
                    <w:top w:val="single" w:color="auto" w:sz="6" w:space="0"/>
                    <w:left w:val="single" w:color="auto" w:sz="6" w:space="0"/>
                    <w:bottom w:val="single" w:color="auto" w:sz="6" w:space="0"/>
                    <w:right w:val="single" w:color="auto" w:sz="6" w:space="0"/>
                  </w:tcBorders>
                  <w:vAlign w:val="center"/>
                </w:tcPr>
                <w:p w14:paraId="0B574578">
                  <w:pPr>
                    <w:pStyle w:val="29"/>
                    <w:rPr>
                      <w:sz w:val="21"/>
                      <w:szCs w:val="21"/>
                    </w:rPr>
                  </w:pPr>
                  <w:r>
                    <w:rPr>
                      <w:sz w:val="21"/>
                      <w:szCs w:val="21"/>
                    </w:rPr>
                    <w:t>NH</w:t>
                  </w:r>
                  <w:r>
                    <w:rPr>
                      <w:sz w:val="21"/>
                      <w:szCs w:val="21"/>
                      <w:vertAlign w:val="subscript"/>
                    </w:rPr>
                    <w:t>3</w:t>
                  </w:r>
                  <w:r>
                    <w:rPr>
                      <w:sz w:val="21"/>
                      <w:szCs w:val="21"/>
                    </w:rPr>
                    <w:t>-N</w:t>
                  </w:r>
                </w:p>
              </w:tc>
              <w:tc>
                <w:tcPr>
                  <w:tcW w:w="467" w:type="pct"/>
                  <w:tcBorders>
                    <w:top w:val="single" w:color="auto" w:sz="6" w:space="0"/>
                    <w:left w:val="single" w:color="auto" w:sz="6" w:space="0"/>
                    <w:bottom w:val="single" w:color="auto" w:sz="6" w:space="0"/>
                    <w:right w:val="single" w:color="auto" w:sz="6" w:space="0"/>
                  </w:tcBorders>
                  <w:vAlign w:val="center"/>
                </w:tcPr>
                <w:p w14:paraId="2E10C132">
                  <w:pPr>
                    <w:pStyle w:val="29"/>
                    <w:rPr>
                      <w:sz w:val="21"/>
                      <w:szCs w:val="21"/>
                    </w:rPr>
                  </w:pPr>
                  <w:r>
                    <w:rPr>
                      <w:sz w:val="21"/>
                      <w:szCs w:val="21"/>
                    </w:rPr>
                    <w:t>32.6</w:t>
                  </w:r>
                </w:p>
              </w:tc>
              <w:tc>
                <w:tcPr>
                  <w:tcW w:w="533" w:type="pct"/>
                  <w:tcBorders>
                    <w:top w:val="single" w:color="auto" w:sz="6" w:space="0"/>
                    <w:left w:val="single" w:color="auto" w:sz="6" w:space="0"/>
                    <w:bottom w:val="single" w:color="auto" w:sz="6" w:space="0"/>
                    <w:right w:val="single" w:color="auto" w:sz="6" w:space="0"/>
                  </w:tcBorders>
                  <w:vAlign w:val="center"/>
                </w:tcPr>
                <w:p w14:paraId="53D06245">
                  <w:pPr>
                    <w:pStyle w:val="29"/>
                    <w:rPr>
                      <w:sz w:val="21"/>
                      <w:szCs w:val="21"/>
                    </w:rPr>
                  </w:pPr>
                  <w:r>
                    <w:rPr>
                      <w:sz w:val="21"/>
                      <w:szCs w:val="21"/>
                    </w:rPr>
                    <w:t>0.013</w:t>
                  </w:r>
                </w:p>
              </w:tc>
              <w:tc>
                <w:tcPr>
                  <w:tcW w:w="967" w:type="pct"/>
                  <w:vMerge w:val="continue"/>
                  <w:tcBorders>
                    <w:top w:val="single" w:color="auto" w:sz="6" w:space="0"/>
                    <w:left w:val="single" w:color="auto" w:sz="6" w:space="0"/>
                    <w:bottom w:val="single" w:color="auto" w:sz="6" w:space="0"/>
                    <w:right w:val="single" w:color="auto" w:sz="6" w:space="0"/>
                  </w:tcBorders>
                  <w:vAlign w:val="center"/>
                </w:tcPr>
                <w:p w14:paraId="7C56D95D">
                  <w:pPr>
                    <w:pStyle w:val="29"/>
                    <w:rPr>
                      <w:sz w:val="21"/>
                      <w:szCs w:val="21"/>
                    </w:rPr>
                  </w:pPr>
                </w:p>
              </w:tc>
              <w:tc>
                <w:tcPr>
                  <w:tcW w:w="454" w:type="pct"/>
                  <w:vMerge w:val="continue"/>
                  <w:tcBorders>
                    <w:top w:val="single" w:color="auto" w:sz="6" w:space="0"/>
                    <w:left w:val="single" w:color="auto" w:sz="6" w:space="0"/>
                    <w:bottom w:val="single" w:color="auto" w:sz="6" w:space="0"/>
                    <w:right w:val="single" w:color="auto" w:sz="6" w:space="0"/>
                  </w:tcBorders>
                  <w:vAlign w:val="center"/>
                </w:tcPr>
                <w:p w14:paraId="2ADDBEFF">
                  <w:pPr>
                    <w:pStyle w:val="29"/>
                    <w:rPr>
                      <w:sz w:val="21"/>
                      <w:szCs w:val="21"/>
                    </w:rPr>
                  </w:pPr>
                </w:p>
              </w:tc>
              <w:tc>
                <w:tcPr>
                  <w:tcW w:w="514" w:type="pct"/>
                  <w:tcBorders>
                    <w:top w:val="single" w:color="auto" w:sz="6" w:space="0"/>
                    <w:left w:val="single" w:color="auto" w:sz="6" w:space="0"/>
                    <w:bottom w:val="single" w:color="auto" w:sz="6" w:space="0"/>
                    <w:right w:val="single" w:color="auto" w:sz="6" w:space="0"/>
                  </w:tcBorders>
                  <w:vAlign w:val="center"/>
                </w:tcPr>
                <w:p w14:paraId="17F4FA01">
                  <w:pPr>
                    <w:pStyle w:val="29"/>
                    <w:rPr>
                      <w:sz w:val="21"/>
                      <w:szCs w:val="21"/>
                    </w:rPr>
                  </w:pPr>
                  <w:r>
                    <w:rPr>
                      <w:sz w:val="21"/>
                      <w:szCs w:val="21"/>
                    </w:rPr>
                    <w:t>16.3</w:t>
                  </w:r>
                </w:p>
              </w:tc>
              <w:tc>
                <w:tcPr>
                  <w:tcW w:w="456" w:type="pct"/>
                  <w:tcBorders>
                    <w:top w:val="single" w:color="auto" w:sz="6" w:space="0"/>
                    <w:left w:val="single" w:color="auto" w:sz="6" w:space="0"/>
                    <w:bottom w:val="single" w:color="auto" w:sz="6" w:space="0"/>
                    <w:right w:val="single" w:color="auto" w:sz="6" w:space="0"/>
                  </w:tcBorders>
                  <w:vAlign w:val="center"/>
                </w:tcPr>
                <w:p w14:paraId="2C27C923">
                  <w:pPr>
                    <w:pStyle w:val="29"/>
                    <w:rPr>
                      <w:sz w:val="21"/>
                      <w:szCs w:val="21"/>
                    </w:rPr>
                  </w:pPr>
                  <w:r>
                    <w:rPr>
                      <w:sz w:val="21"/>
                      <w:szCs w:val="21"/>
                    </w:rPr>
                    <w:t>0.0065</w:t>
                  </w:r>
                </w:p>
              </w:tc>
            </w:tr>
            <w:tr w14:paraId="4A4AA1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6" w:type="pct"/>
                  <w:tcBorders>
                    <w:top w:val="single" w:color="auto" w:sz="6" w:space="0"/>
                    <w:left w:val="single" w:color="auto" w:sz="4" w:space="0"/>
                    <w:bottom w:val="single" w:color="auto" w:sz="6" w:space="0"/>
                    <w:right w:val="single" w:color="auto" w:sz="6" w:space="0"/>
                  </w:tcBorders>
                  <w:vAlign w:val="center"/>
                </w:tcPr>
                <w:p w14:paraId="20CCEEEF">
                  <w:pPr>
                    <w:pStyle w:val="29"/>
                    <w:rPr>
                      <w:sz w:val="21"/>
                      <w:szCs w:val="21"/>
                      <w:lang w:val="en-GB"/>
                    </w:rPr>
                  </w:pPr>
                  <w:r>
                    <w:rPr>
                      <w:bCs/>
                      <w:snapToGrid w:val="0"/>
                      <w:sz w:val="21"/>
                      <w:szCs w:val="21"/>
                      <w:shd w:val="clear" w:color="auto" w:fill="FFFFFF"/>
                    </w:rPr>
                    <w:t>锅炉废水</w:t>
                  </w:r>
                </w:p>
              </w:tc>
              <w:tc>
                <w:tcPr>
                  <w:tcW w:w="551" w:type="pct"/>
                  <w:tcBorders>
                    <w:top w:val="single" w:color="auto" w:sz="6" w:space="0"/>
                    <w:left w:val="single" w:color="auto" w:sz="6" w:space="0"/>
                    <w:bottom w:val="single" w:color="auto" w:sz="6" w:space="0"/>
                    <w:right w:val="single" w:color="auto" w:sz="6" w:space="0"/>
                  </w:tcBorders>
                  <w:vAlign w:val="center"/>
                </w:tcPr>
                <w:p w14:paraId="70F70E14">
                  <w:pPr>
                    <w:pStyle w:val="29"/>
                    <w:rPr>
                      <w:sz w:val="21"/>
                      <w:szCs w:val="21"/>
                    </w:rPr>
                  </w:pPr>
                  <w:r>
                    <w:rPr>
                      <w:sz w:val="21"/>
                      <w:szCs w:val="21"/>
                    </w:rPr>
                    <w:t>4739.5</w:t>
                  </w:r>
                </w:p>
              </w:tc>
              <w:tc>
                <w:tcPr>
                  <w:tcW w:w="598" w:type="pct"/>
                  <w:tcBorders>
                    <w:top w:val="single" w:color="auto" w:sz="6" w:space="0"/>
                    <w:left w:val="single" w:color="auto" w:sz="6" w:space="0"/>
                    <w:bottom w:val="single" w:color="auto" w:sz="6" w:space="0"/>
                    <w:right w:val="single" w:color="auto" w:sz="6" w:space="0"/>
                  </w:tcBorders>
                  <w:shd w:val="clear" w:color="auto" w:fill="auto"/>
                  <w:vAlign w:val="center"/>
                </w:tcPr>
                <w:p w14:paraId="50E40B80">
                  <w:pPr>
                    <w:pStyle w:val="29"/>
                    <w:rPr>
                      <w:sz w:val="21"/>
                      <w:szCs w:val="21"/>
                    </w:rPr>
                  </w:pPr>
                  <w:r>
                    <w:rPr>
                      <w:sz w:val="21"/>
                      <w:szCs w:val="21"/>
                    </w:rPr>
                    <w:t>CODcr</w:t>
                  </w:r>
                </w:p>
              </w:tc>
              <w:tc>
                <w:tcPr>
                  <w:tcW w:w="467" w:type="pct"/>
                  <w:tcBorders>
                    <w:top w:val="single" w:color="auto" w:sz="6" w:space="0"/>
                    <w:left w:val="single" w:color="auto" w:sz="6" w:space="0"/>
                    <w:bottom w:val="single" w:color="auto" w:sz="6" w:space="0"/>
                    <w:right w:val="single" w:color="auto" w:sz="6" w:space="0"/>
                  </w:tcBorders>
                  <w:vAlign w:val="center"/>
                </w:tcPr>
                <w:p w14:paraId="579A1F9D">
                  <w:pPr>
                    <w:pStyle w:val="29"/>
                    <w:rPr>
                      <w:sz w:val="21"/>
                      <w:szCs w:val="21"/>
                    </w:rPr>
                  </w:pPr>
                  <w:r>
                    <w:rPr>
                      <w:sz w:val="21"/>
                      <w:szCs w:val="21"/>
                    </w:rPr>
                    <w:t>10.3</w:t>
                  </w:r>
                </w:p>
              </w:tc>
              <w:tc>
                <w:tcPr>
                  <w:tcW w:w="533" w:type="pct"/>
                  <w:tcBorders>
                    <w:top w:val="single" w:color="auto" w:sz="6" w:space="0"/>
                    <w:left w:val="single" w:color="auto" w:sz="6" w:space="0"/>
                    <w:bottom w:val="single" w:color="auto" w:sz="6" w:space="0"/>
                    <w:right w:val="single" w:color="auto" w:sz="6" w:space="0"/>
                  </w:tcBorders>
                  <w:vAlign w:val="center"/>
                </w:tcPr>
                <w:p w14:paraId="4EBBBC60">
                  <w:pPr>
                    <w:pStyle w:val="29"/>
                    <w:rPr>
                      <w:sz w:val="21"/>
                      <w:szCs w:val="21"/>
                    </w:rPr>
                  </w:pPr>
                  <w:r>
                    <w:rPr>
                      <w:sz w:val="21"/>
                      <w:szCs w:val="21"/>
                    </w:rPr>
                    <w:t>0.048</w:t>
                  </w:r>
                </w:p>
              </w:tc>
              <w:tc>
                <w:tcPr>
                  <w:tcW w:w="967" w:type="pct"/>
                  <w:tcBorders>
                    <w:top w:val="single" w:color="auto" w:sz="6" w:space="0"/>
                    <w:left w:val="single" w:color="auto" w:sz="6" w:space="0"/>
                    <w:bottom w:val="single" w:color="auto" w:sz="6" w:space="0"/>
                    <w:right w:val="single" w:color="auto" w:sz="6" w:space="0"/>
                  </w:tcBorders>
                  <w:vAlign w:val="center"/>
                </w:tcPr>
                <w:p w14:paraId="13368FC3">
                  <w:pPr>
                    <w:pStyle w:val="29"/>
                    <w:rPr>
                      <w:sz w:val="21"/>
                      <w:szCs w:val="21"/>
                    </w:rPr>
                  </w:pPr>
                  <w:r>
                    <w:rPr>
                      <w:sz w:val="21"/>
                      <w:szCs w:val="21"/>
                    </w:rPr>
                    <w:t>经厂区排污口进入市政污水管网</w:t>
                  </w:r>
                </w:p>
              </w:tc>
              <w:tc>
                <w:tcPr>
                  <w:tcW w:w="454" w:type="pct"/>
                  <w:tcBorders>
                    <w:top w:val="single" w:color="auto" w:sz="6" w:space="0"/>
                    <w:left w:val="single" w:color="auto" w:sz="6" w:space="0"/>
                    <w:bottom w:val="single" w:color="auto" w:sz="6" w:space="0"/>
                    <w:right w:val="single" w:color="auto" w:sz="6" w:space="0"/>
                  </w:tcBorders>
                  <w:vAlign w:val="center"/>
                </w:tcPr>
                <w:p w14:paraId="2F35D9FF">
                  <w:pPr>
                    <w:pStyle w:val="29"/>
                    <w:rPr>
                      <w:sz w:val="21"/>
                      <w:szCs w:val="21"/>
                    </w:rPr>
                  </w:pPr>
                  <w:r>
                    <w:rPr>
                      <w:sz w:val="21"/>
                      <w:szCs w:val="21"/>
                    </w:rPr>
                    <w:t>4739.5</w:t>
                  </w:r>
                </w:p>
              </w:tc>
              <w:tc>
                <w:tcPr>
                  <w:tcW w:w="514" w:type="pct"/>
                  <w:tcBorders>
                    <w:top w:val="single" w:color="auto" w:sz="6" w:space="0"/>
                    <w:left w:val="single" w:color="auto" w:sz="6" w:space="0"/>
                    <w:bottom w:val="single" w:color="auto" w:sz="6" w:space="0"/>
                    <w:right w:val="single" w:color="auto" w:sz="6" w:space="0"/>
                  </w:tcBorders>
                  <w:vAlign w:val="center"/>
                </w:tcPr>
                <w:p w14:paraId="3FF8E148">
                  <w:pPr>
                    <w:pStyle w:val="29"/>
                    <w:rPr>
                      <w:sz w:val="21"/>
                      <w:szCs w:val="21"/>
                    </w:rPr>
                  </w:pPr>
                  <w:r>
                    <w:rPr>
                      <w:sz w:val="21"/>
                      <w:szCs w:val="21"/>
                    </w:rPr>
                    <w:t>10.3</w:t>
                  </w:r>
                </w:p>
              </w:tc>
              <w:tc>
                <w:tcPr>
                  <w:tcW w:w="456" w:type="pct"/>
                  <w:tcBorders>
                    <w:top w:val="single" w:color="auto" w:sz="6" w:space="0"/>
                    <w:left w:val="single" w:color="auto" w:sz="6" w:space="0"/>
                    <w:bottom w:val="single" w:color="auto" w:sz="6" w:space="0"/>
                    <w:right w:val="single" w:color="auto" w:sz="6" w:space="0"/>
                  </w:tcBorders>
                  <w:vAlign w:val="center"/>
                </w:tcPr>
                <w:p w14:paraId="49E7523C">
                  <w:pPr>
                    <w:pStyle w:val="29"/>
                    <w:rPr>
                      <w:sz w:val="21"/>
                      <w:szCs w:val="21"/>
                    </w:rPr>
                  </w:pPr>
                  <w:r>
                    <w:rPr>
                      <w:sz w:val="21"/>
                      <w:szCs w:val="21"/>
                    </w:rPr>
                    <w:t>0.048</w:t>
                  </w:r>
                </w:p>
              </w:tc>
            </w:tr>
            <w:tr w14:paraId="41480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456" w:type="pct"/>
                  <w:vMerge w:val="restart"/>
                  <w:tcBorders>
                    <w:top w:val="single" w:color="auto" w:sz="6" w:space="0"/>
                    <w:left w:val="single" w:color="auto" w:sz="4" w:space="0"/>
                    <w:right w:val="single" w:color="auto" w:sz="6" w:space="0"/>
                  </w:tcBorders>
                  <w:vAlign w:val="center"/>
                </w:tcPr>
                <w:p w14:paraId="2C2D7BA1">
                  <w:pPr>
                    <w:pStyle w:val="29"/>
                    <w:rPr>
                      <w:sz w:val="21"/>
                      <w:szCs w:val="21"/>
                      <w:lang w:val="en-GB"/>
                    </w:rPr>
                  </w:pPr>
                  <w:r>
                    <w:rPr>
                      <w:sz w:val="21"/>
                      <w:szCs w:val="21"/>
                    </w:rPr>
                    <w:t>制胶设备清洗废水</w:t>
                  </w:r>
                </w:p>
              </w:tc>
              <w:tc>
                <w:tcPr>
                  <w:tcW w:w="551" w:type="pct"/>
                  <w:vMerge w:val="restart"/>
                  <w:tcBorders>
                    <w:top w:val="single" w:color="auto" w:sz="6" w:space="0"/>
                    <w:left w:val="single" w:color="auto" w:sz="6" w:space="0"/>
                    <w:right w:val="single" w:color="auto" w:sz="6" w:space="0"/>
                  </w:tcBorders>
                  <w:vAlign w:val="center"/>
                </w:tcPr>
                <w:p w14:paraId="67ECA0A2">
                  <w:pPr>
                    <w:pStyle w:val="29"/>
                    <w:rPr>
                      <w:sz w:val="21"/>
                      <w:szCs w:val="21"/>
                    </w:rPr>
                  </w:pPr>
                  <w:r>
                    <w:rPr>
                      <w:sz w:val="21"/>
                      <w:szCs w:val="21"/>
                    </w:rPr>
                    <w:t>2.4</w:t>
                  </w:r>
                </w:p>
              </w:tc>
              <w:tc>
                <w:tcPr>
                  <w:tcW w:w="598" w:type="pct"/>
                  <w:tcBorders>
                    <w:top w:val="single" w:color="auto" w:sz="6" w:space="0"/>
                    <w:left w:val="single" w:color="auto" w:sz="6" w:space="0"/>
                    <w:bottom w:val="single" w:color="auto" w:sz="6" w:space="0"/>
                    <w:right w:val="single" w:color="auto" w:sz="6" w:space="0"/>
                  </w:tcBorders>
                  <w:vAlign w:val="center"/>
                </w:tcPr>
                <w:p w14:paraId="7BDB5C30">
                  <w:pPr>
                    <w:pStyle w:val="29"/>
                    <w:rPr>
                      <w:sz w:val="21"/>
                      <w:szCs w:val="21"/>
                    </w:rPr>
                  </w:pPr>
                  <w:r>
                    <w:rPr>
                      <w:sz w:val="21"/>
                      <w:szCs w:val="21"/>
                    </w:rPr>
                    <w:t>CODcr</w:t>
                  </w:r>
                </w:p>
              </w:tc>
              <w:tc>
                <w:tcPr>
                  <w:tcW w:w="467" w:type="pct"/>
                  <w:tcBorders>
                    <w:top w:val="single" w:color="auto" w:sz="6" w:space="0"/>
                    <w:left w:val="single" w:color="auto" w:sz="6" w:space="0"/>
                    <w:bottom w:val="single" w:color="auto" w:sz="6" w:space="0"/>
                    <w:right w:val="single" w:color="auto" w:sz="6" w:space="0"/>
                  </w:tcBorders>
                  <w:vAlign w:val="center"/>
                </w:tcPr>
                <w:p w14:paraId="296C8883">
                  <w:pPr>
                    <w:pStyle w:val="29"/>
                    <w:rPr>
                      <w:sz w:val="21"/>
                      <w:szCs w:val="21"/>
                    </w:rPr>
                  </w:pPr>
                  <w:r>
                    <w:rPr>
                      <w:sz w:val="21"/>
                      <w:szCs w:val="21"/>
                    </w:rPr>
                    <w:t>50</w:t>
                  </w:r>
                </w:p>
              </w:tc>
              <w:tc>
                <w:tcPr>
                  <w:tcW w:w="533" w:type="pct"/>
                  <w:tcBorders>
                    <w:top w:val="single" w:color="auto" w:sz="6" w:space="0"/>
                    <w:left w:val="single" w:color="auto" w:sz="6" w:space="0"/>
                    <w:bottom w:val="single" w:color="auto" w:sz="6" w:space="0"/>
                    <w:right w:val="single" w:color="auto" w:sz="6" w:space="0"/>
                  </w:tcBorders>
                  <w:vAlign w:val="center"/>
                </w:tcPr>
                <w:p w14:paraId="43BDD2CB">
                  <w:pPr>
                    <w:pStyle w:val="29"/>
                    <w:rPr>
                      <w:sz w:val="21"/>
                      <w:szCs w:val="21"/>
                    </w:rPr>
                  </w:pPr>
                  <w:r>
                    <w:rPr>
                      <w:sz w:val="21"/>
                      <w:szCs w:val="21"/>
                    </w:rPr>
                    <w:t>0.0001</w:t>
                  </w:r>
                </w:p>
              </w:tc>
              <w:tc>
                <w:tcPr>
                  <w:tcW w:w="967" w:type="pct"/>
                  <w:vMerge w:val="restart"/>
                  <w:tcBorders>
                    <w:top w:val="single" w:color="auto" w:sz="6" w:space="0"/>
                    <w:left w:val="single" w:color="auto" w:sz="6" w:space="0"/>
                    <w:right w:val="single" w:color="auto" w:sz="6" w:space="0"/>
                  </w:tcBorders>
                  <w:vAlign w:val="center"/>
                </w:tcPr>
                <w:p w14:paraId="644CA157">
                  <w:pPr>
                    <w:pStyle w:val="29"/>
                    <w:rPr>
                      <w:sz w:val="21"/>
                      <w:szCs w:val="21"/>
                    </w:rPr>
                  </w:pPr>
                  <w:r>
                    <w:rPr>
                      <w:sz w:val="21"/>
                      <w:szCs w:val="21"/>
                    </w:rPr>
                    <w:t>回用至制胶工序</w:t>
                  </w:r>
                </w:p>
              </w:tc>
              <w:tc>
                <w:tcPr>
                  <w:tcW w:w="454" w:type="pct"/>
                  <w:tcBorders>
                    <w:top w:val="single" w:color="auto" w:sz="6" w:space="0"/>
                    <w:left w:val="single" w:color="auto" w:sz="6" w:space="0"/>
                    <w:bottom w:val="single" w:color="auto" w:sz="6" w:space="0"/>
                    <w:right w:val="single" w:color="auto" w:sz="6" w:space="0"/>
                  </w:tcBorders>
                  <w:vAlign w:val="center"/>
                </w:tcPr>
                <w:p w14:paraId="6AD68083">
                  <w:pPr>
                    <w:pStyle w:val="29"/>
                    <w:rPr>
                      <w:sz w:val="21"/>
                      <w:szCs w:val="21"/>
                    </w:rPr>
                  </w:pPr>
                  <w:r>
                    <w:rPr>
                      <w:sz w:val="21"/>
                      <w:szCs w:val="21"/>
                    </w:rPr>
                    <w:t>0</w:t>
                  </w:r>
                </w:p>
              </w:tc>
              <w:tc>
                <w:tcPr>
                  <w:tcW w:w="514" w:type="pct"/>
                  <w:tcBorders>
                    <w:top w:val="single" w:color="auto" w:sz="6" w:space="0"/>
                    <w:left w:val="single" w:color="auto" w:sz="6" w:space="0"/>
                    <w:bottom w:val="single" w:color="auto" w:sz="6" w:space="0"/>
                    <w:right w:val="single" w:color="auto" w:sz="6" w:space="0"/>
                  </w:tcBorders>
                  <w:vAlign w:val="center"/>
                </w:tcPr>
                <w:p w14:paraId="420D0FBC">
                  <w:pPr>
                    <w:pStyle w:val="29"/>
                    <w:rPr>
                      <w:sz w:val="21"/>
                      <w:szCs w:val="21"/>
                    </w:rPr>
                  </w:pPr>
                  <w:r>
                    <w:rPr>
                      <w:sz w:val="21"/>
                      <w:szCs w:val="21"/>
                    </w:rPr>
                    <w:t>0</w:t>
                  </w:r>
                </w:p>
              </w:tc>
              <w:tc>
                <w:tcPr>
                  <w:tcW w:w="456" w:type="pct"/>
                  <w:tcBorders>
                    <w:top w:val="single" w:color="auto" w:sz="6" w:space="0"/>
                    <w:left w:val="single" w:color="auto" w:sz="6" w:space="0"/>
                    <w:bottom w:val="single" w:color="auto" w:sz="6" w:space="0"/>
                    <w:right w:val="single" w:color="auto" w:sz="6" w:space="0"/>
                  </w:tcBorders>
                  <w:vAlign w:val="center"/>
                </w:tcPr>
                <w:p w14:paraId="0A2179BD">
                  <w:pPr>
                    <w:pStyle w:val="29"/>
                    <w:rPr>
                      <w:sz w:val="21"/>
                      <w:szCs w:val="21"/>
                    </w:rPr>
                  </w:pPr>
                  <w:r>
                    <w:rPr>
                      <w:sz w:val="21"/>
                      <w:szCs w:val="21"/>
                    </w:rPr>
                    <w:t>0</w:t>
                  </w:r>
                </w:p>
              </w:tc>
            </w:tr>
            <w:tr w14:paraId="07E1B8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456" w:type="pct"/>
                  <w:vMerge w:val="continue"/>
                  <w:tcBorders>
                    <w:left w:val="single" w:color="auto" w:sz="4" w:space="0"/>
                    <w:bottom w:val="single" w:color="auto" w:sz="6" w:space="0"/>
                    <w:right w:val="single" w:color="auto" w:sz="6" w:space="0"/>
                  </w:tcBorders>
                  <w:vAlign w:val="center"/>
                </w:tcPr>
                <w:p w14:paraId="02DBCF7C">
                  <w:pPr>
                    <w:pStyle w:val="29"/>
                    <w:rPr>
                      <w:sz w:val="21"/>
                      <w:szCs w:val="21"/>
                    </w:rPr>
                  </w:pPr>
                </w:p>
              </w:tc>
              <w:tc>
                <w:tcPr>
                  <w:tcW w:w="551" w:type="pct"/>
                  <w:vMerge w:val="continue"/>
                  <w:tcBorders>
                    <w:left w:val="single" w:color="auto" w:sz="6" w:space="0"/>
                    <w:bottom w:val="single" w:color="auto" w:sz="6" w:space="0"/>
                    <w:right w:val="single" w:color="auto" w:sz="6" w:space="0"/>
                  </w:tcBorders>
                  <w:vAlign w:val="center"/>
                </w:tcPr>
                <w:p w14:paraId="45B372E8">
                  <w:pPr>
                    <w:pStyle w:val="29"/>
                    <w:rPr>
                      <w:sz w:val="21"/>
                      <w:szCs w:val="21"/>
                    </w:rPr>
                  </w:pPr>
                </w:p>
              </w:tc>
              <w:tc>
                <w:tcPr>
                  <w:tcW w:w="598" w:type="pct"/>
                  <w:tcBorders>
                    <w:top w:val="single" w:color="auto" w:sz="6" w:space="0"/>
                    <w:left w:val="single" w:color="auto" w:sz="6" w:space="0"/>
                    <w:bottom w:val="single" w:color="auto" w:sz="6" w:space="0"/>
                    <w:right w:val="single" w:color="auto" w:sz="6" w:space="0"/>
                  </w:tcBorders>
                  <w:vAlign w:val="center"/>
                </w:tcPr>
                <w:p w14:paraId="104C043B">
                  <w:pPr>
                    <w:pStyle w:val="29"/>
                    <w:rPr>
                      <w:sz w:val="21"/>
                      <w:szCs w:val="21"/>
                    </w:rPr>
                  </w:pPr>
                  <w:r>
                    <w:rPr>
                      <w:sz w:val="21"/>
                      <w:szCs w:val="21"/>
                    </w:rPr>
                    <w:t>SS</w:t>
                  </w:r>
                </w:p>
              </w:tc>
              <w:tc>
                <w:tcPr>
                  <w:tcW w:w="467" w:type="pct"/>
                  <w:tcBorders>
                    <w:top w:val="single" w:color="auto" w:sz="6" w:space="0"/>
                    <w:left w:val="single" w:color="auto" w:sz="6" w:space="0"/>
                    <w:bottom w:val="single" w:color="auto" w:sz="6" w:space="0"/>
                    <w:right w:val="single" w:color="auto" w:sz="6" w:space="0"/>
                  </w:tcBorders>
                  <w:vAlign w:val="center"/>
                </w:tcPr>
                <w:p w14:paraId="4F4AFCA9">
                  <w:pPr>
                    <w:pStyle w:val="29"/>
                    <w:rPr>
                      <w:sz w:val="21"/>
                      <w:szCs w:val="21"/>
                    </w:rPr>
                  </w:pPr>
                  <w:r>
                    <w:rPr>
                      <w:sz w:val="21"/>
                      <w:szCs w:val="21"/>
                    </w:rPr>
                    <w:t>1000</w:t>
                  </w:r>
                </w:p>
              </w:tc>
              <w:tc>
                <w:tcPr>
                  <w:tcW w:w="533" w:type="pct"/>
                  <w:tcBorders>
                    <w:top w:val="single" w:color="auto" w:sz="6" w:space="0"/>
                    <w:left w:val="single" w:color="auto" w:sz="6" w:space="0"/>
                    <w:bottom w:val="single" w:color="auto" w:sz="6" w:space="0"/>
                    <w:right w:val="single" w:color="auto" w:sz="6" w:space="0"/>
                  </w:tcBorders>
                  <w:vAlign w:val="center"/>
                </w:tcPr>
                <w:p w14:paraId="0ACBC633">
                  <w:pPr>
                    <w:pStyle w:val="29"/>
                    <w:rPr>
                      <w:sz w:val="21"/>
                      <w:szCs w:val="21"/>
                    </w:rPr>
                  </w:pPr>
                  <w:r>
                    <w:rPr>
                      <w:sz w:val="21"/>
                      <w:szCs w:val="21"/>
                    </w:rPr>
                    <w:t>0.0024</w:t>
                  </w:r>
                </w:p>
              </w:tc>
              <w:tc>
                <w:tcPr>
                  <w:tcW w:w="967" w:type="pct"/>
                  <w:vMerge w:val="continue"/>
                  <w:tcBorders>
                    <w:left w:val="single" w:color="auto" w:sz="6" w:space="0"/>
                    <w:bottom w:val="single" w:color="auto" w:sz="6" w:space="0"/>
                    <w:right w:val="single" w:color="auto" w:sz="6" w:space="0"/>
                  </w:tcBorders>
                  <w:vAlign w:val="center"/>
                </w:tcPr>
                <w:p w14:paraId="467F4E18">
                  <w:pPr>
                    <w:pStyle w:val="29"/>
                    <w:rPr>
                      <w:sz w:val="21"/>
                      <w:szCs w:val="21"/>
                    </w:rPr>
                  </w:pPr>
                </w:p>
              </w:tc>
              <w:tc>
                <w:tcPr>
                  <w:tcW w:w="454" w:type="pct"/>
                  <w:tcBorders>
                    <w:top w:val="single" w:color="auto" w:sz="6" w:space="0"/>
                    <w:left w:val="single" w:color="auto" w:sz="6" w:space="0"/>
                    <w:bottom w:val="single" w:color="auto" w:sz="6" w:space="0"/>
                    <w:right w:val="single" w:color="auto" w:sz="6" w:space="0"/>
                  </w:tcBorders>
                  <w:vAlign w:val="center"/>
                </w:tcPr>
                <w:p w14:paraId="1CE3D812">
                  <w:pPr>
                    <w:pStyle w:val="29"/>
                    <w:rPr>
                      <w:sz w:val="21"/>
                      <w:szCs w:val="21"/>
                    </w:rPr>
                  </w:pPr>
                  <w:r>
                    <w:rPr>
                      <w:sz w:val="21"/>
                      <w:szCs w:val="21"/>
                    </w:rPr>
                    <w:t>0</w:t>
                  </w:r>
                </w:p>
              </w:tc>
              <w:tc>
                <w:tcPr>
                  <w:tcW w:w="514" w:type="pct"/>
                  <w:tcBorders>
                    <w:top w:val="single" w:color="auto" w:sz="6" w:space="0"/>
                    <w:left w:val="single" w:color="auto" w:sz="6" w:space="0"/>
                    <w:bottom w:val="single" w:color="auto" w:sz="6" w:space="0"/>
                    <w:right w:val="single" w:color="auto" w:sz="6" w:space="0"/>
                  </w:tcBorders>
                  <w:vAlign w:val="center"/>
                </w:tcPr>
                <w:p w14:paraId="6BE4ECD9">
                  <w:pPr>
                    <w:pStyle w:val="29"/>
                    <w:rPr>
                      <w:sz w:val="21"/>
                      <w:szCs w:val="21"/>
                    </w:rPr>
                  </w:pPr>
                  <w:r>
                    <w:rPr>
                      <w:sz w:val="21"/>
                      <w:szCs w:val="21"/>
                    </w:rPr>
                    <w:t>0</w:t>
                  </w:r>
                </w:p>
              </w:tc>
              <w:tc>
                <w:tcPr>
                  <w:tcW w:w="456" w:type="pct"/>
                  <w:tcBorders>
                    <w:top w:val="single" w:color="auto" w:sz="6" w:space="0"/>
                    <w:left w:val="single" w:color="auto" w:sz="6" w:space="0"/>
                    <w:bottom w:val="single" w:color="auto" w:sz="6" w:space="0"/>
                    <w:right w:val="single" w:color="auto" w:sz="6" w:space="0"/>
                  </w:tcBorders>
                  <w:vAlign w:val="center"/>
                </w:tcPr>
                <w:p w14:paraId="485F3785">
                  <w:pPr>
                    <w:pStyle w:val="29"/>
                    <w:rPr>
                      <w:sz w:val="21"/>
                      <w:szCs w:val="21"/>
                    </w:rPr>
                  </w:pPr>
                  <w:r>
                    <w:rPr>
                      <w:sz w:val="21"/>
                      <w:szCs w:val="21"/>
                    </w:rPr>
                    <w:t>0</w:t>
                  </w:r>
                </w:p>
              </w:tc>
            </w:tr>
          </w:tbl>
          <w:p w14:paraId="796AB9D3">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4-15 项目废水产排情况一览表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1475"/>
              <w:gridCol w:w="1023"/>
              <w:gridCol w:w="795"/>
              <w:gridCol w:w="901"/>
              <w:gridCol w:w="717"/>
              <w:gridCol w:w="853"/>
              <w:gridCol w:w="1002"/>
              <w:gridCol w:w="888"/>
            </w:tblGrid>
            <w:tr w14:paraId="24C30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 w:hRule="atLeast"/>
              </w:trPr>
              <w:tc>
                <w:tcPr>
                  <w:tcW w:w="963" w:type="pct"/>
                  <w:vMerge w:val="restart"/>
                  <w:vAlign w:val="center"/>
                </w:tcPr>
                <w:p w14:paraId="0E67BF07">
                  <w:pPr>
                    <w:pStyle w:val="29"/>
                    <w:rPr>
                      <w:b/>
                      <w:bCs/>
                      <w:sz w:val="21"/>
                      <w:szCs w:val="21"/>
                    </w:rPr>
                  </w:pPr>
                  <w:r>
                    <w:rPr>
                      <w:b/>
                      <w:bCs/>
                      <w:sz w:val="21"/>
                      <w:szCs w:val="21"/>
                    </w:rPr>
                    <w:t>类别</w:t>
                  </w:r>
                </w:p>
              </w:tc>
              <w:tc>
                <w:tcPr>
                  <w:tcW w:w="668" w:type="pct"/>
                  <w:vMerge w:val="restart"/>
                  <w:vAlign w:val="center"/>
                </w:tcPr>
                <w:p w14:paraId="3D182E42">
                  <w:pPr>
                    <w:pStyle w:val="29"/>
                    <w:rPr>
                      <w:b/>
                      <w:bCs/>
                      <w:sz w:val="21"/>
                      <w:szCs w:val="21"/>
                    </w:rPr>
                  </w:pPr>
                  <w:r>
                    <w:rPr>
                      <w:b/>
                      <w:bCs/>
                      <w:sz w:val="21"/>
                      <w:szCs w:val="21"/>
                    </w:rPr>
                    <w:t>污染物</w:t>
                  </w:r>
                </w:p>
                <w:p w14:paraId="63B37516">
                  <w:pPr>
                    <w:pStyle w:val="29"/>
                    <w:rPr>
                      <w:b/>
                      <w:bCs/>
                      <w:sz w:val="21"/>
                      <w:szCs w:val="21"/>
                    </w:rPr>
                  </w:pPr>
                  <w:r>
                    <w:rPr>
                      <w:b/>
                      <w:bCs/>
                      <w:sz w:val="21"/>
                      <w:szCs w:val="21"/>
                    </w:rPr>
                    <w:t>名称</w:t>
                  </w:r>
                </w:p>
              </w:tc>
              <w:tc>
                <w:tcPr>
                  <w:tcW w:w="1107" w:type="pct"/>
                  <w:gridSpan w:val="2"/>
                  <w:vAlign w:val="center"/>
                </w:tcPr>
                <w:p w14:paraId="769FC865">
                  <w:pPr>
                    <w:pStyle w:val="29"/>
                    <w:rPr>
                      <w:b/>
                      <w:bCs/>
                      <w:sz w:val="21"/>
                      <w:szCs w:val="21"/>
                    </w:rPr>
                  </w:pPr>
                  <w:r>
                    <w:rPr>
                      <w:b/>
                      <w:bCs/>
                      <w:sz w:val="21"/>
                      <w:szCs w:val="21"/>
                    </w:rPr>
                    <w:t>产生情况</w:t>
                  </w:r>
                </w:p>
              </w:tc>
              <w:tc>
                <w:tcPr>
                  <w:tcW w:w="1025" w:type="pct"/>
                  <w:gridSpan w:val="2"/>
                  <w:vAlign w:val="center"/>
                </w:tcPr>
                <w:p w14:paraId="6AD7D11C">
                  <w:pPr>
                    <w:pStyle w:val="29"/>
                    <w:rPr>
                      <w:b/>
                      <w:bCs/>
                      <w:sz w:val="21"/>
                      <w:szCs w:val="21"/>
                    </w:rPr>
                  </w:pPr>
                  <w:r>
                    <w:rPr>
                      <w:b/>
                      <w:bCs/>
                      <w:sz w:val="21"/>
                      <w:szCs w:val="21"/>
                    </w:rPr>
                    <w:t>处理设施</w:t>
                  </w:r>
                </w:p>
              </w:tc>
              <w:tc>
                <w:tcPr>
                  <w:tcW w:w="1233" w:type="pct"/>
                  <w:gridSpan w:val="2"/>
                  <w:vAlign w:val="center"/>
                </w:tcPr>
                <w:p w14:paraId="747E1A47">
                  <w:pPr>
                    <w:pStyle w:val="29"/>
                    <w:rPr>
                      <w:b/>
                      <w:bCs/>
                      <w:sz w:val="21"/>
                      <w:szCs w:val="21"/>
                    </w:rPr>
                  </w:pPr>
                  <w:r>
                    <w:rPr>
                      <w:b/>
                      <w:bCs/>
                      <w:sz w:val="21"/>
                      <w:szCs w:val="21"/>
                    </w:rPr>
                    <w:t>排放情况</w:t>
                  </w:r>
                </w:p>
              </w:tc>
            </w:tr>
            <w:tr w14:paraId="07A66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 w:hRule="atLeast"/>
              </w:trPr>
              <w:tc>
                <w:tcPr>
                  <w:tcW w:w="963" w:type="pct"/>
                  <w:vMerge w:val="continue"/>
                  <w:vAlign w:val="center"/>
                </w:tcPr>
                <w:p w14:paraId="67F3CEA1">
                  <w:pPr>
                    <w:pStyle w:val="29"/>
                    <w:rPr>
                      <w:b/>
                      <w:bCs/>
                      <w:sz w:val="21"/>
                      <w:szCs w:val="21"/>
                    </w:rPr>
                  </w:pPr>
                </w:p>
              </w:tc>
              <w:tc>
                <w:tcPr>
                  <w:tcW w:w="668" w:type="pct"/>
                  <w:vMerge w:val="continue"/>
                  <w:vAlign w:val="center"/>
                </w:tcPr>
                <w:p w14:paraId="0F4AD474">
                  <w:pPr>
                    <w:pStyle w:val="29"/>
                    <w:rPr>
                      <w:b/>
                      <w:bCs/>
                      <w:sz w:val="21"/>
                      <w:szCs w:val="21"/>
                    </w:rPr>
                  </w:pPr>
                </w:p>
              </w:tc>
              <w:tc>
                <w:tcPr>
                  <w:tcW w:w="519" w:type="pct"/>
                  <w:vAlign w:val="center"/>
                </w:tcPr>
                <w:p w14:paraId="44C51113">
                  <w:pPr>
                    <w:pStyle w:val="29"/>
                    <w:rPr>
                      <w:b/>
                      <w:bCs/>
                      <w:sz w:val="21"/>
                      <w:szCs w:val="21"/>
                    </w:rPr>
                  </w:pPr>
                  <w:r>
                    <w:rPr>
                      <w:b/>
                      <w:bCs/>
                      <w:sz w:val="21"/>
                      <w:szCs w:val="21"/>
                    </w:rPr>
                    <w:t>产生浓度mg/m</w:t>
                  </w:r>
                  <w:r>
                    <w:rPr>
                      <w:b/>
                      <w:bCs/>
                      <w:sz w:val="21"/>
                      <w:szCs w:val="21"/>
                      <w:vertAlign w:val="superscript"/>
                    </w:rPr>
                    <w:t>3</w:t>
                  </w:r>
                </w:p>
              </w:tc>
              <w:tc>
                <w:tcPr>
                  <w:tcW w:w="588" w:type="pct"/>
                  <w:vAlign w:val="center"/>
                </w:tcPr>
                <w:p w14:paraId="572CE2D0">
                  <w:pPr>
                    <w:pStyle w:val="29"/>
                    <w:rPr>
                      <w:b/>
                      <w:bCs/>
                      <w:sz w:val="21"/>
                      <w:szCs w:val="21"/>
                    </w:rPr>
                  </w:pPr>
                  <w:r>
                    <w:rPr>
                      <w:b/>
                      <w:bCs/>
                      <w:sz w:val="21"/>
                      <w:szCs w:val="21"/>
                    </w:rPr>
                    <w:t>产生量</w:t>
                  </w:r>
                </w:p>
                <w:p w14:paraId="70062864">
                  <w:pPr>
                    <w:pStyle w:val="29"/>
                    <w:rPr>
                      <w:b/>
                      <w:bCs/>
                      <w:sz w:val="21"/>
                      <w:szCs w:val="21"/>
                    </w:rPr>
                  </w:pPr>
                  <w:r>
                    <w:rPr>
                      <w:b/>
                      <w:bCs/>
                      <w:sz w:val="21"/>
                      <w:szCs w:val="21"/>
                    </w:rPr>
                    <w:t>t/a</w:t>
                  </w:r>
                </w:p>
              </w:tc>
              <w:tc>
                <w:tcPr>
                  <w:tcW w:w="468" w:type="pct"/>
                  <w:vAlign w:val="center"/>
                </w:tcPr>
                <w:p w14:paraId="37487492">
                  <w:pPr>
                    <w:pStyle w:val="29"/>
                    <w:rPr>
                      <w:b/>
                      <w:bCs/>
                      <w:sz w:val="21"/>
                      <w:szCs w:val="21"/>
                    </w:rPr>
                  </w:pPr>
                  <w:r>
                    <w:rPr>
                      <w:b/>
                      <w:bCs/>
                      <w:sz w:val="21"/>
                      <w:szCs w:val="21"/>
                    </w:rPr>
                    <w:t>处理工艺</w:t>
                  </w:r>
                </w:p>
              </w:tc>
              <w:tc>
                <w:tcPr>
                  <w:tcW w:w="557" w:type="pct"/>
                  <w:vAlign w:val="center"/>
                </w:tcPr>
                <w:p w14:paraId="71ACE2C6">
                  <w:pPr>
                    <w:pStyle w:val="29"/>
                    <w:rPr>
                      <w:b/>
                      <w:bCs/>
                      <w:sz w:val="21"/>
                      <w:szCs w:val="21"/>
                    </w:rPr>
                  </w:pPr>
                  <w:r>
                    <w:rPr>
                      <w:b/>
                      <w:bCs/>
                      <w:sz w:val="21"/>
                      <w:szCs w:val="21"/>
                    </w:rPr>
                    <w:t>处理效率%</w:t>
                  </w:r>
                </w:p>
              </w:tc>
              <w:tc>
                <w:tcPr>
                  <w:tcW w:w="654" w:type="pct"/>
                  <w:vAlign w:val="center"/>
                </w:tcPr>
                <w:p w14:paraId="1084A8B0">
                  <w:pPr>
                    <w:pStyle w:val="29"/>
                    <w:rPr>
                      <w:b/>
                      <w:bCs/>
                      <w:sz w:val="21"/>
                      <w:szCs w:val="21"/>
                    </w:rPr>
                  </w:pPr>
                  <w:r>
                    <w:rPr>
                      <w:b/>
                      <w:bCs/>
                      <w:sz w:val="21"/>
                      <w:szCs w:val="21"/>
                    </w:rPr>
                    <w:t>排放浓度mg/m</w:t>
                  </w:r>
                  <w:r>
                    <w:rPr>
                      <w:b/>
                      <w:bCs/>
                      <w:sz w:val="21"/>
                      <w:szCs w:val="21"/>
                      <w:vertAlign w:val="superscript"/>
                    </w:rPr>
                    <w:t>3</w:t>
                  </w:r>
                </w:p>
              </w:tc>
              <w:tc>
                <w:tcPr>
                  <w:tcW w:w="579" w:type="pct"/>
                  <w:vAlign w:val="center"/>
                </w:tcPr>
                <w:p w14:paraId="4C482AFF">
                  <w:pPr>
                    <w:pStyle w:val="29"/>
                    <w:rPr>
                      <w:b/>
                      <w:bCs/>
                      <w:sz w:val="21"/>
                      <w:szCs w:val="21"/>
                    </w:rPr>
                  </w:pPr>
                  <w:r>
                    <w:rPr>
                      <w:b/>
                      <w:bCs/>
                      <w:sz w:val="21"/>
                      <w:szCs w:val="21"/>
                    </w:rPr>
                    <w:t>排放量t/a</w:t>
                  </w:r>
                </w:p>
              </w:tc>
            </w:tr>
            <w:tr w14:paraId="1DF31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182" w:hRule="atLeast"/>
              </w:trPr>
              <w:tc>
                <w:tcPr>
                  <w:tcW w:w="963" w:type="pct"/>
                  <w:vMerge w:val="restart"/>
                  <w:vAlign w:val="center"/>
                </w:tcPr>
                <w:p w14:paraId="15FB5E5C">
                  <w:pPr>
                    <w:pStyle w:val="29"/>
                    <w:rPr>
                      <w:sz w:val="21"/>
                      <w:szCs w:val="21"/>
                    </w:rPr>
                  </w:pPr>
                  <w:r>
                    <w:rPr>
                      <w:sz w:val="21"/>
                      <w:szCs w:val="21"/>
                    </w:rPr>
                    <w:t>生活污水</w:t>
                  </w:r>
                </w:p>
                <w:p w14:paraId="675FBED8">
                  <w:pPr>
                    <w:pStyle w:val="29"/>
                    <w:rPr>
                      <w:sz w:val="21"/>
                      <w:szCs w:val="21"/>
                    </w:rPr>
                  </w:pPr>
                  <w:r>
                    <w:rPr>
                      <w:sz w:val="21"/>
                      <w:szCs w:val="21"/>
                    </w:rPr>
                    <w:t>（401.28m</w:t>
                  </w:r>
                  <w:r>
                    <w:rPr>
                      <w:sz w:val="21"/>
                      <w:szCs w:val="21"/>
                      <w:vertAlign w:val="superscript"/>
                    </w:rPr>
                    <w:t>3</w:t>
                  </w:r>
                  <w:r>
                    <w:rPr>
                      <w:sz w:val="21"/>
                      <w:szCs w:val="21"/>
                    </w:rPr>
                    <w:t>/a）</w:t>
                  </w:r>
                </w:p>
              </w:tc>
              <w:tc>
                <w:tcPr>
                  <w:tcW w:w="668" w:type="pct"/>
                  <w:vAlign w:val="center"/>
                </w:tcPr>
                <w:p w14:paraId="5F2952FD">
                  <w:pPr>
                    <w:pStyle w:val="29"/>
                    <w:rPr>
                      <w:sz w:val="21"/>
                      <w:szCs w:val="21"/>
                    </w:rPr>
                  </w:pPr>
                  <w:r>
                    <w:rPr>
                      <w:sz w:val="21"/>
                      <w:szCs w:val="21"/>
                    </w:rPr>
                    <w:t>CODcr</w:t>
                  </w:r>
                </w:p>
              </w:tc>
              <w:tc>
                <w:tcPr>
                  <w:tcW w:w="519" w:type="pct"/>
                  <w:vAlign w:val="center"/>
                </w:tcPr>
                <w:p w14:paraId="4F618AAD">
                  <w:pPr>
                    <w:pStyle w:val="29"/>
                    <w:rPr>
                      <w:sz w:val="21"/>
                      <w:szCs w:val="21"/>
                    </w:rPr>
                  </w:pPr>
                  <w:r>
                    <w:rPr>
                      <w:sz w:val="21"/>
                      <w:szCs w:val="21"/>
                    </w:rPr>
                    <w:t>340</w:t>
                  </w:r>
                </w:p>
              </w:tc>
              <w:tc>
                <w:tcPr>
                  <w:tcW w:w="588" w:type="pct"/>
                  <w:vAlign w:val="center"/>
                </w:tcPr>
                <w:p w14:paraId="6C11F5B9">
                  <w:pPr>
                    <w:pStyle w:val="29"/>
                    <w:rPr>
                      <w:sz w:val="21"/>
                      <w:szCs w:val="21"/>
                    </w:rPr>
                  </w:pPr>
                  <w:r>
                    <w:rPr>
                      <w:sz w:val="21"/>
                      <w:szCs w:val="21"/>
                    </w:rPr>
                    <w:t xml:space="preserve">0.136 </w:t>
                  </w:r>
                </w:p>
              </w:tc>
              <w:tc>
                <w:tcPr>
                  <w:tcW w:w="468" w:type="pct"/>
                  <w:vMerge w:val="restart"/>
                  <w:vAlign w:val="center"/>
                </w:tcPr>
                <w:p w14:paraId="080CA31C">
                  <w:pPr>
                    <w:pStyle w:val="29"/>
                    <w:rPr>
                      <w:sz w:val="21"/>
                      <w:szCs w:val="21"/>
                    </w:rPr>
                  </w:pPr>
                  <w:r>
                    <w:rPr>
                      <w:sz w:val="21"/>
                      <w:szCs w:val="21"/>
                    </w:rPr>
                    <w:t>化粪池</w:t>
                  </w:r>
                </w:p>
              </w:tc>
              <w:tc>
                <w:tcPr>
                  <w:tcW w:w="557" w:type="pct"/>
                  <w:vAlign w:val="center"/>
                </w:tcPr>
                <w:p w14:paraId="67DA2809">
                  <w:pPr>
                    <w:pStyle w:val="29"/>
                    <w:rPr>
                      <w:sz w:val="21"/>
                      <w:szCs w:val="21"/>
                    </w:rPr>
                  </w:pPr>
                  <w:r>
                    <w:rPr>
                      <w:sz w:val="21"/>
                      <w:szCs w:val="21"/>
                    </w:rPr>
                    <w:t>0</w:t>
                  </w:r>
                </w:p>
              </w:tc>
              <w:tc>
                <w:tcPr>
                  <w:tcW w:w="654" w:type="pct"/>
                  <w:vAlign w:val="center"/>
                </w:tcPr>
                <w:p w14:paraId="373ECA52">
                  <w:pPr>
                    <w:pStyle w:val="29"/>
                    <w:rPr>
                      <w:sz w:val="21"/>
                      <w:szCs w:val="21"/>
                    </w:rPr>
                  </w:pPr>
                  <w:r>
                    <w:rPr>
                      <w:sz w:val="21"/>
                      <w:szCs w:val="21"/>
                    </w:rPr>
                    <w:t>340</w:t>
                  </w:r>
                </w:p>
              </w:tc>
              <w:tc>
                <w:tcPr>
                  <w:tcW w:w="579" w:type="pct"/>
                  <w:vAlign w:val="center"/>
                </w:tcPr>
                <w:p w14:paraId="7EE47896">
                  <w:pPr>
                    <w:pStyle w:val="29"/>
                    <w:rPr>
                      <w:sz w:val="21"/>
                      <w:szCs w:val="21"/>
                    </w:rPr>
                  </w:pPr>
                  <w:r>
                    <w:rPr>
                      <w:sz w:val="21"/>
                      <w:szCs w:val="21"/>
                    </w:rPr>
                    <w:t xml:space="preserve">0.136 </w:t>
                  </w:r>
                </w:p>
              </w:tc>
            </w:tr>
            <w:tr w14:paraId="1CE7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 w:hRule="atLeast"/>
              </w:trPr>
              <w:tc>
                <w:tcPr>
                  <w:tcW w:w="963" w:type="pct"/>
                  <w:vMerge w:val="continue"/>
                  <w:vAlign w:val="center"/>
                </w:tcPr>
                <w:p w14:paraId="122C5C50">
                  <w:pPr>
                    <w:pStyle w:val="29"/>
                    <w:rPr>
                      <w:sz w:val="21"/>
                      <w:szCs w:val="21"/>
                    </w:rPr>
                  </w:pPr>
                </w:p>
              </w:tc>
              <w:tc>
                <w:tcPr>
                  <w:tcW w:w="668" w:type="pct"/>
                  <w:vAlign w:val="center"/>
                </w:tcPr>
                <w:p w14:paraId="4ADE1C77">
                  <w:pPr>
                    <w:pStyle w:val="29"/>
                    <w:rPr>
                      <w:sz w:val="21"/>
                      <w:szCs w:val="21"/>
                    </w:rPr>
                  </w:pPr>
                  <w:r>
                    <w:rPr>
                      <w:sz w:val="21"/>
                      <w:szCs w:val="21"/>
                    </w:rPr>
                    <w:t>SS</w:t>
                  </w:r>
                </w:p>
              </w:tc>
              <w:tc>
                <w:tcPr>
                  <w:tcW w:w="519" w:type="pct"/>
                  <w:vAlign w:val="center"/>
                </w:tcPr>
                <w:p w14:paraId="45F6CBEF">
                  <w:pPr>
                    <w:pStyle w:val="29"/>
                    <w:rPr>
                      <w:sz w:val="21"/>
                      <w:szCs w:val="21"/>
                    </w:rPr>
                  </w:pPr>
                  <w:r>
                    <w:rPr>
                      <w:sz w:val="21"/>
                      <w:szCs w:val="21"/>
                    </w:rPr>
                    <w:t>200</w:t>
                  </w:r>
                </w:p>
              </w:tc>
              <w:tc>
                <w:tcPr>
                  <w:tcW w:w="588" w:type="pct"/>
                  <w:vAlign w:val="center"/>
                </w:tcPr>
                <w:p w14:paraId="27FA6D56">
                  <w:pPr>
                    <w:pStyle w:val="29"/>
                    <w:rPr>
                      <w:sz w:val="21"/>
                      <w:szCs w:val="21"/>
                    </w:rPr>
                  </w:pPr>
                  <w:r>
                    <w:rPr>
                      <w:sz w:val="21"/>
                      <w:szCs w:val="21"/>
                    </w:rPr>
                    <w:t xml:space="preserve">0.080 </w:t>
                  </w:r>
                </w:p>
              </w:tc>
              <w:tc>
                <w:tcPr>
                  <w:tcW w:w="468" w:type="pct"/>
                  <w:vMerge w:val="continue"/>
                  <w:vAlign w:val="center"/>
                </w:tcPr>
                <w:p w14:paraId="4D414A18">
                  <w:pPr>
                    <w:pStyle w:val="29"/>
                    <w:rPr>
                      <w:sz w:val="21"/>
                      <w:szCs w:val="21"/>
                    </w:rPr>
                  </w:pPr>
                </w:p>
              </w:tc>
              <w:tc>
                <w:tcPr>
                  <w:tcW w:w="557" w:type="pct"/>
                  <w:vAlign w:val="center"/>
                </w:tcPr>
                <w:p w14:paraId="5CC449FE">
                  <w:pPr>
                    <w:pStyle w:val="29"/>
                    <w:rPr>
                      <w:sz w:val="21"/>
                      <w:szCs w:val="21"/>
                    </w:rPr>
                  </w:pPr>
                  <w:r>
                    <w:rPr>
                      <w:sz w:val="21"/>
                      <w:szCs w:val="21"/>
                    </w:rPr>
                    <w:t>0</w:t>
                  </w:r>
                </w:p>
              </w:tc>
              <w:tc>
                <w:tcPr>
                  <w:tcW w:w="654" w:type="pct"/>
                  <w:vAlign w:val="center"/>
                </w:tcPr>
                <w:p w14:paraId="715775DA">
                  <w:pPr>
                    <w:pStyle w:val="29"/>
                    <w:rPr>
                      <w:sz w:val="21"/>
                      <w:szCs w:val="21"/>
                    </w:rPr>
                  </w:pPr>
                  <w:r>
                    <w:rPr>
                      <w:sz w:val="21"/>
                      <w:szCs w:val="21"/>
                    </w:rPr>
                    <w:t>200</w:t>
                  </w:r>
                </w:p>
              </w:tc>
              <w:tc>
                <w:tcPr>
                  <w:tcW w:w="579" w:type="pct"/>
                  <w:vAlign w:val="center"/>
                </w:tcPr>
                <w:p w14:paraId="43513191">
                  <w:pPr>
                    <w:pStyle w:val="29"/>
                    <w:rPr>
                      <w:sz w:val="21"/>
                      <w:szCs w:val="21"/>
                    </w:rPr>
                  </w:pPr>
                  <w:r>
                    <w:rPr>
                      <w:sz w:val="21"/>
                      <w:szCs w:val="21"/>
                    </w:rPr>
                    <w:t xml:space="preserve">0.080 </w:t>
                  </w:r>
                </w:p>
              </w:tc>
            </w:tr>
            <w:tr w14:paraId="588F1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72" w:hRule="atLeast"/>
              </w:trPr>
              <w:tc>
                <w:tcPr>
                  <w:tcW w:w="963" w:type="pct"/>
                  <w:vMerge w:val="continue"/>
                  <w:vAlign w:val="center"/>
                </w:tcPr>
                <w:p w14:paraId="756C416A">
                  <w:pPr>
                    <w:pStyle w:val="29"/>
                    <w:rPr>
                      <w:sz w:val="21"/>
                      <w:szCs w:val="21"/>
                    </w:rPr>
                  </w:pPr>
                </w:p>
              </w:tc>
              <w:tc>
                <w:tcPr>
                  <w:tcW w:w="668" w:type="pct"/>
                  <w:vAlign w:val="center"/>
                </w:tcPr>
                <w:p w14:paraId="55166795">
                  <w:pPr>
                    <w:pStyle w:val="29"/>
                    <w:rPr>
                      <w:sz w:val="21"/>
                      <w:szCs w:val="21"/>
                    </w:rPr>
                  </w:pPr>
                  <w:r>
                    <w:rPr>
                      <w:sz w:val="21"/>
                      <w:szCs w:val="21"/>
                    </w:rPr>
                    <w:t>NH</w:t>
                  </w:r>
                  <w:r>
                    <w:rPr>
                      <w:sz w:val="21"/>
                      <w:szCs w:val="21"/>
                      <w:vertAlign w:val="subscript"/>
                    </w:rPr>
                    <w:t>3</w:t>
                  </w:r>
                  <w:r>
                    <w:rPr>
                      <w:sz w:val="21"/>
                      <w:szCs w:val="21"/>
                    </w:rPr>
                    <w:t>-N</w:t>
                  </w:r>
                </w:p>
              </w:tc>
              <w:tc>
                <w:tcPr>
                  <w:tcW w:w="519" w:type="pct"/>
                  <w:vAlign w:val="center"/>
                </w:tcPr>
                <w:p w14:paraId="5790A481">
                  <w:pPr>
                    <w:pStyle w:val="29"/>
                    <w:rPr>
                      <w:sz w:val="21"/>
                      <w:szCs w:val="21"/>
                    </w:rPr>
                  </w:pPr>
                  <w:r>
                    <w:rPr>
                      <w:sz w:val="21"/>
                      <w:szCs w:val="21"/>
                    </w:rPr>
                    <w:t>32.6</w:t>
                  </w:r>
                </w:p>
              </w:tc>
              <w:tc>
                <w:tcPr>
                  <w:tcW w:w="588" w:type="pct"/>
                  <w:vAlign w:val="center"/>
                </w:tcPr>
                <w:p w14:paraId="6303DFD9">
                  <w:pPr>
                    <w:pStyle w:val="29"/>
                    <w:rPr>
                      <w:sz w:val="21"/>
                      <w:szCs w:val="21"/>
                    </w:rPr>
                  </w:pPr>
                  <w:r>
                    <w:rPr>
                      <w:sz w:val="21"/>
                      <w:szCs w:val="21"/>
                    </w:rPr>
                    <w:t>0.013</w:t>
                  </w:r>
                </w:p>
              </w:tc>
              <w:tc>
                <w:tcPr>
                  <w:tcW w:w="468" w:type="pct"/>
                  <w:vMerge w:val="continue"/>
                  <w:vAlign w:val="center"/>
                </w:tcPr>
                <w:p w14:paraId="26AF72C2">
                  <w:pPr>
                    <w:pStyle w:val="29"/>
                    <w:rPr>
                      <w:sz w:val="21"/>
                      <w:szCs w:val="21"/>
                    </w:rPr>
                  </w:pPr>
                </w:p>
              </w:tc>
              <w:tc>
                <w:tcPr>
                  <w:tcW w:w="557" w:type="pct"/>
                  <w:vAlign w:val="center"/>
                </w:tcPr>
                <w:p w14:paraId="33D237AC">
                  <w:pPr>
                    <w:pStyle w:val="29"/>
                    <w:rPr>
                      <w:sz w:val="21"/>
                      <w:szCs w:val="21"/>
                    </w:rPr>
                  </w:pPr>
                  <w:r>
                    <w:rPr>
                      <w:sz w:val="21"/>
                      <w:szCs w:val="21"/>
                    </w:rPr>
                    <w:t>50%</w:t>
                  </w:r>
                </w:p>
              </w:tc>
              <w:tc>
                <w:tcPr>
                  <w:tcW w:w="654" w:type="pct"/>
                  <w:vAlign w:val="center"/>
                </w:tcPr>
                <w:p w14:paraId="22AE87FE">
                  <w:pPr>
                    <w:pStyle w:val="29"/>
                    <w:rPr>
                      <w:sz w:val="21"/>
                      <w:szCs w:val="21"/>
                    </w:rPr>
                  </w:pPr>
                  <w:r>
                    <w:rPr>
                      <w:sz w:val="21"/>
                      <w:szCs w:val="21"/>
                    </w:rPr>
                    <w:t>16.3</w:t>
                  </w:r>
                </w:p>
              </w:tc>
              <w:tc>
                <w:tcPr>
                  <w:tcW w:w="579" w:type="pct"/>
                  <w:vAlign w:val="center"/>
                </w:tcPr>
                <w:p w14:paraId="1CA3F231">
                  <w:pPr>
                    <w:pStyle w:val="29"/>
                    <w:rPr>
                      <w:sz w:val="21"/>
                      <w:szCs w:val="21"/>
                    </w:rPr>
                  </w:pPr>
                  <w:r>
                    <w:rPr>
                      <w:sz w:val="21"/>
                      <w:szCs w:val="21"/>
                    </w:rPr>
                    <w:t>0.0065</w:t>
                  </w:r>
                </w:p>
              </w:tc>
            </w:tr>
            <w:tr w14:paraId="08F2C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3" w:hRule="atLeast"/>
              </w:trPr>
              <w:tc>
                <w:tcPr>
                  <w:tcW w:w="963" w:type="pct"/>
                  <w:vAlign w:val="center"/>
                </w:tcPr>
                <w:p w14:paraId="036F47E9">
                  <w:pPr>
                    <w:pStyle w:val="29"/>
                    <w:rPr>
                      <w:sz w:val="21"/>
                      <w:szCs w:val="21"/>
                    </w:rPr>
                  </w:pPr>
                  <w:r>
                    <w:rPr>
                      <w:bCs/>
                      <w:snapToGrid w:val="0"/>
                      <w:sz w:val="21"/>
                      <w:szCs w:val="21"/>
                      <w:shd w:val="clear" w:color="auto" w:fill="FFFFFF"/>
                    </w:rPr>
                    <w:t>锅炉废水</w:t>
                  </w:r>
                  <w:r>
                    <w:rPr>
                      <w:sz w:val="21"/>
                      <w:szCs w:val="21"/>
                    </w:rPr>
                    <w:t>(4739.5m</w:t>
                  </w:r>
                  <w:r>
                    <w:rPr>
                      <w:sz w:val="21"/>
                      <w:szCs w:val="21"/>
                      <w:vertAlign w:val="superscript"/>
                    </w:rPr>
                    <w:t>3</w:t>
                  </w:r>
                  <w:r>
                    <w:rPr>
                      <w:sz w:val="21"/>
                      <w:szCs w:val="21"/>
                    </w:rPr>
                    <w:t>/a)</w:t>
                  </w:r>
                </w:p>
              </w:tc>
              <w:tc>
                <w:tcPr>
                  <w:tcW w:w="668" w:type="pct"/>
                  <w:vAlign w:val="center"/>
                </w:tcPr>
                <w:p w14:paraId="5F267542">
                  <w:pPr>
                    <w:pStyle w:val="29"/>
                    <w:rPr>
                      <w:sz w:val="21"/>
                      <w:szCs w:val="21"/>
                    </w:rPr>
                  </w:pPr>
                  <w:r>
                    <w:rPr>
                      <w:sz w:val="21"/>
                      <w:szCs w:val="21"/>
                    </w:rPr>
                    <w:t>CODcr</w:t>
                  </w:r>
                </w:p>
              </w:tc>
              <w:tc>
                <w:tcPr>
                  <w:tcW w:w="519" w:type="pct"/>
                  <w:vAlign w:val="center"/>
                </w:tcPr>
                <w:p w14:paraId="616D46FB">
                  <w:pPr>
                    <w:pStyle w:val="29"/>
                    <w:rPr>
                      <w:sz w:val="21"/>
                      <w:szCs w:val="21"/>
                    </w:rPr>
                  </w:pPr>
                  <w:r>
                    <w:rPr>
                      <w:sz w:val="21"/>
                      <w:szCs w:val="21"/>
                    </w:rPr>
                    <w:t>10.3</w:t>
                  </w:r>
                </w:p>
              </w:tc>
              <w:tc>
                <w:tcPr>
                  <w:tcW w:w="588" w:type="pct"/>
                  <w:vAlign w:val="center"/>
                </w:tcPr>
                <w:p w14:paraId="3848FB80">
                  <w:pPr>
                    <w:pStyle w:val="29"/>
                    <w:rPr>
                      <w:sz w:val="21"/>
                      <w:szCs w:val="21"/>
                    </w:rPr>
                  </w:pPr>
                  <w:r>
                    <w:rPr>
                      <w:sz w:val="21"/>
                      <w:szCs w:val="21"/>
                    </w:rPr>
                    <w:t>0.048</w:t>
                  </w:r>
                </w:p>
              </w:tc>
              <w:tc>
                <w:tcPr>
                  <w:tcW w:w="468" w:type="pct"/>
                  <w:vAlign w:val="center"/>
                </w:tcPr>
                <w:p w14:paraId="62E5420D">
                  <w:pPr>
                    <w:pStyle w:val="29"/>
                    <w:rPr>
                      <w:sz w:val="21"/>
                      <w:szCs w:val="21"/>
                    </w:rPr>
                  </w:pPr>
                  <w:r>
                    <w:rPr>
                      <w:sz w:val="21"/>
                      <w:szCs w:val="21"/>
                    </w:rPr>
                    <w:t>/</w:t>
                  </w:r>
                </w:p>
              </w:tc>
              <w:tc>
                <w:tcPr>
                  <w:tcW w:w="557" w:type="pct"/>
                  <w:vAlign w:val="center"/>
                </w:tcPr>
                <w:p w14:paraId="1023E3C9">
                  <w:pPr>
                    <w:pStyle w:val="29"/>
                    <w:rPr>
                      <w:sz w:val="21"/>
                      <w:szCs w:val="21"/>
                    </w:rPr>
                  </w:pPr>
                  <w:r>
                    <w:rPr>
                      <w:sz w:val="21"/>
                      <w:szCs w:val="21"/>
                    </w:rPr>
                    <w:t>/</w:t>
                  </w:r>
                </w:p>
              </w:tc>
              <w:tc>
                <w:tcPr>
                  <w:tcW w:w="654" w:type="pct"/>
                  <w:shd w:val="clear" w:color="auto" w:fill="auto"/>
                  <w:vAlign w:val="center"/>
                </w:tcPr>
                <w:p w14:paraId="4BE6618C">
                  <w:pPr>
                    <w:pStyle w:val="29"/>
                    <w:rPr>
                      <w:sz w:val="21"/>
                      <w:szCs w:val="21"/>
                    </w:rPr>
                  </w:pPr>
                  <w:r>
                    <w:rPr>
                      <w:sz w:val="21"/>
                      <w:szCs w:val="21"/>
                    </w:rPr>
                    <w:t>10.3</w:t>
                  </w:r>
                </w:p>
              </w:tc>
              <w:tc>
                <w:tcPr>
                  <w:tcW w:w="579" w:type="pct"/>
                  <w:shd w:val="clear" w:color="auto" w:fill="auto"/>
                  <w:vAlign w:val="center"/>
                </w:tcPr>
                <w:p w14:paraId="6039154B">
                  <w:pPr>
                    <w:pStyle w:val="29"/>
                    <w:rPr>
                      <w:sz w:val="21"/>
                      <w:szCs w:val="21"/>
                    </w:rPr>
                  </w:pPr>
                  <w:r>
                    <w:rPr>
                      <w:sz w:val="21"/>
                      <w:szCs w:val="21"/>
                    </w:rPr>
                    <w:t>0.048</w:t>
                  </w:r>
                </w:p>
              </w:tc>
            </w:tr>
          </w:tbl>
          <w:p w14:paraId="6575742B">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4-16 项目综合废水排放情况表</w:t>
            </w:r>
          </w:p>
          <w:tbl>
            <w:tblPr>
              <w:tblStyle w:val="22"/>
              <w:tblW w:w="76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1542"/>
              <w:gridCol w:w="1043"/>
              <w:gridCol w:w="879"/>
              <w:gridCol w:w="842"/>
              <w:gridCol w:w="1809"/>
              <w:gridCol w:w="1539"/>
            </w:tblGrid>
            <w:tr w14:paraId="29A59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97" w:hRule="atLeast"/>
              </w:trPr>
              <w:tc>
                <w:tcPr>
                  <w:tcW w:w="1007" w:type="pct"/>
                  <w:vMerge w:val="restart"/>
                  <w:vAlign w:val="center"/>
                </w:tcPr>
                <w:p w14:paraId="65F675D4">
                  <w:pPr>
                    <w:pStyle w:val="29"/>
                    <w:rPr>
                      <w:b/>
                      <w:bCs/>
                      <w:sz w:val="21"/>
                      <w:szCs w:val="21"/>
                    </w:rPr>
                  </w:pPr>
                  <w:r>
                    <w:rPr>
                      <w:b/>
                      <w:bCs/>
                      <w:sz w:val="21"/>
                      <w:szCs w:val="21"/>
                    </w:rPr>
                    <w:t>类别</w:t>
                  </w:r>
                </w:p>
              </w:tc>
              <w:tc>
                <w:tcPr>
                  <w:tcW w:w="681" w:type="pct"/>
                  <w:vMerge w:val="restart"/>
                  <w:vAlign w:val="center"/>
                </w:tcPr>
                <w:p w14:paraId="3B13288C">
                  <w:pPr>
                    <w:pStyle w:val="29"/>
                    <w:rPr>
                      <w:b/>
                      <w:bCs/>
                      <w:sz w:val="21"/>
                      <w:szCs w:val="21"/>
                    </w:rPr>
                  </w:pPr>
                  <w:r>
                    <w:rPr>
                      <w:b/>
                      <w:bCs/>
                      <w:sz w:val="21"/>
                      <w:szCs w:val="21"/>
                    </w:rPr>
                    <w:t>污染物</w:t>
                  </w:r>
                </w:p>
                <w:p w14:paraId="6907573A">
                  <w:pPr>
                    <w:pStyle w:val="29"/>
                    <w:rPr>
                      <w:b/>
                      <w:bCs/>
                      <w:sz w:val="21"/>
                      <w:szCs w:val="21"/>
                    </w:rPr>
                  </w:pPr>
                  <w:r>
                    <w:rPr>
                      <w:b/>
                      <w:bCs/>
                      <w:sz w:val="21"/>
                      <w:szCs w:val="21"/>
                    </w:rPr>
                    <w:t>名称</w:t>
                  </w:r>
                </w:p>
              </w:tc>
              <w:tc>
                <w:tcPr>
                  <w:tcW w:w="1124" w:type="pct"/>
                  <w:gridSpan w:val="2"/>
                  <w:vAlign w:val="center"/>
                </w:tcPr>
                <w:p w14:paraId="59AA3A24">
                  <w:pPr>
                    <w:pStyle w:val="29"/>
                    <w:rPr>
                      <w:b/>
                      <w:bCs/>
                      <w:sz w:val="21"/>
                      <w:szCs w:val="21"/>
                    </w:rPr>
                  </w:pPr>
                  <w:r>
                    <w:rPr>
                      <w:b/>
                      <w:bCs/>
                      <w:sz w:val="21"/>
                      <w:szCs w:val="21"/>
                    </w:rPr>
                    <w:t>排放情况</w:t>
                  </w:r>
                </w:p>
              </w:tc>
              <w:tc>
                <w:tcPr>
                  <w:tcW w:w="1181" w:type="pct"/>
                  <w:vMerge w:val="restart"/>
                  <w:vAlign w:val="center"/>
                </w:tcPr>
                <w:p w14:paraId="72854A65">
                  <w:pPr>
                    <w:pStyle w:val="29"/>
                    <w:rPr>
                      <w:b/>
                      <w:bCs/>
                      <w:sz w:val="21"/>
                      <w:szCs w:val="21"/>
                    </w:rPr>
                  </w:pPr>
                  <w:r>
                    <w:rPr>
                      <w:b/>
                      <w:bCs/>
                      <w:sz w:val="21"/>
                      <w:szCs w:val="21"/>
                    </w:rPr>
                    <w:t>排放标准</w:t>
                  </w:r>
                </w:p>
              </w:tc>
              <w:tc>
                <w:tcPr>
                  <w:tcW w:w="1005" w:type="pct"/>
                  <w:vMerge w:val="restart"/>
                  <w:vAlign w:val="center"/>
                </w:tcPr>
                <w:p w14:paraId="7E84044A">
                  <w:pPr>
                    <w:pStyle w:val="29"/>
                    <w:rPr>
                      <w:b/>
                      <w:bCs/>
                      <w:sz w:val="21"/>
                      <w:szCs w:val="21"/>
                    </w:rPr>
                  </w:pPr>
                  <w:r>
                    <w:rPr>
                      <w:b/>
                      <w:bCs/>
                      <w:sz w:val="21"/>
                      <w:szCs w:val="21"/>
                    </w:rPr>
                    <w:t>标准限值（mg/L）</w:t>
                  </w:r>
                </w:p>
              </w:tc>
            </w:tr>
            <w:tr w14:paraId="550D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97" w:hRule="atLeast"/>
              </w:trPr>
              <w:tc>
                <w:tcPr>
                  <w:tcW w:w="1007" w:type="pct"/>
                  <w:vMerge w:val="continue"/>
                  <w:vAlign w:val="center"/>
                </w:tcPr>
                <w:p w14:paraId="50C4067F">
                  <w:pPr>
                    <w:pStyle w:val="29"/>
                    <w:rPr>
                      <w:sz w:val="21"/>
                      <w:szCs w:val="21"/>
                    </w:rPr>
                  </w:pPr>
                </w:p>
              </w:tc>
              <w:tc>
                <w:tcPr>
                  <w:tcW w:w="681" w:type="pct"/>
                  <w:vMerge w:val="continue"/>
                  <w:vAlign w:val="center"/>
                </w:tcPr>
                <w:p w14:paraId="0B3A0437">
                  <w:pPr>
                    <w:pStyle w:val="29"/>
                    <w:rPr>
                      <w:sz w:val="21"/>
                      <w:szCs w:val="21"/>
                    </w:rPr>
                  </w:pPr>
                </w:p>
              </w:tc>
              <w:tc>
                <w:tcPr>
                  <w:tcW w:w="574" w:type="pct"/>
                  <w:vAlign w:val="center"/>
                </w:tcPr>
                <w:p w14:paraId="4BC06FCC">
                  <w:pPr>
                    <w:pStyle w:val="29"/>
                    <w:rPr>
                      <w:b/>
                      <w:bCs/>
                      <w:sz w:val="21"/>
                      <w:szCs w:val="21"/>
                    </w:rPr>
                  </w:pPr>
                  <w:r>
                    <w:rPr>
                      <w:b/>
                      <w:bCs/>
                      <w:sz w:val="21"/>
                      <w:szCs w:val="21"/>
                    </w:rPr>
                    <w:t>排放浓度mg/m</w:t>
                  </w:r>
                  <w:r>
                    <w:rPr>
                      <w:b/>
                      <w:bCs/>
                      <w:sz w:val="21"/>
                      <w:szCs w:val="21"/>
                      <w:vertAlign w:val="superscript"/>
                    </w:rPr>
                    <w:t>3</w:t>
                  </w:r>
                </w:p>
              </w:tc>
              <w:tc>
                <w:tcPr>
                  <w:tcW w:w="550" w:type="pct"/>
                  <w:vAlign w:val="center"/>
                </w:tcPr>
                <w:p w14:paraId="308DB954">
                  <w:pPr>
                    <w:pStyle w:val="29"/>
                    <w:rPr>
                      <w:b/>
                      <w:bCs/>
                      <w:sz w:val="21"/>
                      <w:szCs w:val="21"/>
                    </w:rPr>
                  </w:pPr>
                  <w:r>
                    <w:rPr>
                      <w:b/>
                      <w:bCs/>
                      <w:sz w:val="21"/>
                      <w:szCs w:val="21"/>
                    </w:rPr>
                    <w:t>排放量t/a</w:t>
                  </w:r>
                </w:p>
              </w:tc>
              <w:tc>
                <w:tcPr>
                  <w:tcW w:w="1181" w:type="pct"/>
                  <w:vMerge w:val="continue"/>
                  <w:vAlign w:val="center"/>
                </w:tcPr>
                <w:p w14:paraId="480BABA6">
                  <w:pPr>
                    <w:pStyle w:val="29"/>
                    <w:rPr>
                      <w:sz w:val="21"/>
                      <w:szCs w:val="21"/>
                    </w:rPr>
                  </w:pPr>
                </w:p>
              </w:tc>
              <w:tc>
                <w:tcPr>
                  <w:tcW w:w="1005" w:type="pct"/>
                  <w:vMerge w:val="continue"/>
                  <w:vAlign w:val="center"/>
                </w:tcPr>
                <w:p w14:paraId="02C4DADF">
                  <w:pPr>
                    <w:pStyle w:val="29"/>
                    <w:rPr>
                      <w:sz w:val="21"/>
                      <w:szCs w:val="21"/>
                    </w:rPr>
                  </w:pPr>
                </w:p>
              </w:tc>
            </w:tr>
            <w:tr w14:paraId="3A095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97" w:hRule="atLeast"/>
              </w:trPr>
              <w:tc>
                <w:tcPr>
                  <w:tcW w:w="1007" w:type="pct"/>
                  <w:vMerge w:val="restart"/>
                  <w:vAlign w:val="center"/>
                </w:tcPr>
                <w:p w14:paraId="7AA1DF69">
                  <w:pPr>
                    <w:pStyle w:val="29"/>
                    <w:rPr>
                      <w:sz w:val="21"/>
                      <w:szCs w:val="21"/>
                    </w:rPr>
                  </w:pPr>
                  <w:r>
                    <w:rPr>
                      <w:sz w:val="21"/>
                      <w:szCs w:val="21"/>
                    </w:rPr>
                    <w:t>综合废水</w:t>
                  </w:r>
                </w:p>
                <w:p w14:paraId="2F04ACFE">
                  <w:pPr>
                    <w:pStyle w:val="29"/>
                    <w:rPr>
                      <w:sz w:val="21"/>
                      <w:szCs w:val="21"/>
                    </w:rPr>
                  </w:pPr>
                  <w:r>
                    <w:rPr>
                      <w:sz w:val="21"/>
                      <w:szCs w:val="21"/>
                    </w:rPr>
                    <w:t>（5140.78m</w:t>
                  </w:r>
                  <w:r>
                    <w:rPr>
                      <w:sz w:val="21"/>
                      <w:szCs w:val="21"/>
                      <w:vertAlign w:val="superscript"/>
                    </w:rPr>
                    <w:t>3</w:t>
                  </w:r>
                  <w:r>
                    <w:rPr>
                      <w:sz w:val="21"/>
                      <w:szCs w:val="21"/>
                    </w:rPr>
                    <w:t>/a）</w:t>
                  </w:r>
                </w:p>
              </w:tc>
              <w:tc>
                <w:tcPr>
                  <w:tcW w:w="681" w:type="pct"/>
                  <w:vAlign w:val="center"/>
                </w:tcPr>
                <w:p w14:paraId="616D4AD6">
                  <w:pPr>
                    <w:pStyle w:val="29"/>
                    <w:rPr>
                      <w:sz w:val="21"/>
                      <w:szCs w:val="21"/>
                    </w:rPr>
                  </w:pPr>
                  <w:r>
                    <w:rPr>
                      <w:sz w:val="21"/>
                      <w:szCs w:val="21"/>
                    </w:rPr>
                    <w:t>CODcr</w:t>
                  </w:r>
                </w:p>
              </w:tc>
              <w:tc>
                <w:tcPr>
                  <w:tcW w:w="574" w:type="pct"/>
                  <w:vAlign w:val="center"/>
                </w:tcPr>
                <w:p w14:paraId="38DCE748">
                  <w:pPr>
                    <w:pStyle w:val="29"/>
                    <w:rPr>
                      <w:sz w:val="21"/>
                      <w:szCs w:val="21"/>
                    </w:rPr>
                  </w:pPr>
                  <w:r>
                    <w:rPr>
                      <w:sz w:val="21"/>
                      <w:szCs w:val="21"/>
                    </w:rPr>
                    <w:t>31.2</w:t>
                  </w:r>
                </w:p>
              </w:tc>
              <w:tc>
                <w:tcPr>
                  <w:tcW w:w="550" w:type="pct"/>
                  <w:vAlign w:val="center"/>
                </w:tcPr>
                <w:p w14:paraId="0DA19272">
                  <w:pPr>
                    <w:pStyle w:val="29"/>
                    <w:rPr>
                      <w:sz w:val="21"/>
                      <w:szCs w:val="21"/>
                    </w:rPr>
                  </w:pPr>
                  <w:r>
                    <w:rPr>
                      <w:sz w:val="21"/>
                      <w:szCs w:val="21"/>
                    </w:rPr>
                    <w:t>0.16</w:t>
                  </w:r>
                </w:p>
              </w:tc>
              <w:tc>
                <w:tcPr>
                  <w:tcW w:w="1181" w:type="pct"/>
                  <w:vMerge w:val="restart"/>
                  <w:vAlign w:val="center"/>
                </w:tcPr>
                <w:p w14:paraId="0A7BD85D">
                  <w:pPr>
                    <w:pStyle w:val="29"/>
                    <w:rPr>
                      <w:sz w:val="21"/>
                      <w:szCs w:val="21"/>
                    </w:rPr>
                  </w:pPr>
                  <w:r>
                    <w:rPr>
                      <w:sz w:val="21"/>
                      <w:szCs w:val="21"/>
                    </w:rPr>
                    <w:t>《污水综合排放标准》（GB8978-1996）中三级标准</w:t>
                  </w:r>
                </w:p>
                <w:p w14:paraId="4C281D0F">
                  <w:pPr>
                    <w:pStyle w:val="29"/>
                    <w:rPr>
                      <w:sz w:val="21"/>
                      <w:szCs w:val="21"/>
                    </w:rPr>
                  </w:pPr>
                  <w:r>
                    <w:rPr>
                      <w:rFonts w:hint="default" w:ascii="Times New Roman" w:hAnsi="Times New Roman" w:cs="Times New Roman"/>
                      <w:sz w:val="21"/>
                      <w:szCs w:val="21"/>
                      <w:lang w:eastAsia="zh-CN"/>
                    </w:rPr>
                    <w:t>淮南首创八公山污水处理厂</w:t>
                  </w:r>
                  <w:r>
                    <w:rPr>
                      <w:sz w:val="21"/>
                      <w:szCs w:val="21"/>
                    </w:rPr>
                    <w:t>接管标准</w:t>
                  </w:r>
                </w:p>
              </w:tc>
              <w:tc>
                <w:tcPr>
                  <w:tcW w:w="1005" w:type="pct"/>
                  <w:vAlign w:val="center"/>
                </w:tcPr>
                <w:p w14:paraId="39EFA7E9">
                  <w:pPr>
                    <w:pStyle w:val="29"/>
                    <w:rPr>
                      <w:sz w:val="21"/>
                      <w:szCs w:val="21"/>
                    </w:rPr>
                  </w:pPr>
                  <w:r>
                    <w:rPr>
                      <w:sz w:val="21"/>
                      <w:szCs w:val="21"/>
                    </w:rPr>
                    <w:t>500</w:t>
                  </w:r>
                </w:p>
              </w:tc>
            </w:tr>
            <w:tr w14:paraId="139F9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97" w:hRule="atLeast"/>
              </w:trPr>
              <w:tc>
                <w:tcPr>
                  <w:tcW w:w="1007" w:type="pct"/>
                  <w:vMerge w:val="continue"/>
                  <w:vAlign w:val="center"/>
                </w:tcPr>
                <w:p w14:paraId="13A2A0C7">
                  <w:pPr>
                    <w:pStyle w:val="29"/>
                    <w:rPr>
                      <w:sz w:val="21"/>
                      <w:szCs w:val="21"/>
                    </w:rPr>
                  </w:pPr>
                </w:p>
              </w:tc>
              <w:tc>
                <w:tcPr>
                  <w:tcW w:w="681" w:type="pct"/>
                  <w:vAlign w:val="center"/>
                </w:tcPr>
                <w:p w14:paraId="60FEB640">
                  <w:pPr>
                    <w:pStyle w:val="29"/>
                    <w:rPr>
                      <w:sz w:val="21"/>
                      <w:szCs w:val="21"/>
                    </w:rPr>
                  </w:pPr>
                  <w:r>
                    <w:rPr>
                      <w:sz w:val="21"/>
                      <w:szCs w:val="21"/>
                    </w:rPr>
                    <w:t>SS</w:t>
                  </w:r>
                </w:p>
              </w:tc>
              <w:tc>
                <w:tcPr>
                  <w:tcW w:w="574" w:type="pct"/>
                  <w:vAlign w:val="center"/>
                </w:tcPr>
                <w:p w14:paraId="26A2ABCA">
                  <w:pPr>
                    <w:pStyle w:val="29"/>
                    <w:rPr>
                      <w:sz w:val="21"/>
                      <w:szCs w:val="21"/>
                    </w:rPr>
                  </w:pPr>
                  <w:r>
                    <w:rPr>
                      <w:sz w:val="21"/>
                      <w:szCs w:val="21"/>
                    </w:rPr>
                    <w:t>7.8</w:t>
                  </w:r>
                </w:p>
              </w:tc>
              <w:tc>
                <w:tcPr>
                  <w:tcW w:w="550" w:type="pct"/>
                  <w:vAlign w:val="center"/>
                </w:tcPr>
                <w:p w14:paraId="49A5257F">
                  <w:pPr>
                    <w:pStyle w:val="29"/>
                    <w:rPr>
                      <w:sz w:val="21"/>
                      <w:szCs w:val="21"/>
                    </w:rPr>
                  </w:pPr>
                  <w:r>
                    <w:rPr>
                      <w:sz w:val="21"/>
                      <w:szCs w:val="21"/>
                    </w:rPr>
                    <w:t xml:space="preserve">0.040 </w:t>
                  </w:r>
                </w:p>
              </w:tc>
              <w:tc>
                <w:tcPr>
                  <w:tcW w:w="1181" w:type="pct"/>
                  <w:vMerge w:val="continue"/>
                  <w:vAlign w:val="center"/>
                </w:tcPr>
                <w:p w14:paraId="5F9C4D0E">
                  <w:pPr>
                    <w:pStyle w:val="29"/>
                    <w:rPr>
                      <w:sz w:val="21"/>
                      <w:szCs w:val="21"/>
                    </w:rPr>
                  </w:pPr>
                </w:p>
              </w:tc>
              <w:tc>
                <w:tcPr>
                  <w:tcW w:w="1005" w:type="pct"/>
                  <w:vAlign w:val="center"/>
                </w:tcPr>
                <w:p w14:paraId="0A44FCB6">
                  <w:pPr>
                    <w:pStyle w:val="29"/>
                    <w:rPr>
                      <w:sz w:val="21"/>
                      <w:szCs w:val="21"/>
                    </w:rPr>
                  </w:pPr>
                  <w:r>
                    <w:rPr>
                      <w:sz w:val="21"/>
                      <w:szCs w:val="21"/>
                    </w:rPr>
                    <w:t>400</w:t>
                  </w:r>
                </w:p>
              </w:tc>
            </w:tr>
            <w:tr w14:paraId="14212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97" w:hRule="atLeast"/>
              </w:trPr>
              <w:tc>
                <w:tcPr>
                  <w:tcW w:w="1007" w:type="pct"/>
                  <w:vMerge w:val="continue"/>
                  <w:vAlign w:val="center"/>
                </w:tcPr>
                <w:p w14:paraId="6C8F6A76">
                  <w:pPr>
                    <w:pStyle w:val="29"/>
                    <w:rPr>
                      <w:sz w:val="21"/>
                      <w:szCs w:val="21"/>
                    </w:rPr>
                  </w:pPr>
                </w:p>
              </w:tc>
              <w:tc>
                <w:tcPr>
                  <w:tcW w:w="681" w:type="pct"/>
                  <w:vAlign w:val="center"/>
                </w:tcPr>
                <w:p w14:paraId="54F42CA6">
                  <w:pPr>
                    <w:pStyle w:val="29"/>
                    <w:rPr>
                      <w:sz w:val="21"/>
                      <w:szCs w:val="21"/>
                    </w:rPr>
                  </w:pPr>
                  <w:r>
                    <w:rPr>
                      <w:sz w:val="21"/>
                      <w:szCs w:val="21"/>
                    </w:rPr>
                    <w:t>NH</w:t>
                  </w:r>
                  <w:r>
                    <w:rPr>
                      <w:sz w:val="21"/>
                      <w:szCs w:val="21"/>
                      <w:vertAlign w:val="subscript"/>
                    </w:rPr>
                    <w:t>3</w:t>
                  </w:r>
                  <w:r>
                    <w:rPr>
                      <w:sz w:val="21"/>
                      <w:szCs w:val="21"/>
                    </w:rPr>
                    <w:t>-N</w:t>
                  </w:r>
                </w:p>
              </w:tc>
              <w:tc>
                <w:tcPr>
                  <w:tcW w:w="574" w:type="pct"/>
                  <w:vAlign w:val="center"/>
                </w:tcPr>
                <w:p w14:paraId="3661B8D8">
                  <w:pPr>
                    <w:pStyle w:val="29"/>
                    <w:rPr>
                      <w:sz w:val="21"/>
                      <w:szCs w:val="21"/>
                    </w:rPr>
                  </w:pPr>
                  <w:r>
                    <w:rPr>
                      <w:sz w:val="21"/>
                      <w:szCs w:val="21"/>
                    </w:rPr>
                    <w:t>2.54</w:t>
                  </w:r>
                </w:p>
              </w:tc>
              <w:tc>
                <w:tcPr>
                  <w:tcW w:w="550" w:type="pct"/>
                  <w:vAlign w:val="center"/>
                </w:tcPr>
                <w:p w14:paraId="5DFCF675">
                  <w:pPr>
                    <w:pStyle w:val="29"/>
                    <w:rPr>
                      <w:sz w:val="21"/>
                      <w:szCs w:val="21"/>
                    </w:rPr>
                  </w:pPr>
                  <w:r>
                    <w:rPr>
                      <w:sz w:val="21"/>
                      <w:szCs w:val="21"/>
                    </w:rPr>
                    <w:t>0.0065</w:t>
                  </w:r>
                </w:p>
              </w:tc>
              <w:tc>
                <w:tcPr>
                  <w:tcW w:w="1181" w:type="pct"/>
                  <w:vMerge w:val="continue"/>
                  <w:vAlign w:val="center"/>
                </w:tcPr>
                <w:p w14:paraId="4C87C4FD">
                  <w:pPr>
                    <w:pStyle w:val="29"/>
                    <w:rPr>
                      <w:sz w:val="21"/>
                      <w:szCs w:val="21"/>
                    </w:rPr>
                  </w:pPr>
                </w:p>
              </w:tc>
              <w:tc>
                <w:tcPr>
                  <w:tcW w:w="1005" w:type="pct"/>
                  <w:vAlign w:val="center"/>
                </w:tcPr>
                <w:p w14:paraId="0F9CF9A0">
                  <w:pPr>
                    <w:pStyle w:val="29"/>
                    <w:rPr>
                      <w:sz w:val="21"/>
                      <w:szCs w:val="21"/>
                    </w:rPr>
                  </w:pPr>
                  <w:r>
                    <w:rPr>
                      <w:sz w:val="21"/>
                      <w:szCs w:val="21"/>
                    </w:rPr>
                    <w:t>45</w:t>
                  </w:r>
                </w:p>
              </w:tc>
            </w:tr>
          </w:tbl>
          <w:p w14:paraId="581C29E4">
            <w:pPr>
              <w:pStyle w:val="40"/>
              <w:adjustRightInd w:val="0"/>
              <w:snapToGrid w:val="0"/>
              <w:spacing w:before="157" w:beforeLines="50" w:line="360" w:lineRule="auto"/>
              <w:ind w:firstLine="0" w:firstLineChars="0"/>
              <w:rPr>
                <w:rFonts w:hint="default" w:ascii="Times New Roman" w:hAnsi="Times New Roman" w:cs="Times New Roman"/>
              </w:rPr>
            </w:pPr>
            <w:r>
              <w:rPr>
                <w:rFonts w:hint="default" w:ascii="Times New Roman" w:hAnsi="Times New Roman" w:cs="Times New Roman"/>
              </w:rPr>
              <w:t>4.3.2废水排放去向</w:t>
            </w:r>
          </w:p>
          <w:p w14:paraId="3A02F74E">
            <w:pPr>
              <w:pStyle w:val="37"/>
              <w:ind w:firstLine="480"/>
              <w:rPr>
                <w:rFonts w:hint="default" w:ascii="Times New Roman" w:hAnsi="Times New Roman" w:cs="Times New Roman"/>
              </w:rPr>
            </w:pPr>
            <w:r>
              <w:rPr>
                <w:rFonts w:hint="default" w:ascii="Times New Roman" w:hAnsi="Times New Roman" w:cs="Times New Roman"/>
              </w:rPr>
              <w:t>本项目废水主要为生活污水和</w:t>
            </w:r>
            <w:r>
              <w:rPr>
                <w:rFonts w:hint="default" w:ascii="Times New Roman" w:hAnsi="Times New Roman" w:cs="Times New Roman"/>
                <w:bCs/>
                <w:snapToGrid w:val="0"/>
                <w:shd w:val="clear" w:color="auto" w:fill="FFFFFF"/>
              </w:rPr>
              <w:t>锅炉废水</w:t>
            </w:r>
            <w:r>
              <w:rPr>
                <w:rFonts w:hint="default" w:ascii="Times New Roman" w:hAnsi="Times New Roman" w:cs="Times New Roman"/>
              </w:rPr>
              <w:t>，废水总排放量为5140.78t/a（15.57t/d），员工生活污水进入化粪池处理后经市政污水管网排入</w:t>
            </w:r>
            <w:r>
              <w:rPr>
                <w:rFonts w:hint="default" w:ascii="Times New Roman" w:hAnsi="Times New Roman" w:cs="Times New Roman"/>
                <w:lang w:eastAsia="zh-CN"/>
              </w:rPr>
              <w:t>淮南首创八公山污水处理厂</w:t>
            </w:r>
            <w:r>
              <w:rPr>
                <w:rFonts w:hint="default" w:ascii="Times New Roman" w:hAnsi="Times New Roman" w:cs="Times New Roman"/>
              </w:rPr>
              <w:t>；</w:t>
            </w:r>
            <w:r>
              <w:rPr>
                <w:rFonts w:hint="default" w:ascii="Times New Roman" w:hAnsi="Times New Roman" w:cs="Times New Roman"/>
                <w:bCs/>
                <w:snapToGrid w:val="0"/>
                <w:shd w:val="clear" w:color="auto" w:fill="FFFFFF"/>
              </w:rPr>
              <w:t>锅炉废水经新建排污口DW001依托园区污水管网排入</w:t>
            </w:r>
            <w:r>
              <w:rPr>
                <w:rFonts w:hint="default" w:ascii="Times New Roman" w:hAnsi="Times New Roman" w:cs="Times New Roman"/>
                <w:lang w:eastAsia="zh-CN"/>
              </w:rPr>
              <w:t>淮南首创八公山污水处理厂</w:t>
            </w:r>
            <w:r>
              <w:rPr>
                <w:rFonts w:hint="default" w:ascii="Times New Roman" w:hAnsi="Times New Roman" w:cs="Times New Roman"/>
              </w:rPr>
              <w:t>进一步处理后汇入淮河（淮南段）。项目综合废水排放从严执行《污水综合排放标准》（GB8978-1996）中三级标准和</w:t>
            </w:r>
            <w:r>
              <w:rPr>
                <w:rFonts w:hint="default" w:ascii="Times New Roman" w:hAnsi="Times New Roman" w:cs="Times New Roman"/>
                <w:lang w:eastAsia="zh-CN"/>
              </w:rPr>
              <w:t>淮南首创</w:t>
            </w:r>
            <w:r>
              <w:rPr>
                <w:rFonts w:hint="default" w:ascii="Times New Roman" w:hAnsi="Times New Roman" w:cs="Times New Roman"/>
              </w:rPr>
              <w:t>八公山污水处理厂接管标准。</w:t>
            </w:r>
            <w:r>
              <w:rPr>
                <w:rFonts w:hint="default" w:ascii="Times New Roman" w:hAnsi="Times New Roman" w:cs="Times New Roman"/>
                <w:lang w:eastAsia="zh-CN"/>
              </w:rPr>
              <w:t>淮南首创</w:t>
            </w:r>
            <w:r>
              <w:rPr>
                <w:rFonts w:hint="default" w:ascii="Times New Roman" w:hAnsi="Times New Roman" w:cs="Times New Roman"/>
              </w:rPr>
              <w:t>八公山污水处理厂尾水出水水质执行《城镇污水处理厂污染物排放标准》（GB18918-2002）一级A标准。</w:t>
            </w:r>
          </w:p>
          <w:p w14:paraId="04DDDAAD">
            <w:pPr>
              <w:pStyle w:val="37"/>
              <w:ind w:firstLine="0" w:firstLineChars="0"/>
              <w:rPr>
                <w:rFonts w:hint="default" w:ascii="Times New Roman" w:hAnsi="Times New Roman" w:cs="Times New Roman"/>
                <w:b/>
                <w:bCs/>
              </w:rPr>
            </w:pPr>
            <w:r>
              <w:rPr>
                <w:rFonts w:hint="default" w:ascii="Times New Roman" w:hAnsi="Times New Roman" w:cs="Times New Roman"/>
                <w:b/>
                <w:bCs/>
              </w:rPr>
              <w:t>4.3.3废水处理依托污水处理厂处理可行性分析</w:t>
            </w:r>
          </w:p>
          <w:p w14:paraId="4E1ADA6A">
            <w:pPr>
              <w:ind w:firstLine="482" w:firstLineChars="200"/>
              <w:rPr>
                <w:rFonts w:hint="default" w:ascii="Times New Roman" w:hAnsi="Times New Roman" w:cs="Times New Roman"/>
                <w:b/>
                <w:bCs/>
              </w:rPr>
            </w:pPr>
            <w:r>
              <w:rPr>
                <w:rFonts w:hint="default" w:ascii="Times New Roman" w:hAnsi="Times New Roman" w:cs="Times New Roman"/>
                <w:b/>
                <w:bCs/>
              </w:rPr>
              <w:t>（1）淮南首创八公山污水处理厂现状</w:t>
            </w:r>
          </w:p>
          <w:p w14:paraId="7739FDDB">
            <w:pPr>
              <w:ind w:firstLine="480" w:firstLineChars="200"/>
              <w:rPr>
                <w:rFonts w:hint="default" w:ascii="Times New Roman" w:hAnsi="Times New Roman" w:cs="Times New Roman"/>
              </w:rPr>
            </w:pPr>
            <w:r>
              <w:rPr>
                <w:rFonts w:hint="default" w:ascii="Times New Roman" w:hAnsi="Times New Roman" w:cs="Times New Roman"/>
              </w:rPr>
              <w:t>淮南首创八公山污水处理厂（即淮南市西部污水处理厂）位于八公山区北郊，东临蔡新路，北临皖淮机械厂铁路专用线，于2003年3月5日取得环评批复（环监〔2003〕31号），服务范围为淮南市西部八公山、谢家集区和李郢孜镇，共计集污面积约19.5km</w:t>
            </w:r>
            <w:r>
              <w:rPr>
                <w:rFonts w:hint="default" w:ascii="Times New Roman" w:hAnsi="Times New Roman" w:cs="Times New Roman"/>
                <w:vertAlign w:val="superscript"/>
              </w:rPr>
              <w:t>2</w:t>
            </w:r>
            <w:r>
              <w:rPr>
                <w:rFonts w:hint="default" w:ascii="Times New Roman" w:hAnsi="Times New Roman" w:cs="Times New Roman"/>
              </w:rPr>
              <w:t>，服务范围内污水总量约10万m³/d。污水处理厂污水分别经粗格栅、细格栅、沉砂池预处理后由厌氧池、氧化沟进行生化处理，污水经厌氧池、氧化沟和二沉池处理后排放，二沉池污泥一部分回流至厌氧沟，剩余污泥经浓缩脱水一体化设备浓缩脱水为泥饼后外运。</w:t>
            </w:r>
          </w:p>
          <w:p w14:paraId="06CCA33D">
            <w:pPr>
              <w:jc w:val="center"/>
              <w:rPr>
                <w:rFonts w:hint="default" w:ascii="Times New Roman" w:hAnsi="Times New Roman" w:cs="Times New Roman"/>
              </w:rPr>
            </w:pPr>
            <w:r>
              <w:rPr>
                <w:rFonts w:hint="default" w:ascii="Times New Roman" w:hAnsi="Times New Roman" w:cs="Times New Roman"/>
              </w:rPr>
              <w:drawing>
                <wp:inline distT="0" distB="0" distL="114300" distR="114300">
                  <wp:extent cx="4930775" cy="1224915"/>
                  <wp:effectExtent l="0" t="0" r="3175" b="1333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35"/>
                          <a:stretch>
                            <a:fillRect/>
                          </a:stretch>
                        </pic:blipFill>
                        <pic:spPr>
                          <a:xfrm>
                            <a:off x="0" y="0"/>
                            <a:ext cx="4930775" cy="1224915"/>
                          </a:xfrm>
                          <a:prstGeom prst="rect">
                            <a:avLst/>
                          </a:prstGeom>
                          <a:noFill/>
                          <a:ln>
                            <a:noFill/>
                          </a:ln>
                        </pic:spPr>
                      </pic:pic>
                    </a:graphicData>
                  </a:graphic>
                </wp:inline>
              </w:drawing>
            </w:r>
          </w:p>
          <w:p w14:paraId="739F0531">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图 4-</w:t>
            </w:r>
            <w:r>
              <w:rPr>
                <w:rFonts w:hint="default" w:ascii="Times New Roman" w:hAnsi="Times New Roman" w:cs="Times New Roman"/>
                <w:b/>
                <w:kern w:val="0"/>
                <w:sz w:val="21"/>
                <w:szCs w:val="22"/>
              </w:rPr>
              <w:fldChar w:fldCharType="begin"/>
            </w:r>
            <w:r>
              <w:rPr>
                <w:rFonts w:hint="default" w:ascii="Times New Roman" w:hAnsi="Times New Roman" w:cs="Times New Roman"/>
                <w:b/>
                <w:kern w:val="0"/>
                <w:sz w:val="21"/>
                <w:szCs w:val="22"/>
              </w:rPr>
              <w:instrText xml:space="preserve"> SEQ 图 \* ARABIC \s 1 </w:instrText>
            </w:r>
            <w:r>
              <w:rPr>
                <w:rFonts w:hint="default" w:ascii="Times New Roman" w:hAnsi="Times New Roman" w:cs="Times New Roman"/>
                <w:b/>
                <w:kern w:val="0"/>
                <w:sz w:val="21"/>
                <w:szCs w:val="22"/>
              </w:rPr>
              <w:fldChar w:fldCharType="separate"/>
            </w:r>
            <w:r>
              <w:rPr>
                <w:rFonts w:hint="default" w:ascii="Times New Roman" w:hAnsi="Times New Roman" w:cs="Times New Roman"/>
                <w:b/>
                <w:kern w:val="0"/>
                <w:sz w:val="21"/>
                <w:szCs w:val="22"/>
              </w:rPr>
              <w:t>1</w:t>
            </w:r>
            <w:r>
              <w:rPr>
                <w:rFonts w:hint="default" w:ascii="Times New Roman" w:hAnsi="Times New Roman" w:cs="Times New Roman"/>
                <w:b/>
                <w:kern w:val="0"/>
                <w:sz w:val="21"/>
                <w:szCs w:val="22"/>
              </w:rPr>
              <w:fldChar w:fldCharType="end"/>
            </w:r>
            <w:r>
              <w:rPr>
                <w:rFonts w:hint="default" w:ascii="Times New Roman" w:hAnsi="Times New Roman" w:cs="Times New Roman"/>
                <w:b/>
                <w:kern w:val="0"/>
                <w:sz w:val="21"/>
                <w:szCs w:val="22"/>
              </w:rPr>
              <w:t xml:space="preserve"> 污水处理厂污水处理工艺流程简图</w:t>
            </w:r>
          </w:p>
          <w:p w14:paraId="3697252F">
            <w:pPr>
              <w:ind w:firstLine="480"/>
              <w:rPr>
                <w:rFonts w:hint="default" w:ascii="Times New Roman" w:hAnsi="Times New Roman" w:cs="Times New Roman"/>
              </w:rPr>
            </w:pPr>
            <w:r>
              <w:rPr>
                <w:rFonts w:hint="default" w:ascii="Times New Roman" w:hAnsi="Times New Roman" w:cs="Times New Roman"/>
              </w:rPr>
              <w:t>2014年淮南首创水务八公山污水处理厂提标改造工程已经淮南市发展和改革委员会同意立项。处理能力仍为10万m³/d，本次提标改造污水处理设计采用ARP/SSH+絮凝沉淀滤布滤池过滤工艺，设计出水达到《城镇污水处理厂污染物排放标准》（GB18918－2002）一级A标准。主要工程内容为：将厌氧池改造为ARP/SSH，新增絮凝沉淀滤布滤池、反冲洗废水池、变配电间和加药间等，以及对现有氧化沟、回流泵房进行改造。</w:t>
            </w:r>
          </w:p>
          <w:p w14:paraId="5F7A43A1">
            <w:pPr>
              <w:rPr>
                <w:rFonts w:hint="default" w:ascii="Times New Roman" w:hAnsi="Times New Roman" w:cs="Times New Roman"/>
                <w:b/>
                <w:bCs/>
              </w:rPr>
            </w:pPr>
            <w:r>
              <w:rPr>
                <w:rFonts w:hint="default" w:ascii="Times New Roman" w:hAnsi="Times New Roman" w:cs="Times New Roman"/>
                <w:b/>
                <w:bCs/>
              </w:rPr>
              <w:t>（2）依托设施可行性分析</w:t>
            </w:r>
          </w:p>
          <w:p w14:paraId="7081633C">
            <w:pPr>
              <w:ind w:firstLine="482" w:firstLineChars="200"/>
              <w:rPr>
                <w:rFonts w:hint="default" w:ascii="Times New Roman" w:hAnsi="Times New Roman" w:cs="Times New Roman"/>
              </w:rPr>
            </w:pPr>
            <w:r>
              <w:rPr>
                <w:rFonts w:hint="default" w:ascii="Times New Roman" w:hAnsi="Times New Roman" w:cs="Times New Roman"/>
                <w:b/>
                <w:bCs/>
              </w:rPr>
              <w:t>①从水量角度分析</w:t>
            </w:r>
          </w:p>
          <w:p w14:paraId="2EC8D648">
            <w:pPr>
              <w:ind w:firstLine="480" w:firstLineChars="200"/>
              <w:rPr>
                <w:rFonts w:hint="default" w:ascii="Times New Roman" w:hAnsi="Times New Roman" w:cs="Times New Roman"/>
              </w:rPr>
            </w:pPr>
            <w:r>
              <w:rPr>
                <w:rFonts w:hint="default" w:ascii="Times New Roman" w:hAnsi="Times New Roman" w:cs="Times New Roman"/>
              </w:rPr>
              <w:t>本项目污水满足《污水综合排放标准》（GB8978-1996）三级标准和</w:t>
            </w:r>
            <w:r>
              <w:rPr>
                <w:rFonts w:hint="default" w:ascii="Times New Roman" w:hAnsi="Times New Roman" w:cs="Times New Roman"/>
                <w:lang w:eastAsia="zh-CN"/>
              </w:rPr>
              <w:t>淮南首创</w:t>
            </w:r>
            <w:r>
              <w:rPr>
                <w:rFonts w:hint="default" w:ascii="Times New Roman" w:hAnsi="Times New Roman" w:cs="Times New Roman"/>
              </w:rPr>
              <w:t>八公山污水处理厂接管进水水质要求，项目排放废水量为2.216m</w:t>
            </w:r>
            <w:r>
              <w:rPr>
                <w:rFonts w:hint="default" w:ascii="Times New Roman" w:hAnsi="Times New Roman" w:cs="Times New Roman"/>
                <w:vertAlign w:val="superscript"/>
              </w:rPr>
              <w:t>3</w:t>
            </w:r>
            <w:r>
              <w:rPr>
                <w:rFonts w:hint="default" w:ascii="Times New Roman" w:hAnsi="Times New Roman" w:cs="Times New Roman"/>
              </w:rPr>
              <w:t>/d，占</w:t>
            </w:r>
            <w:r>
              <w:rPr>
                <w:rFonts w:hint="default" w:ascii="Times New Roman" w:hAnsi="Times New Roman" w:cs="Times New Roman"/>
                <w:lang w:eastAsia="zh-CN"/>
              </w:rPr>
              <w:t>淮南首创</w:t>
            </w:r>
            <w:r>
              <w:rPr>
                <w:rFonts w:hint="default" w:ascii="Times New Roman" w:hAnsi="Times New Roman" w:cs="Times New Roman"/>
              </w:rPr>
              <w:t>八公山污水处理厂设计处理能力10万m</w:t>
            </w:r>
            <w:r>
              <w:rPr>
                <w:rFonts w:hint="default" w:ascii="Times New Roman" w:hAnsi="Times New Roman" w:cs="Times New Roman"/>
                <w:vertAlign w:val="superscript"/>
              </w:rPr>
              <w:t>3</w:t>
            </w:r>
            <w:r>
              <w:rPr>
                <w:rFonts w:hint="default" w:ascii="Times New Roman" w:hAnsi="Times New Roman" w:cs="Times New Roman"/>
              </w:rPr>
              <w:t>/d的0.0022%，水量占比很小。污水处理厂的处理能力远远大于污水产生量，因此本项目产生的污水不会对污水处理厂造成冲击影响。</w:t>
            </w:r>
          </w:p>
          <w:p w14:paraId="69D147C5">
            <w:pPr>
              <w:ind w:firstLine="482" w:firstLineChars="200"/>
              <w:rPr>
                <w:rFonts w:hint="default" w:ascii="Times New Roman" w:hAnsi="Times New Roman" w:cs="Times New Roman"/>
                <w:b/>
                <w:bCs/>
              </w:rPr>
            </w:pPr>
            <w:r>
              <w:rPr>
                <w:rFonts w:hint="default" w:ascii="Times New Roman" w:hAnsi="Times New Roman" w:cs="Times New Roman"/>
                <w:b/>
                <w:bCs/>
              </w:rPr>
              <w:t>②从水质角度分析</w:t>
            </w:r>
          </w:p>
          <w:p w14:paraId="1CBB3293">
            <w:pPr>
              <w:ind w:firstLine="480" w:firstLineChars="200"/>
              <w:rPr>
                <w:rFonts w:hint="default" w:ascii="Times New Roman" w:hAnsi="Times New Roman" w:cs="Times New Roman"/>
              </w:rPr>
            </w:pPr>
            <w:r>
              <w:rPr>
                <w:rFonts w:hint="default" w:ascii="Times New Roman" w:hAnsi="Times New Roman" w:cs="Times New Roman"/>
              </w:rPr>
              <w:t>拟建项目出水水质pH、CODcr、BOD</w:t>
            </w:r>
            <w:r>
              <w:rPr>
                <w:rFonts w:hint="default" w:ascii="Times New Roman" w:hAnsi="Times New Roman" w:cs="Times New Roman"/>
                <w:vertAlign w:val="subscript"/>
              </w:rPr>
              <w:t>5</w:t>
            </w:r>
            <w:r>
              <w:rPr>
                <w:rFonts w:hint="default" w:ascii="Times New Roman" w:hAnsi="Times New Roman" w:cs="Times New Roman"/>
              </w:rPr>
              <w:t>、SS、NH</w:t>
            </w:r>
            <w:r>
              <w:rPr>
                <w:rFonts w:hint="default" w:ascii="Times New Roman" w:hAnsi="Times New Roman" w:cs="Times New Roman"/>
                <w:vertAlign w:val="subscript"/>
              </w:rPr>
              <w:t>3</w:t>
            </w:r>
            <w:r>
              <w:rPr>
                <w:rFonts w:hint="default" w:ascii="Times New Roman" w:hAnsi="Times New Roman" w:cs="Times New Roman"/>
              </w:rPr>
              <w:t>-N、动植物油浓度分别约为6-9、232mg/L、137mg/L、54mg/L、19mg/L，可以满足</w:t>
            </w:r>
            <w:r>
              <w:rPr>
                <w:rFonts w:hint="default" w:ascii="Times New Roman" w:hAnsi="Times New Roman" w:cs="Times New Roman"/>
                <w:lang w:eastAsia="zh-CN"/>
              </w:rPr>
              <w:t>淮南首创</w:t>
            </w:r>
            <w:r>
              <w:rPr>
                <w:rFonts w:hint="default" w:ascii="Times New Roman" w:hAnsi="Times New Roman" w:cs="Times New Roman"/>
              </w:rPr>
              <w:t>八公山污水处理厂的进水水质及《污水综合排放标准》（GB 8978-1996）三级标准要求，废水对</w:t>
            </w:r>
            <w:r>
              <w:rPr>
                <w:rFonts w:hint="default" w:ascii="Times New Roman" w:hAnsi="Times New Roman" w:cs="Times New Roman"/>
                <w:lang w:eastAsia="zh-CN"/>
              </w:rPr>
              <w:t>淮南首创</w:t>
            </w:r>
            <w:r>
              <w:rPr>
                <w:rFonts w:hint="default" w:ascii="Times New Roman" w:hAnsi="Times New Roman" w:cs="Times New Roman"/>
              </w:rPr>
              <w:t>八公山污水处理厂水质不会产生冲击影响。</w:t>
            </w:r>
          </w:p>
          <w:p w14:paraId="548FFB5B">
            <w:pPr>
              <w:ind w:firstLine="482" w:firstLineChars="200"/>
              <w:rPr>
                <w:rFonts w:hint="default" w:ascii="Times New Roman" w:hAnsi="Times New Roman" w:cs="Times New Roman"/>
                <w:b/>
                <w:bCs/>
              </w:rPr>
            </w:pPr>
            <w:r>
              <w:rPr>
                <w:rFonts w:hint="default" w:ascii="Times New Roman" w:hAnsi="Times New Roman" w:cs="Times New Roman"/>
                <w:b/>
                <w:bCs/>
              </w:rPr>
              <w:t>③管网配套情况</w:t>
            </w:r>
          </w:p>
          <w:p w14:paraId="32AAB69D">
            <w:pPr>
              <w:keepNext w:val="0"/>
              <w:keepLines w:val="0"/>
              <w:pageBreakBefore w:val="0"/>
              <w:kinsoku/>
              <w:overflowPunct/>
              <w:topLinePunct w:val="0"/>
              <w:autoSpaceDE/>
              <w:autoSpaceDN/>
              <w:bidi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rPr>
              <w:t>本项目位于</w:t>
            </w:r>
            <w:r>
              <w:rPr>
                <w:rFonts w:hint="default" w:ascii="Times New Roman" w:hAnsi="Times New Roman" w:cs="Times New Roman"/>
                <w:lang w:eastAsia="zh-CN"/>
              </w:rPr>
              <w:t>淮南首创八公山污水处理厂</w:t>
            </w:r>
            <w:r>
              <w:rPr>
                <w:rFonts w:hint="default" w:ascii="Times New Roman" w:hAnsi="Times New Roman" w:cs="Times New Roman"/>
              </w:rPr>
              <w:t>收水范围内。</w:t>
            </w:r>
          </w:p>
          <w:p w14:paraId="5A2C75BB">
            <w:pPr>
              <w:keepNext w:val="0"/>
              <w:keepLines w:val="0"/>
              <w:pageBreakBefore w:val="0"/>
              <w:widowControl w:val="0"/>
              <w:kinsoku/>
              <w:wordWrap/>
              <w:overflowPunct/>
              <w:topLinePunct w:val="0"/>
              <w:autoSpaceDE/>
              <w:autoSpaceDN/>
              <w:bidi w:val="0"/>
              <w:spacing w:line="460" w:lineRule="atLeast"/>
              <w:ind w:firstLine="480" w:firstLineChars="200"/>
              <w:textAlignment w:val="auto"/>
              <w:rPr>
                <w:rFonts w:hint="default" w:ascii="Times New Roman" w:hAnsi="Times New Roman" w:cs="Times New Roman"/>
              </w:rPr>
            </w:pPr>
            <w:r>
              <w:rPr>
                <w:rFonts w:hint="default" w:ascii="Times New Roman" w:hAnsi="Times New Roman" w:cs="Times New Roman"/>
              </w:rPr>
              <w:t>综上所述，从水量、水质、管网配套建设等方面考虑，</w:t>
            </w:r>
            <w:r>
              <w:rPr>
                <w:rFonts w:hint="default" w:ascii="Times New Roman" w:hAnsi="Times New Roman" w:cs="Times New Roman"/>
                <w:lang w:eastAsia="zh-CN"/>
              </w:rPr>
              <w:t>淮南首创八公山污水处理厂</w:t>
            </w:r>
            <w:r>
              <w:rPr>
                <w:rFonts w:hint="default" w:ascii="Times New Roman" w:hAnsi="Times New Roman" w:cs="Times New Roman"/>
              </w:rPr>
              <w:t>接纳拟建工程废水是较为可靠的。</w:t>
            </w:r>
          </w:p>
          <w:p w14:paraId="24C8DE28">
            <w:pPr>
              <w:pStyle w:val="37"/>
              <w:keepNext w:val="0"/>
              <w:keepLines w:val="0"/>
              <w:pageBreakBefore w:val="0"/>
              <w:widowControl w:val="0"/>
              <w:kinsoku/>
              <w:wordWrap/>
              <w:overflowPunct/>
              <w:topLinePunct w:val="0"/>
              <w:autoSpaceDE/>
              <w:autoSpaceDN/>
              <w:bidi w:val="0"/>
              <w:spacing w:line="460" w:lineRule="atLeast"/>
              <w:ind w:firstLine="0" w:firstLineChars="0"/>
              <w:textAlignment w:val="auto"/>
              <w:rPr>
                <w:rFonts w:hint="default" w:ascii="Times New Roman" w:hAnsi="Times New Roman" w:eastAsia="宋体" w:cs="Times New Roman"/>
                <w:b/>
                <w:color w:val="auto"/>
                <w:sz w:val="24"/>
                <w:szCs w:val="24"/>
                <w:highlight w:val="none"/>
              </w:rPr>
            </w:pPr>
            <w:r>
              <w:rPr>
                <w:rFonts w:hint="eastAsia" w:ascii="Times New Roman" w:hAnsi="Times New Roman" w:eastAsia="宋体" w:cs="Times New Roman"/>
                <w:b/>
                <w:bCs/>
                <w:lang w:val="en-US" w:eastAsia="zh-CN"/>
              </w:rPr>
              <w:t>4.3.5</w:t>
            </w:r>
            <w:r>
              <w:rPr>
                <w:rFonts w:hint="default" w:ascii="Times New Roman" w:hAnsi="Times New Roman" w:eastAsia="宋体" w:cs="Times New Roman"/>
                <w:b/>
                <w:color w:val="auto"/>
                <w:sz w:val="24"/>
                <w:szCs w:val="24"/>
                <w:highlight w:val="none"/>
              </w:rPr>
              <w:t>建设项目废水污染物排放信息表</w:t>
            </w:r>
          </w:p>
          <w:p w14:paraId="4C823D40">
            <w:pPr>
              <w:keepNext w:val="0"/>
              <w:keepLines w:val="0"/>
              <w:pageBreakBefore w:val="0"/>
              <w:widowControl w:val="0"/>
              <w:suppressLineNumbers w:val="0"/>
              <w:shd w:val="clear" w:color="auto" w:fill="auto"/>
              <w:kinsoku/>
              <w:wordWrap/>
              <w:overflowPunct/>
              <w:topLinePunct w:val="0"/>
              <w:autoSpaceDE/>
              <w:autoSpaceDN/>
              <w:bidi w:val="0"/>
              <w:adjustRightInd w:val="0"/>
              <w:snapToGrid w:val="0"/>
              <w:spacing w:before="0" w:beforeAutospacing="0" w:after="0" w:afterAutospacing="0" w:line="460" w:lineRule="atLeast"/>
              <w:ind w:left="0" w:right="0" w:firstLine="480" w:firstLineChars="200"/>
              <w:textAlignment w:val="auto"/>
              <w:rPr>
                <w:rFonts w:hint="default" w:ascii="Times New Roman" w:hAnsi="Times New Roman" w:eastAsia="宋体" w:cs="Times New Roman"/>
                <w:b w:val="0"/>
                <w:bCs w:val="0"/>
                <w:color w:val="auto"/>
                <w:sz w:val="24"/>
                <w:szCs w:val="24"/>
                <w:highlight w:val="none"/>
              </w:rPr>
            </w:pPr>
            <w:r>
              <w:rPr>
                <w:rFonts w:hint="eastAsia" w:ascii="Times New Roman" w:hAnsi="Times New Roman" w:eastAsia="宋体" w:cs="Times New Roman"/>
                <w:b w:val="0"/>
                <w:bCs w:val="0"/>
                <w:color w:val="auto"/>
                <w:sz w:val="24"/>
                <w:szCs w:val="24"/>
                <w:highlight w:val="none"/>
                <w:lang w:val="en-US" w:eastAsia="zh-CN"/>
              </w:rPr>
              <w:t>1、</w:t>
            </w:r>
            <w:r>
              <w:rPr>
                <w:rFonts w:hint="default" w:ascii="Times New Roman" w:hAnsi="Times New Roman" w:eastAsia="宋体" w:cs="Times New Roman"/>
                <w:b w:val="0"/>
                <w:bCs w:val="0"/>
                <w:color w:val="auto"/>
                <w:sz w:val="24"/>
                <w:szCs w:val="24"/>
                <w:highlight w:val="none"/>
              </w:rPr>
              <w:t>废水类别、污染物及治理设施信息表</w:t>
            </w:r>
          </w:p>
          <w:p w14:paraId="58B84C17">
            <w:pPr>
              <w:pStyle w:val="44"/>
              <w:rPr>
                <w:rFonts w:hint="default" w:ascii="Times New Roman" w:hAnsi="Times New Roman" w:eastAsia="宋体" w:cs="Times New Roman"/>
              </w:rPr>
            </w:pPr>
            <w:r>
              <w:rPr>
                <w:rFonts w:hint="default" w:ascii="Times New Roman" w:hAnsi="Times New Roman" w:eastAsia="宋体" w:cs="Times New Roman"/>
              </w:rPr>
              <w:t>表4-</w:t>
            </w:r>
            <w:r>
              <w:rPr>
                <w:rFonts w:hint="default" w:ascii="Times New Roman" w:hAnsi="Times New Roman" w:eastAsia="宋体" w:cs="Times New Roman"/>
                <w:lang w:val="en-US" w:eastAsia="zh-CN"/>
              </w:rPr>
              <w:t>1</w:t>
            </w:r>
            <w:r>
              <w:rPr>
                <w:rFonts w:hint="eastAsia" w:ascii="Times New Roman" w:hAnsi="Times New Roman" w:eastAsia="宋体" w:cs="Times New Roman"/>
                <w:lang w:val="en-US" w:eastAsia="zh-CN"/>
              </w:rPr>
              <w:t xml:space="preserve">7 </w:t>
            </w:r>
            <w:r>
              <w:rPr>
                <w:rFonts w:hint="default" w:ascii="Times New Roman" w:hAnsi="Times New Roman" w:eastAsia="宋体" w:cs="Times New Roman"/>
              </w:rPr>
              <w:t>废水类别、污染物及治理设施信息表</w:t>
            </w:r>
          </w:p>
          <w:tbl>
            <w:tblPr>
              <w:tblStyle w:val="21"/>
              <w:tblW w:w="7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60"/>
              <w:gridCol w:w="1081"/>
              <w:gridCol w:w="873"/>
              <w:gridCol w:w="856"/>
              <w:gridCol w:w="932"/>
              <w:gridCol w:w="810"/>
              <w:gridCol w:w="848"/>
              <w:gridCol w:w="785"/>
            </w:tblGrid>
            <w:tr w14:paraId="73D8B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2" w:hRule="atLeast"/>
                <w:jc w:val="center"/>
              </w:trPr>
              <w:tc>
                <w:tcPr>
                  <w:tcW w:w="1360" w:type="dxa"/>
                  <w:vMerge w:val="restart"/>
                  <w:vAlign w:val="center"/>
                </w:tcPr>
                <w:p w14:paraId="3E4E6120">
                  <w:pPr>
                    <w:pStyle w:val="46"/>
                    <w:framePr w:hSpace="0" w:wrap="auto" w:vAnchor="margin" w:hAnchor="text" w:xAlign="left" w:yAlign="inline"/>
                    <w:rPr>
                      <w:rFonts w:hint="default"/>
                      <w:b/>
                      <w:bCs/>
                    </w:rPr>
                  </w:pPr>
                  <w:r>
                    <w:rPr>
                      <w:rFonts w:hint="eastAsia"/>
                      <w:b/>
                      <w:bCs/>
                      <w:lang w:eastAsia="zh-CN"/>
                    </w:rPr>
                    <w:t>废水</w:t>
                  </w:r>
                  <w:r>
                    <w:rPr>
                      <w:rFonts w:hint="default"/>
                      <w:b/>
                      <w:bCs/>
                    </w:rPr>
                    <w:t>类别</w:t>
                  </w:r>
                </w:p>
              </w:tc>
              <w:tc>
                <w:tcPr>
                  <w:tcW w:w="1081" w:type="dxa"/>
                  <w:vMerge w:val="restart"/>
                  <w:vAlign w:val="center"/>
                </w:tcPr>
                <w:p w14:paraId="4733869B">
                  <w:pPr>
                    <w:pStyle w:val="46"/>
                    <w:framePr w:hSpace="0" w:wrap="auto" w:vAnchor="margin" w:hAnchor="text" w:xAlign="left" w:yAlign="inline"/>
                    <w:rPr>
                      <w:rFonts w:hint="eastAsia"/>
                      <w:b/>
                      <w:bCs/>
                      <w:lang w:eastAsia="zh-CN"/>
                    </w:rPr>
                  </w:pPr>
                  <w:r>
                    <w:rPr>
                      <w:rFonts w:hint="eastAsia"/>
                      <w:b/>
                      <w:bCs/>
                      <w:lang w:eastAsia="zh-CN"/>
                    </w:rPr>
                    <w:t>污染物种类</w:t>
                  </w:r>
                </w:p>
              </w:tc>
              <w:tc>
                <w:tcPr>
                  <w:tcW w:w="873" w:type="dxa"/>
                  <w:vMerge w:val="restart"/>
                  <w:vAlign w:val="center"/>
                </w:tcPr>
                <w:p w14:paraId="5A9933BD">
                  <w:pPr>
                    <w:pStyle w:val="46"/>
                    <w:framePr w:hSpace="0" w:wrap="auto" w:vAnchor="margin" w:hAnchor="text" w:xAlign="left" w:yAlign="inline"/>
                    <w:rPr>
                      <w:rFonts w:hint="eastAsia"/>
                      <w:b/>
                      <w:bCs/>
                      <w:lang w:eastAsia="zh-CN"/>
                    </w:rPr>
                  </w:pPr>
                  <w:r>
                    <w:rPr>
                      <w:rFonts w:hint="eastAsia"/>
                      <w:b/>
                      <w:bCs/>
                      <w:lang w:eastAsia="zh-CN"/>
                    </w:rPr>
                    <w:t>排放去向</w:t>
                  </w:r>
                </w:p>
              </w:tc>
              <w:tc>
                <w:tcPr>
                  <w:tcW w:w="856" w:type="dxa"/>
                  <w:vMerge w:val="restart"/>
                  <w:vAlign w:val="center"/>
                </w:tcPr>
                <w:p w14:paraId="4FCF6239">
                  <w:pPr>
                    <w:pStyle w:val="46"/>
                    <w:framePr w:hSpace="0" w:wrap="auto" w:vAnchor="margin" w:hAnchor="text" w:xAlign="left" w:yAlign="inline"/>
                    <w:rPr>
                      <w:b/>
                      <w:bCs/>
                    </w:rPr>
                  </w:pPr>
                  <w:r>
                    <w:rPr>
                      <w:b/>
                      <w:bCs/>
                    </w:rPr>
                    <w:t>排放</w:t>
                  </w:r>
                </w:p>
                <w:p w14:paraId="6ADFFDE8">
                  <w:pPr>
                    <w:pStyle w:val="46"/>
                    <w:framePr w:hSpace="0" w:wrap="auto" w:vAnchor="margin" w:hAnchor="text" w:xAlign="left" w:yAlign="inline"/>
                    <w:rPr>
                      <w:rFonts w:hint="default"/>
                      <w:b/>
                      <w:bCs/>
                    </w:rPr>
                  </w:pPr>
                  <w:r>
                    <w:rPr>
                      <w:b/>
                      <w:bCs/>
                    </w:rPr>
                    <w:t>规律</w:t>
                  </w:r>
                </w:p>
              </w:tc>
              <w:tc>
                <w:tcPr>
                  <w:tcW w:w="2590" w:type="dxa"/>
                  <w:gridSpan w:val="3"/>
                  <w:vAlign w:val="center"/>
                </w:tcPr>
                <w:p w14:paraId="0CE068BC">
                  <w:pPr>
                    <w:pStyle w:val="46"/>
                    <w:framePr w:hSpace="0" w:wrap="auto" w:vAnchor="margin" w:hAnchor="text" w:xAlign="left" w:yAlign="inline"/>
                    <w:rPr>
                      <w:rFonts w:hint="default"/>
                      <w:b/>
                      <w:bCs/>
                    </w:rPr>
                  </w:pPr>
                  <w:r>
                    <w:rPr>
                      <w:b/>
                      <w:bCs/>
                    </w:rPr>
                    <w:t>污染治理设施</w:t>
                  </w:r>
                </w:p>
              </w:tc>
              <w:tc>
                <w:tcPr>
                  <w:tcW w:w="785" w:type="dxa"/>
                  <w:vMerge w:val="restart"/>
                  <w:vAlign w:val="center"/>
                </w:tcPr>
                <w:p w14:paraId="002B3A01">
                  <w:pPr>
                    <w:pStyle w:val="46"/>
                    <w:framePr w:hSpace="0" w:wrap="auto" w:vAnchor="margin" w:hAnchor="text" w:xAlign="left" w:yAlign="inline"/>
                    <w:rPr>
                      <w:rFonts w:hint="eastAsia"/>
                      <w:b/>
                      <w:bCs/>
                      <w:lang w:eastAsia="zh-CN"/>
                    </w:rPr>
                  </w:pPr>
                  <w:r>
                    <w:rPr>
                      <w:rFonts w:hint="eastAsia"/>
                      <w:b/>
                      <w:bCs/>
                      <w:lang w:eastAsia="zh-CN"/>
                    </w:rPr>
                    <w:t>排放口类型</w:t>
                  </w:r>
                </w:p>
              </w:tc>
            </w:tr>
            <w:tr w14:paraId="1F0EB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2" w:hRule="atLeast"/>
                <w:jc w:val="center"/>
              </w:trPr>
              <w:tc>
                <w:tcPr>
                  <w:tcW w:w="1360" w:type="dxa"/>
                  <w:vMerge w:val="continue"/>
                  <w:vAlign w:val="center"/>
                </w:tcPr>
                <w:p w14:paraId="7995E9B6">
                  <w:pPr>
                    <w:pStyle w:val="46"/>
                    <w:framePr w:hSpace="0" w:wrap="auto" w:vAnchor="margin" w:hAnchor="text" w:xAlign="left" w:yAlign="inline"/>
                    <w:rPr>
                      <w:rFonts w:hint="eastAsia"/>
                      <w:b/>
                      <w:bCs/>
                      <w:lang w:eastAsia="zh-CN"/>
                    </w:rPr>
                  </w:pPr>
                </w:p>
              </w:tc>
              <w:tc>
                <w:tcPr>
                  <w:tcW w:w="1081" w:type="dxa"/>
                  <w:vMerge w:val="continue"/>
                  <w:vAlign w:val="center"/>
                </w:tcPr>
                <w:p w14:paraId="55F8E8F4">
                  <w:pPr>
                    <w:pStyle w:val="46"/>
                    <w:framePr w:hSpace="0" w:wrap="auto" w:vAnchor="margin" w:hAnchor="text" w:xAlign="left" w:yAlign="inline"/>
                    <w:rPr>
                      <w:rFonts w:hint="eastAsia"/>
                      <w:b/>
                      <w:bCs/>
                      <w:lang w:eastAsia="zh-CN"/>
                    </w:rPr>
                  </w:pPr>
                </w:p>
              </w:tc>
              <w:tc>
                <w:tcPr>
                  <w:tcW w:w="873" w:type="dxa"/>
                  <w:vMerge w:val="continue"/>
                  <w:vAlign w:val="center"/>
                </w:tcPr>
                <w:p w14:paraId="6E2EE02C">
                  <w:pPr>
                    <w:pStyle w:val="46"/>
                    <w:framePr w:hSpace="0" w:wrap="auto" w:vAnchor="margin" w:hAnchor="text" w:xAlign="left" w:yAlign="inline"/>
                    <w:rPr>
                      <w:rFonts w:hint="eastAsia"/>
                      <w:b/>
                      <w:bCs/>
                      <w:lang w:eastAsia="zh-CN"/>
                    </w:rPr>
                  </w:pPr>
                </w:p>
              </w:tc>
              <w:tc>
                <w:tcPr>
                  <w:tcW w:w="856" w:type="dxa"/>
                  <w:vMerge w:val="continue"/>
                  <w:vAlign w:val="center"/>
                </w:tcPr>
                <w:p w14:paraId="4488579C">
                  <w:pPr>
                    <w:pStyle w:val="46"/>
                    <w:framePr w:hSpace="0" w:wrap="auto" w:vAnchor="margin" w:hAnchor="text" w:xAlign="left" w:yAlign="inline"/>
                    <w:rPr>
                      <w:b/>
                      <w:bCs/>
                    </w:rPr>
                  </w:pPr>
                </w:p>
              </w:tc>
              <w:tc>
                <w:tcPr>
                  <w:tcW w:w="932" w:type="dxa"/>
                  <w:vAlign w:val="center"/>
                </w:tcPr>
                <w:p w14:paraId="7B5BAE85">
                  <w:pPr>
                    <w:pStyle w:val="46"/>
                    <w:framePr w:hSpace="0" w:wrap="auto" w:vAnchor="margin" w:hAnchor="text" w:xAlign="left" w:yAlign="inline"/>
                    <w:rPr>
                      <w:rFonts w:hint="default"/>
                      <w:b/>
                      <w:bCs/>
                    </w:rPr>
                  </w:pPr>
                  <w:r>
                    <w:rPr>
                      <w:b/>
                      <w:bCs/>
                    </w:rPr>
                    <w:t>污染治理设施名称</w:t>
                  </w:r>
                </w:p>
              </w:tc>
              <w:tc>
                <w:tcPr>
                  <w:tcW w:w="810" w:type="dxa"/>
                  <w:vAlign w:val="center"/>
                </w:tcPr>
                <w:p w14:paraId="3D88F016">
                  <w:pPr>
                    <w:pStyle w:val="46"/>
                    <w:framePr w:hSpace="0" w:wrap="auto" w:vAnchor="margin" w:hAnchor="text" w:xAlign="left" w:yAlign="inline"/>
                    <w:rPr>
                      <w:rFonts w:hint="default"/>
                      <w:b/>
                      <w:bCs/>
                    </w:rPr>
                  </w:pPr>
                  <w:r>
                    <w:rPr>
                      <w:b/>
                      <w:bCs/>
                    </w:rPr>
                    <w:t>污染治理设施工艺</w:t>
                  </w:r>
                </w:p>
              </w:tc>
              <w:tc>
                <w:tcPr>
                  <w:tcW w:w="848" w:type="dxa"/>
                  <w:vAlign w:val="center"/>
                </w:tcPr>
                <w:p w14:paraId="2BD78125">
                  <w:pPr>
                    <w:pStyle w:val="46"/>
                    <w:framePr w:hSpace="0" w:wrap="auto" w:vAnchor="margin" w:hAnchor="text" w:xAlign="left" w:yAlign="inline"/>
                    <w:rPr>
                      <w:rFonts w:hint="default"/>
                      <w:b/>
                      <w:bCs/>
                    </w:rPr>
                  </w:pPr>
                  <w:r>
                    <w:rPr>
                      <w:b/>
                      <w:bCs/>
                    </w:rPr>
                    <w:t>是否为可行技术</w:t>
                  </w:r>
                </w:p>
              </w:tc>
              <w:tc>
                <w:tcPr>
                  <w:tcW w:w="785" w:type="dxa"/>
                  <w:vMerge w:val="continue"/>
                  <w:vAlign w:val="center"/>
                </w:tcPr>
                <w:p w14:paraId="701FC7D3">
                  <w:pPr>
                    <w:pStyle w:val="46"/>
                    <w:framePr w:hSpace="0" w:wrap="auto" w:vAnchor="margin" w:hAnchor="text" w:xAlign="left" w:yAlign="inline"/>
                    <w:rPr>
                      <w:rFonts w:hint="eastAsia"/>
                      <w:b/>
                      <w:bCs/>
                      <w:lang w:eastAsia="zh-CN"/>
                    </w:rPr>
                  </w:pPr>
                </w:p>
              </w:tc>
            </w:tr>
            <w:tr w14:paraId="71F1D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2" w:hRule="atLeast"/>
                <w:jc w:val="center"/>
              </w:trPr>
              <w:tc>
                <w:tcPr>
                  <w:tcW w:w="1360" w:type="dxa"/>
                  <w:vAlign w:val="center"/>
                </w:tcPr>
                <w:p w14:paraId="6C9B492B">
                  <w:pPr>
                    <w:pStyle w:val="46"/>
                    <w:framePr w:hSpace="0" w:wrap="auto" w:vAnchor="margin" w:hAnchor="text" w:xAlign="left" w:yAlign="inline"/>
                    <w:rPr>
                      <w:rFonts w:hint="default"/>
                    </w:rPr>
                  </w:pPr>
                  <w:r>
                    <w:rPr>
                      <w:rFonts w:hint="eastAsia"/>
                      <w:lang w:eastAsia="zh-CN"/>
                    </w:rPr>
                    <w:t>生活</w:t>
                  </w:r>
                  <w:r>
                    <w:rPr>
                      <w:rFonts w:hint="default"/>
                    </w:rPr>
                    <w:t>废水</w:t>
                  </w:r>
                </w:p>
              </w:tc>
              <w:tc>
                <w:tcPr>
                  <w:tcW w:w="1081" w:type="dxa"/>
                  <w:vAlign w:val="center"/>
                </w:tcPr>
                <w:p w14:paraId="7D33E71E">
                  <w:pPr>
                    <w:pStyle w:val="46"/>
                    <w:framePr w:hSpace="0" w:wrap="auto" w:vAnchor="margin" w:hAnchor="text" w:xAlign="left" w:yAlign="inline"/>
                    <w:rPr>
                      <w:rFonts w:hint="default"/>
                    </w:rPr>
                  </w:pPr>
                  <w:r>
                    <w:t>pH、COD、NH</w:t>
                  </w:r>
                  <w:r>
                    <w:rPr>
                      <w:vertAlign w:val="subscript"/>
                    </w:rPr>
                    <w:t>3</w:t>
                  </w:r>
                  <w:r>
                    <w:t>-N、SS</w:t>
                  </w:r>
                </w:p>
              </w:tc>
              <w:tc>
                <w:tcPr>
                  <w:tcW w:w="873" w:type="dxa"/>
                  <w:vAlign w:val="center"/>
                </w:tcPr>
                <w:p w14:paraId="547E6EC3">
                  <w:pPr>
                    <w:pStyle w:val="46"/>
                    <w:framePr w:hSpace="0" w:wrap="auto" w:vAnchor="margin" w:hAnchor="text" w:xAlign="left" w:yAlign="inline"/>
                    <w:rPr>
                      <w:rFonts w:hint="eastAsia"/>
                      <w:lang w:eastAsia="zh-CN"/>
                    </w:rPr>
                  </w:pPr>
                  <w:r>
                    <w:rPr>
                      <w:rFonts w:hint="eastAsia"/>
                      <w:lang w:eastAsia="zh-CN"/>
                    </w:rPr>
                    <w:t>淮南首创污水处理厂</w:t>
                  </w:r>
                </w:p>
              </w:tc>
              <w:tc>
                <w:tcPr>
                  <w:tcW w:w="856" w:type="dxa"/>
                  <w:vAlign w:val="center"/>
                </w:tcPr>
                <w:p w14:paraId="244682EA">
                  <w:pPr>
                    <w:pStyle w:val="46"/>
                    <w:framePr w:hSpace="0" w:wrap="auto" w:vAnchor="margin" w:hAnchor="text" w:xAlign="left" w:yAlign="inline"/>
                    <w:rPr>
                      <w:rFonts w:hint="eastAsia"/>
                      <w:lang w:eastAsia="zh-CN"/>
                    </w:rPr>
                  </w:pPr>
                  <w:r>
                    <w:rPr>
                      <w:rFonts w:hint="eastAsia"/>
                      <w:lang w:eastAsia="zh-CN"/>
                    </w:rPr>
                    <w:t>间歇</w:t>
                  </w:r>
                </w:p>
              </w:tc>
              <w:tc>
                <w:tcPr>
                  <w:tcW w:w="932" w:type="dxa"/>
                  <w:vAlign w:val="center"/>
                </w:tcPr>
                <w:p w14:paraId="65BCE3D9">
                  <w:pPr>
                    <w:pStyle w:val="46"/>
                    <w:framePr w:hSpace="0" w:wrap="auto" w:vAnchor="margin" w:hAnchor="text" w:xAlign="left" w:yAlign="inline"/>
                    <w:rPr>
                      <w:rFonts w:hint="default"/>
                      <w:lang w:val="en-US"/>
                    </w:rPr>
                  </w:pPr>
                  <w:r>
                    <w:t>化粪池</w:t>
                  </w:r>
                </w:p>
              </w:tc>
              <w:tc>
                <w:tcPr>
                  <w:tcW w:w="810" w:type="dxa"/>
                  <w:vAlign w:val="center"/>
                </w:tcPr>
                <w:p w14:paraId="5E315735">
                  <w:pPr>
                    <w:pStyle w:val="46"/>
                    <w:framePr w:hSpace="0" w:wrap="auto" w:vAnchor="margin" w:hAnchor="text" w:xAlign="left" w:yAlign="inline"/>
                    <w:rPr>
                      <w:rFonts w:hint="default"/>
                    </w:rPr>
                  </w:pPr>
                  <w:r>
                    <w:t>沉淀</w:t>
                  </w:r>
                </w:p>
              </w:tc>
              <w:tc>
                <w:tcPr>
                  <w:tcW w:w="848" w:type="dxa"/>
                  <w:vAlign w:val="center"/>
                </w:tcPr>
                <w:p w14:paraId="1D934DAA">
                  <w:pPr>
                    <w:pStyle w:val="46"/>
                    <w:framePr w:hSpace="0" w:wrap="auto" w:vAnchor="margin" w:hAnchor="text" w:xAlign="left" w:yAlign="inline"/>
                    <w:rPr>
                      <w:rFonts w:hint="default"/>
                    </w:rPr>
                  </w:pPr>
                  <w:r>
                    <w:t>可行</w:t>
                  </w:r>
                </w:p>
              </w:tc>
              <w:tc>
                <w:tcPr>
                  <w:tcW w:w="785" w:type="dxa"/>
                  <w:vMerge w:val="restart"/>
                  <w:vAlign w:val="center"/>
                </w:tcPr>
                <w:p w14:paraId="72AB211B">
                  <w:pPr>
                    <w:pStyle w:val="46"/>
                    <w:framePr w:hSpace="0" w:wrap="auto" w:vAnchor="margin" w:hAnchor="text" w:xAlign="left" w:yAlign="inline"/>
                    <w:rPr>
                      <w:rFonts w:hint="default"/>
                    </w:rPr>
                  </w:pPr>
                  <w:r>
                    <w:t>一般排放口</w:t>
                  </w:r>
                </w:p>
              </w:tc>
            </w:tr>
            <w:tr w14:paraId="0586A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2" w:hRule="atLeast"/>
                <w:jc w:val="center"/>
              </w:trPr>
              <w:tc>
                <w:tcPr>
                  <w:tcW w:w="1360" w:type="dxa"/>
                  <w:vAlign w:val="center"/>
                </w:tcPr>
                <w:p w14:paraId="4A7F77FC">
                  <w:pPr>
                    <w:pStyle w:val="46"/>
                    <w:framePr w:hSpace="0" w:wrap="auto" w:vAnchor="margin" w:hAnchor="text" w:xAlign="left" w:yAlign="inline"/>
                    <w:rPr>
                      <w:rFonts w:hint="eastAsia" w:eastAsia="宋体"/>
                      <w:lang w:eastAsia="zh-CN"/>
                    </w:rPr>
                  </w:pPr>
                  <w:r>
                    <w:rPr>
                      <w:rFonts w:hint="eastAsia"/>
                      <w:lang w:eastAsia="zh-CN"/>
                    </w:rPr>
                    <w:t>锅炉排水</w:t>
                  </w:r>
                </w:p>
              </w:tc>
              <w:tc>
                <w:tcPr>
                  <w:tcW w:w="1081" w:type="dxa"/>
                  <w:vAlign w:val="center"/>
                </w:tcPr>
                <w:p w14:paraId="2FE3A20C">
                  <w:pPr>
                    <w:pStyle w:val="46"/>
                    <w:framePr w:hSpace="0" w:wrap="auto" w:vAnchor="margin" w:hAnchor="text" w:xAlign="left" w:yAlign="inline"/>
                  </w:pPr>
                  <w:r>
                    <w:t>COD</w:t>
                  </w:r>
                </w:p>
              </w:tc>
              <w:tc>
                <w:tcPr>
                  <w:tcW w:w="873" w:type="dxa"/>
                  <w:vAlign w:val="center"/>
                </w:tcPr>
                <w:p w14:paraId="4577FC75">
                  <w:pPr>
                    <w:pStyle w:val="46"/>
                    <w:framePr w:hSpace="0" w:wrap="auto" w:vAnchor="margin" w:hAnchor="text" w:xAlign="left" w:yAlign="inline"/>
                    <w:rPr>
                      <w:rFonts w:hint="eastAsia"/>
                      <w:lang w:eastAsia="zh-CN"/>
                    </w:rPr>
                  </w:pPr>
                  <w:r>
                    <w:rPr>
                      <w:rFonts w:hint="eastAsia"/>
                      <w:lang w:eastAsia="zh-CN"/>
                    </w:rPr>
                    <w:t>淮南首创污水处理厂</w:t>
                  </w:r>
                </w:p>
              </w:tc>
              <w:tc>
                <w:tcPr>
                  <w:tcW w:w="856" w:type="dxa"/>
                  <w:vAlign w:val="center"/>
                </w:tcPr>
                <w:p w14:paraId="317D65C3">
                  <w:pPr>
                    <w:pStyle w:val="46"/>
                    <w:framePr w:hSpace="0" w:wrap="auto" w:vAnchor="margin" w:hAnchor="text" w:xAlign="left" w:yAlign="inline"/>
                    <w:rPr>
                      <w:rFonts w:hint="eastAsia"/>
                      <w:lang w:eastAsia="zh-CN"/>
                    </w:rPr>
                  </w:pPr>
                  <w:r>
                    <w:rPr>
                      <w:rFonts w:hint="eastAsia"/>
                      <w:lang w:eastAsia="zh-CN"/>
                    </w:rPr>
                    <w:t>间歇</w:t>
                  </w:r>
                </w:p>
              </w:tc>
              <w:tc>
                <w:tcPr>
                  <w:tcW w:w="932" w:type="dxa"/>
                  <w:vAlign w:val="center"/>
                </w:tcPr>
                <w:p w14:paraId="636C9556">
                  <w:pPr>
                    <w:pStyle w:val="46"/>
                    <w:framePr w:hSpace="0" w:wrap="auto" w:vAnchor="margin" w:hAnchor="text" w:xAlign="left" w:yAlign="inline"/>
                    <w:rPr>
                      <w:rFonts w:hint="default" w:eastAsia="宋体"/>
                      <w:lang w:val="en-US" w:eastAsia="zh-CN"/>
                    </w:rPr>
                  </w:pPr>
                  <w:r>
                    <w:rPr>
                      <w:rFonts w:hint="eastAsia"/>
                      <w:lang w:val="en-US" w:eastAsia="zh-CN"/>
                    </w:rPr>
                    <w:t>/</w:t>
                  </w:r>
                </w:p>
              </w:tc>
              <w:tc>
                <w:tcPr>
                  <w:tcW w:w="810" w:type="dxa"/>
                  <w:vAlign w:val="center"/>
                </w:tcPr>
                <w:p w14:paraId="141BE29F">
                  <w:pPr>
                    <w:pStyle w:val="46"/>
                    <w:framePr w:hSpace="0" w:wrap="auto" w:vAnchor="margin" w:hAnchor="text" w:xAlign="left" w:yAlign="inline"/>
                  </w:pPr>
                  <w:r>
                    <w:rPr>
                      <w:rFonts w:hint="eastAsia"/>
                      <w:lang w:val="en-US" w:eastAsia="zh-CN"/>
                    </w:rPr>
                    <w:t>/</w:t>
                  </w:r>
                </w:p>
              </w:tc>
              <w:tc>
                <w:tcPr>
                  <w:tcW w:w="848" w:type="dxa"/>
                  <w:vAlign w:val="center"/>
                </w:tcPr>
                <w:p w14:paraId="227C4C73">
                  <w:pPr>
                    <w:pStyle w:val="46"/>
                    <w:framePr w:hSpace="0" w:wrap="auto" w:vAnchor="margin" w:hAnchor="text" w:xAlign="left" w:yAlign="inline"/>
                  </w:pPr>
                  <w:r>
                    <w:rPr>
                      <w:rFonts w:hint="eastAsia"/>
                      <w:lang w:val="en-US" w:eastAsia="zh-CN"/>
                    </w:rPr>
                    <w:t>/</w:t>
                  </w:r>
                </w:p>
              </w:tc>
              <w:tc>
                <w:tcPr>
                  <w:tcW w:w="785" w:type="dxa"/>
                  <w:vMerge w:val="continue"/>
                  <w:vAlign w:val="center"/>
                </w:tcPr>
                <w:p w14:paraId="4E012046">
                  <w:pPr>
                    <w:pStyle w:val="46"/>
                    <w:framePr w:hSpace="0" w:wrap="auto" w:vAnchor="margin" w:hAnchor="text" w:xAlign="left" w:yAlign="inline"/>
                  </w:pPr>
                </w:p>
              </w:tc>
            </w:tr>
          </w:tbl>
          <w:p w14:paraId="57B0BA51">
            <w:pPr>
              <w:keepNext w:val="0"/>
              <w:keepLines w:val="0"/>
              <w:pageBreakBefore w:val="0"/>
              <w:widowControl w:val="0"/>
              <w:suppressLineNumbers w:val="0"/>
              <w:shd w:val="clear" w:color="auto" w:fill="auto"/>
              <w:kinsoku/>
              <w:wordWrap/>
              <w:overflowPunct/>
              <w:topLinePunct w:val="0"/>
              <w:autoSpaceDE/>
              <w:autoSpaceDN/>
              <w:bidi w:val="0"/>
              <w:adjustRightInd w:val="0"/>
              <w:snapToGrid w:val="0"/>
              <w:spacing w:before="0" w:beforeAutospacing="0" w:after="0" w:afterAutospacing="0" w:line="460" w:lineRule="exact"/>
              <w:ind w:left="0" w:right="0" w:firstLine="480" w:firstLineChars="200"/>
              <w:textAlignment w:val="auto"/>
              <w:rPr>
                <w:rFonts w:hint="default" w:ascii="Times New Roman" w:hAnsi="Times New Roman" w:eastAsia="宋体" w:cs="Times New Roman"/>
                <w:b/>
                <w:color w:val="auto"/>
                <w:sz w:val="24"/>
                <w:szCs w:val="24"/>
                <w:highlight w:val="none"/>
              </w:rPr>
            </w:pPr>
            <w:r>
              <w:rPr>
                <w:rFonts w:hint="eastAsia" w:ascii="Times New Roman" w:hAnsi="Times New Roman" w:eastAsia="宋体" w:cs="Times New Roman"/>
                <w:b w:val="0"/>
                <w:bCs/>
                <w:color w:val="auto"/>
                <w:sz w:val="24"/>
                <w:szCs w:val="24"/>
                <w:highlight w:val="none"/>
                <w:lang w:val="en-US" w:eastAsia="zh-CN"/>
              </w:rPr>
              <w:t>2、</w:t>
            </w:r>
            <w:r>
              <w:rPr>
                <w:rFonts w:hint="default" w:ascii="Times New Roman" w:hAnsi="Times New Roman" w:eastAsia="宋体" w:cs="Times New Roman"/>
                <w:b w:val="0"/>
                <w:bCs/>
                <w:color w:val="auto"/>
                <w:sz w:val="24"/>
                <w:szCs w:val="24"/>
                <w:highlight w:val="none"/>
              </w:rPr>
              <w:t>废水排放口基本情况表</w:t>
            </w:r>
          </w:p>
          <w:p w14:paraId="6E41418B">
            <w:pPr>
              <w:pStyle w:val="44"/>
              <w:keepNext w:val="0"/>
              <w:keepLines w:val="0"/>
              <w:pageBreakBefore w:val="0"/>
              <w:widowControl w:val="0"/>
              <w:kinsoku/>
              <w:wordWrap/>
              <w:overflowPunct/>
              <w:topLinePunct w:val="0"/>
              <w:autoSpaceDE/>
              <w:autoSpaceDN/>
              <w:bidi w:val="0"/>
              <w:spacing w:line="460" w:lineRule="exact"/>
              <w:textAlignment w:val="auto"/>
              <w:rPr>
                <w:rFonts w:hint="default" w:ascii="Times New Roman" w:hAnsi="Times New Roman" w:eastAsia="宋体" w:cs="Times New Roman"/>
              </w:rPr>
            </w:pPr>
            <w:r>
              <w:rPr>
                <w:rFonts w:hint="default" w:ascii="Times New Roman" w:hAnsi="Times New Roman" w:eastAsia="宋体" w:cs="Times New Roman"/>
              </w:rPr>
              <w:t>表4-</w:t>
            </w:r>
            <w:r>
              <w:rPr>
                <w:rFonts w:hint="default" w:ascii="Times New Roman" w:hAnsi="Times New Roman" w:eastAsia="宋体" w:cs="Times New Roman"/>
                <w:lang w:val="en-US" w:eastAsia="zh-CN"/>
              </w:rPr>
              <w:t>1</w:t>
            </w:r>
            <w:r>
              <w:rPr>
                <w:rFonts w:hint="eastAsia" w:ascii="Times New Roman" w:hAnsi="Times New Roman" w:eastAsia="宋体" w:cs="Times New Roman"/>
                <w:lang w:val="en-US" w:eastAsia="zh-CN"/>
              </w:rPr>
              <w:t>8</w:t>
            </w:r>
            <w:r>
              <w:rPr>
                <w:rFonts w:hint="default" w:ascii="Times New Roman" w:hAnsi="Times New Roman" w:eastAsia="宋体" w:cs="Times New Roman"/>
              </w:rPr>
              <w:t xml:space="preserve">  废水间接排放口基本情况表</w:t>
            </w:r>
          </w:p>
          <w:tbl>
            <w:tblPr>
              <w:tblStyle w:val="21"/>
              <w:tblW w:w="7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80"/>
              <w:gridCol w:w="417"/>
              <w:gridCol w:w="864"/>
              <w:gridCol w:w="799"/>
              <w:gridCol w:w="668"/>
              <w:gridCol w:w="643"/>
              <w:gridCol w:w="744"/>
              <w:gridCol w:w="744"/>
              <w:gridCol w:w="1146"/>
              <w:gridCol w:w="733"/>
            </w:tblGrid>
            <w:tr w14:paraId="0353D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457" w:type="pct"/>
                  <w:vMerge w:val="restart"/>
                  <w:tcBorders>
                    <w:top w:val="single" w:color="auto" w:sz="4" w:space="0"/>
                    <w:left w:val="single" w:color="auto" w:sz="4" w:space="0"/>
                    <w:bottom w:val="single" w:color="auto" w:sz="4" w:space="0"/>
                    <w:right w:val="single" w:color="auto" w:sz="4" w:space="0"/>
                  </w:tcBorders>
                  <w:vAlign w:val="center"/>
                </w:tcPr>
                <w:p w14:paraId="21BAE505">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排放口</w:t>
                  </w:r>
                </w:p>
                <w:p w14:paraId="536B609D">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编号</w:t>
                  </w:r>
                </w:p>
              </w:tc>
              <w:tc>
                <w:tcPr>
                  <w:tcW w:w="280" w:type="pct"/>
                  <w:vMerge w:val="restart"/>
                  <w:tcBorders>
                    <w:top w:val="single" w:color="auto" w:sz="4" w:space="0"/>
                    <w:left w:val="single" w:color="auto" w:sz="4" w:space="0"/>
                    <w:bottom w:val="single" w:color="auto" w:sz="4" w:space="0"/>
                    <w:right w:val="single" w:color="auto" w:sz="4" w:space="0"/>
                  </w:tcBorders>
                  <w:vAlign w:val="center"/>
                </w:tcPr>
                <w:p w14:paraId="11D0116C">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排放口</w:t>
                  </w:r>
                </w:p>
                <w:p w14:paraId="4BD1D43A">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名称</w:t>
                  </w:r>
                </w:p>
              </w:tc>
              <w:tc>
                <w:tcPr>
                  <w:tcW w:w="1117" w:type="pct"/>
                  <w:gridSpan w:val="2"/>
                  <w:tcBorders>
                    <w:top w:val="single" w:color="auto" w:sz="4" w:space="0"/>
                    <w:left w:val="single" w:color="auto" w:sz="4" w:space="0"/>
                    <w:bottom w:val="single" w:color="auto" w:sz="4" w:space="0"/>
                    <w:right w:val="single" w:color="auto" w:sz="4" w:space="0"/>
                  </w:tcBorders>
                  <w:vAlign w:val="center"/>
                </w:tcPr>
                <w:p w14:paraId="5D03B5F3">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排放口地理坐标</w:t>
                  </w:r>
                </w:p>
              </w:tc>
              <w:tc>
                <w:tcPr>
                  <w:tcW w:w="449" w:type="pct"/>
                  <w:vMerge w:val="restart"/>
                  <w:tcBorders>
                    <w:top w:val="single" w:color="auto" w:sz="4" w:space="0"/>
                    <w:left w:val="single" w:color="auto" w:sz="4" w:space="0"/>
                    <w:bottom w:val="single" w:color="auto" w:sz="4" w:space="0"/>
                    <w:right w:val="single" w:color="auto" w:sz="4" w:space="0"/>
                  </w:tcBorders>
                  <w:vAlign w:val="center"/>
                </w:tcPr>
                <w:p w14:paraId="6B43B1D2">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排放去向</w:t>
                  </w:r>
                </w:p>
              </w:tc>
              <w:tc>
                <w:tcPr>
                  <w:tcW w:w="432" w:type="pct"/>
                  <w:vMerge w:val="restart"/>
                  <w:tcBorders>
                    <w:top w:val="single" w:color="auto" w:sz="4" w:space="0"/>
                    <w:left w:val="single" w:color="auto" w:sz="4" w:space="0"/>
                    <w:bottom w:val="single" w:color="auto" w:sz="4" w:space="0"/>
                    <w:right w:val="single" w:color="auto" w:sz="4" w:space="0"/>
                  </w:tcBorders>
                  <w:vAlign w:val="center"/>
                </w:tcPr>
                <w:p w14:paraId="4B7BAB65">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排放</w:t>
                  </w:r>
                </w:p>
                <w:p w14:paraId="47544979">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规律</w:t>
                  </w:r>
                </w:p>
              </w:tc>
              <w:tc>
                <w:tcPr>
                  <w:tcW w:w="1769" w:type="pct"/>
                  <w:gridSpan w:val="3"/>
                  <w:tcBorders>
                    <w:top w:val="single" w:color="auto" w:sz="4" w:space="0"/>
                    <w:left w:val="single" w:color="auto" w:sz="4" w:space="0"/>
                    <w:bottom w:val="nil"/>
                    <w:right w:val="single" w:color="auto" w:sz="4" w:space="0"/>
                  </w:tcBorders>
                  <w:vAlign w:val="center"/>
                </w:tcPr>
                <w:p w14:paraId="3D6BD244">
                  <w:pPr>
                    <w:pStyle w:val="46"/>
                    <w:framePr w:hSpace="0" w:wrap="auto" w:vAnchor="margin" w:hAnchor="text" w:xAlign="left" w:yAlign="inline"/>
                    <w:rPr>
                      <w:rFonts w:hint="default" w:ascii="Times New Roman" w:hAnsi="Times New Roman" w:eastAsia="宋体" w:cs="Times New Roman"/>
                      <w:b w:val="0"/>
                      <w:bCs w:val="0"/>
                    </w:rPr>
                  </w:pPr>
                  <w:r>
                    <w:rPr>
                      <w:rFonts w:hint="default" w:ascii="Times New Roman" w:hAnsi="Times New Roman" w:eastAsia="宋体" w:cs="Times New Roman"/>
                      <w:b w:val="0"/>
                      <w:bCs w:val="0"/>
                    </w:rPr>
                    <w:t>排放标准</w:t>
                  </w:r>
                </w:p>
              </w:tc>
              <w:tc>
                <w:tcPr>
                  <w:tcW w:w="492" w:type="pct"/>
                  <w:vMerge w:val="restart"/>
                  <w:tcBorders>
                    <w:top w:val="single" w:color="auto" w:sz="4" w:space="0"/>
                    <w:left w:val="single" w:color="auto" w:sz="4" w:space="0"/>
                    <w:bottom w:val="single" w:color="auto" w:sz="4" w:space="0"/>
                    <w:right w:val="single" w:color="auto" w:sz="4" w:space="0"/>
                  </w:tcBorders>
                  <w:vAlign w:val="center"/>
                </w:tcPr>
                <w:p w14:paraId="4A45C4C5">
                  <w:pPr>
                    <w:pStyle w:val="46"/>
                    <w:framePr w:hSpace="0" w:wrap="auto" w:vAnchor="margin" w:hAnchor="text" w:xAlign="left" w:yAlign="inline"/>
                    <w:rPr>
                      <w:rFonts w:hint="default" w:ascii="Times New Roman" w:hAnsi="Times New Roman" w:eastAsia="宋体" w:cs="Times New Roman"/>
                      <w:b w:val="0"/>
                      <w:bCs w:val="0"/>
                    </w:rPr>
                  </w:pPr>
                  <w:r>
                    <w:rPr>
                      <w:rFonts w:hint="default" w:ascii="Times New Roman" w:hAnsi="Times New Roman" w:eastAsia="宋体" w:cs="Times New Roman"/>
                      <w:b w:val="0"/>
                      <w:bCs w:val="0"/>
                    </w:rPr>
                    <w:t>排放口类型</w:t>
                  </w:r>
                </w:p>
              </w:tc>
            </w:tr>
            <w:tr w14:paraId="0F7A8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4" w:hRule="atLeast"/>
                <w:jc w:val="center"/>
              </w:trPr>
              <w:tc>
                <w:tcPr>
                  <w:tcW w:w="457" w:type="pct"/>
                  <w:vMerge w:val="continue"/>
                  <w:tcBorders>
                    <w:top w:val="single" w:color="auto" w:sz="4" w:space="0"/>
                    <w:left w:val="single" w:color="auto" w:sz="4" w:space="0"/>
                    <w:bottom w:val="single" w:color="auto" w:sz="4" w:space="0"/>
                    <w:right w:val="single" w:color="auto" w:sz="4" w:space="0"/>
                  </w:tcBorders>
                  <w:vAlign w:val="center"/>
                </w:tcPr>
                <w:p w14:paraId="742BD604">
                  <w:pPr>
                    <w:pStyle w:val="46"/>
                    <w:framePr w:hSpace="0" w:wrap="auto" w:vAnchor="margin" w:hAnchor="text" w:xAlign="left" w:yAlign="inline"/>
                    <w:rPr>
                      <w:rFonts w:hint="default" w:ascii="Times New Roman" w:hAnsi="Times New Roman" w:eastAsia="宋体" w:cs="Times New Roman"/>
                      <w:b/>
                      <w:bCs/>
                    </w:rPr>
                  </w:pPr>
                </w:p>
              </w:tc>
              <w:tc>
                <w:tcPr>
                  <w:tcW w:w="280" w:type="pct"/>
                  <w:vMerge w:val="continue"/>
                  <w:tcBorders>
                    <w:top w:val="single" w:color="auto" w:sz="4" w:space="0"/>
                    <w:left w:val="single" w:color="auto" w:sz="4" w:space="0"/>
                    <w:bottom w:val="single" w:color="auto" w:sz="4" w:space="0"/>
                    <w:right w:val="single" w:color="auto" w:sz="4" w:space="0"/>
                  </w:tcBorders>
                  <w:vAlign w:val="center"/>
                </w:tcPr>
                <w:p w14:paraId="68C63C5E">
                  <w:pPr>
                    <w:pStyle w:val="46"/>
                    <w:framePr w:hSpace="0" w:wrap="auto" w:vAnchor="margin" w:hAnchor="text" w:xAlign="left" w:yAlign="inline"/>
                    <w:rPr>
                      <w:rFonts w:hint="default" w:ascii="Times New Roman" w:hAnsi="Times New Roman" w:eastAsia="宋体" w:cs="Times New Roman"/>
                      <w:b/>
                      <w:bCs/>
                    </w:rPr>
                  </w:pPr>
                </w:p>
              </w:tc>
              <w:tc>
                <w:tcPr>
                  <w:tcW w:w="580" w:type="pct"/>
                  <w:tcBorders>
                    <w:top w:val="single" w:color="auto" w:sz="4" w:space="0"/>
                    <w:left w:val="single" w:color="auto" w:sz="4" w:space="0"/>
                    <w:bottom w:val="single" w:color="auto" w:sz="4" w:space="0"/>
                    <w:right w:val="single" w:color="auto" w:sz="4" w:space="0"/>
                  </w:tcBorders>
                  <w:vAlign w:val="center"/>
                </w:tcPr>
                <w:p w14:paraId="0F80D627">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经度</w:t>
                  </w:r>
                </w:p>
              </w:tc>
              <w:tc>
                <w:tcPr>
                  <w:tcW w:w="537" w:type="pct"/>
                  <w:tcBorders>
                    <w:top w:val="single" w:color="auto" w:sz="4" w:space="0"/>
                    <w:left w:val="single" w:color="auto" w:sz="4" w:space="0"/>
                    <w:bottom w:val="single" w:color="auto" w:sz="4" w:space="0"/>
                    <w:right w:val="single" w:color="auto" w:sz="4" w:space="0"/>
                  </w:tcBorders>
                  <w:vAlign w:val="center"/>
                </w:tcPr>
                <w:p w14:paraId="787FB48D">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纬度</w:t>
                  </w:r>
                </w:p>
              </w:tc>
              <w:tc>
                <w:tcPr>
                  <w:tcW w:w="449" w:type="pct"/>
                  <w:vMerge w:val="continue"/>
                  <w:tcBorders>
                    <w:top w:val="single" w:color="auto" w:sz="4" w:space="0"/>
                    <w:left w:val="single" w:color="auto" w:sz="4" w:space="0"/>
                    <w:bottom w:val="single" w:color="auto" w:sz="4" w:space="0"/>
                    <w:right w:val="single" w:color="auto" w:sz="4" w:space="0"/>
                  </w:tcBorders>
                  <w:vAlign w:val="center"/>
                </w:tcPr>
                <w:p w14:paraId="7E1ED914">
                  <w:pPr>
                    <w:pStyle w:val="46"/>
                    <w:framePr w:hSpace="0" w:wrap="auto" w:vAnchor="margin" w:hAnchor="text" w:xAlign="left" w:yAlign="inline"/>
                    <w:rPr>
                      <w:rFonts w:hint="default" w:ascii="Times New Roman" w:hAnsi="Times New Roman" w:eastAsia="宋体" w:cs="Times New Roman"/>
                      <w:b/>
                      <w:bCs/>
                    </w:rPr>
                  </w:pPr>
                </w:p>
              </w:tc>
              <w:tc>
                <w:tcPr>
                  <w:tcW w:w="432" w:type="pct"/>
                  <w:vMerge w:val="continue"/>
                  <w:tcBorders>
                    <w:top w:val="single" w:color="auto" w:sz="4" w:space="0"/>
                    <w:left w:val="single" w:color="auto" w:sz="4" w:space="0"/>
                    <w:bottom w:val="single" w:color="auto" w:sz="4" w:space="0"/>
                    <w:right w:val="single" w:color="auto" w:sz="4" w:space="0"/>
                  </w:tcBorders>
                  <w:vAlign w:val="center"/>
                </w:tcPr>
                <w:p w14:paraId="364AC243">
                  <w:pPr>
                    <w:pStyle w:val="46"/>
                    <w:framePr w:hSpace="0" w:wrap="auto" w:vAnchor="margin" w:hAnchor="text" w:xAlign="left" w:yAlign="inline"/>
                    <w:rPr>
                      <w:rFonts w:hint="default" w:ascii="Times New Roman" w:hAnsi="Times New Roman" w:eastAsia="宋体" w:cs="Times New Roman"/>
                      <w:b/>
                      <w:bCs/>
                    </w:rPr>
                  </w:pPr>
                </w:p>
              </w:tc>
              <w:tc>
                <w:tcPr>
                  <w:tcW w:w="500" w:type="pct"/>
                  <w:tcBorders>
                    <w:top w:val="single" w:color="auto" w:sz="4" w:space="0"/>
                    <w:left w:val="single" w:color="auto" w:sz="4" w:space="0"/>
                    <w:bottom w:val="single" w:color="auto" w:sz="4" w:space="0"/>
                    <w:right w:val="single" w:color="auto" w:sz="4" w:space="0"/>
                  </w:tcBorders>
                  <w:vAlign w:val="center"/>
                </w:tcPr>
                <w:p w14:paraId="02CB2BE2">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污染物种类</w:t>
                  </w:r>
                </w:p>
              </w:tc>
              <w:tc>
                <w:tcPr>
                  <w:tcW w:w="500" w:type="pct"/>
                  <w:tcBorders>
                    <w:top w:val="single" w:color="auto" w:sz="4" w:space="0"/>
                    <w:left w:val="single" w:color="auto" w:sz="4" w:space="0"/>
                    <w:bottom w:val="single" w:color="auto" w:sz="4" w:space="0"/>
                    <w:right w:val="single" w:color="auto" w:sz="4" w:space="0"/>
                  </w:tcBorders>
                  <w:vAlign w:val="center"/>
                </w:tcPr>
                <w:p w14:paraId="76285A45">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浓度限值mg/L</w:t>
                  </w:r>
                </w:p>
              </w:tc>
              <w:tc>
                <w:tcPr>
                  <w:tcW w:w="769" w:type="pct"/>
                  <w:tcBorders>
                    <w:top w:val="single" w:color="auto" w:sz="4" w:space="0"/>
                    <w:left w:val="single" w:color="auto" w:sz="4" w:space="0"/>
                    <w:bottom w:val="single" w:color="auto" w:sz="4" w:space="0"/>
                    <w:right w:val="single" w:color="auto" w:sz="4" w:space="0"/>
                  </w:tcBorders>
                  <w:vAlign w:val="center"/>
                </w:tcPr>
                <w:p w14:paraId="61154158">
                  <w:pPr>
                    <w:pStyle w:val="46"/>
                    <w:framePr w:hSpace="0" w:wrap="auto" w:vAnchor="margin" w:hAnchor="text" w:xAlign="left" w:yAlign="inline"/>
                    <w:rPr>
                      <w:rFonts w:hint="default" w:ascii="Times New Roman" w:hAnsi="Times New Roman" w:eastAsia="宋体" w:cs="Times New Roman"/>
                      <w:b w:val="0"/>
                      <w:bCs w:val="0"/>
                    </w:rPr>
                  </w:pPr>
                  <w:r>
                    <w:rPr>
                      <w:rFonts w:hint="default" w:ascii="Times New Roman" w:hAnsi="Times New Roman" w:eastAsia="宋体" w:cs="Times New Roman"/>
                      <w:b w:val="0"/>
                      <w:bCs w:val="0"/>
                    </w:rPr>
                    <w:t>标准名称</w:t>
                  </w:r>
                </w:p>
              </w:tc>
              <w:tc>
                <w:tcPr>
                  <w:tcW w:w="492" w:type="pct"/>
                  <w:vMerge w:val="continue"/>
                  <w:tcBorders>
                    <w:top w:val="single" w:color="auto" w:sz="4" w:space="0"/>
                    <w:left w:val="single" w:color="auto" w:sz="4" w:space="0"/>
                    <w:bottom w:val="single" w:color="auto" w:sz="4" w:space="0"/>
                    <w:right w:val="single" w:color="auto" w:sz="4" w:space="0"/>
                  </w:tcBorders>
                  <w:vAlign w:val="center"/>
                </w:tcPr>
                <w:p w14:paraId="0CAD130A">
                  <w:pPr>
                    <w:pStyle w:val="46"/>
                    <w:framePr w:hSpace="0" w:wrap="auto" w:vAnchor="margin" w:hAnchor="text" w:xAlign="left" w:yAlign="inline"/>
                    <w:rPr>
                      <w:rFonts w:hint="default" w:ascii="Times New Roman" w:hAnsi="Times New Roman" w:eastAsia="宋体" w:cs="Times New Roman"/>
                      <w:b w:val="0"/>
                      <w:bCs w:val="0"/>
                    </w:rPr>
                  </w:pPr>
                </w:p>
              </w:tc>
            </w:tr>
            <w:tr w14:paraId="40203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9" w:hRule="atLeast"/>
                <w:jc w:val="center"/>
              </w:trPr>
              <w:tc>
                <w:tcPr>
                  <w:tcW w:w="457" w:type="pct"/>
                  <w:vMerge w:val="restart"/>
                  <w:tcBorders>
                    <w:top w:val="nil"/>
                    <w:left w:val="single" w:color="auto" w:sz="4" w:space="0"/>
                    <w:bottom w:val="single" w:color="auto" w:sz="4" w:space="0"/>
                    <w:right w:val="single" w:color="auto" w:sz="4" w:space="0"/>
                  </w:tcBorders>
                  <w:vAlign w:val="center"/>
                </w:tcPr>
                <w:p w14:paraId="4D444FA6">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DW001</w:t>
                  </w:r>
                </w:p>
              </w:tc>
              <w:tc>
                <w:tcPr>
                  <w:tcW w:w="280" w:type="pct"/>
                  <w:vMerge w:val="restart"/>
                  <w:tcBorders>
                    <w:top w:val="nil"/>
                    <w:left w:val="single" w:color="auto" w:sz="4" w:space="0"/>
                    <w:bottom w:val="single" w:color="auto" w:sz="4" w:space="0"/>
                    <w:right w:val="single" w:color="auto" w:sz="4" w:space="0"/>
                  </w:tcBorders>
                  <w:vAlign w:val="center"/>
                </w:tcPr>
                <w:p w14:paraId="7CE74CE1">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废水排放口</w:t>
                  </w:r>
                </w:p>
              </w:tc>
              <w:tc>
                <w:tcPr>
                  <w:tcW w:w="580" w:type="pct"/>
                  <w:vMerge w:val="restart"/>
                  <w:tcBorders>
                    <w:top w:val="nil"/>
                    <w:left w:val="single" w:color="auto" w:sz="4" w:space="0"/>
                    <w:bottom w:val="single" w:color="auto" w:sz="4" w:space="0"/>
                    <w:right w:val="single" w:color="auto" w:sz="4" w:space="0"/>
                  </w:tcBorders>
                  <w:vAlign w:val="center"/>
                </w:tcPr>
                <w:p w14:paraId="12A7A10F">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116.891873631</w:t>
                  </w:r>
                </w:p>
              </w:tc>
              <w:tc>
                <w:tcPr>
                  <w:tcW w:w="537" w:type="pct"/>
                  <w:vMerge w:val="restart"/>
                  <w:tcBorders>
                    <w:top w:val="nil"/>
                    <w:left w:val="single" w:color="auto" w:sz="4" w:space="0"/>
                    <w:bottom w:val="single" w:color="auto" w:sz="4" w:space="0"/>
                    <w:right w:val="single" w:color="auto" w:sz="4" w:space="0"/>
                  </w:tcBorders>
                  <w:vAlign w:val="center"/>
                </w:tcPr>
                <w:p w14:paraId="007576D2">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32.564250644</w:t>
                  </w:r>
                </w:p>
              </w:tc>
              <w:tc>
                <w:tcPr>
                  <w:tcW w:w="449" w:type="pct"/>
                  <w:vMerge w:val="restart"/>
                  <w:tcBorders>
                    <w:top w:val="nil"/>
                    <w:left w:val="single" w:color="auto" w:sz="4" w:space="0"/>
                    <w:bottom w:val="single" w:color="auto" w:sz="4" w:space="0"/>
                    <w:right w:val="single" w:color="auto" w:sz="4" w:space="0"/>
                  </w:tcBorders>
                  <w:vAlign w:val="center"/>
                </w:tcPr>
                <w:p w14:paraId="242CA05A">
                  <w:pPr>
                    <w:pStyle w:val="46"/>
                    <w:framePr w:hSpace="0" w:wrap="auto" w:vAnchor="margin" w:hAnchor="text" w:xAlign="left" w:yAlign="inline"/>
                    <w:rPr>
                      <w:rFonts w:hint="default" w:ascii="Times New Roman" w:hAnsi="Times New Roman" w:eastAsia="宋体" w:cs="Times New Roman"/>
                    </w:rPr>
                  </w:pPr>
                  <w:r>
                    <w:rPr>
                      <w:rFonts w:hint="eastAsia"/>
                      <w:lang w:eastAsia="zh-CN"/>
                    </w:rPr>
                    <w:t>淮南首创八公山污水处理厂</w:t>
                  </w:r>
                  <w:r>
                    <w:rPr>
                      <w:rFonts w:hint="eastAsia" w:ascii="Times New Roman" w:hAnsi="Times New Roman" w:eastAsia="宋体" w:cs="Times New Roman"/>
                    </w:rPr>
                    <w:t>厂</w:t>
                  </w:r>
                </w:p>
              </w:tc>
              <w:tc>
                <w:tcPr>
                  <w:tcW w:w="432" w:type="pct"/>
                  <w:vMerge w:val="restart"/>
                  <w:tcBorders>
                    <w:top w:val="nil"/>
                    <w:left w:val="single" w:color="auto" w:sz="4" w:space="0"/>
                    <w:bottom w:val="single" w:color="auto" w:sz="4" w:space="0"/>
                    <w:right w:val="single" w:color="auto" w:sz="4" w:space="0"/>
                  </w:tcBorders>
                  <w:vAlign w:val="center"/>
                </w:tcPr>
                <w:p w14:paraId="5B9A65D4">
                  <w:pPr>
                    <w:pStyle w:val="46"/>
                    <w:framePr w:hSpace="0" w:wrap="auto" w:vAnchor="margin" w:hAnchor="text" w:xAlign="left" w:yAlign="inline"/>
                    <w:rPr>
                      <w:rFonts w:hint="default" w:ascii="Times New Roman" w:hAnsi="Times New Roman" w:eastAsia="宋体" w:cs="Times New Roman"/>
                    </w:rPr>
                  </w:pPr>
                  <w:r>
                    <w:rPr>
                      <w:rFonts w:hint="eastAsia" w:ascii="Times New Roman" w:hAnsi="Times New Roman" w:eastAsia="宋体" w:cs="Times New Roman"/>
                    </w:rPr>
                    <w:t>间断排放，排放期间流量不稳定，但有周期性规律。</w:t>
                  </w:r>
                </w:p>
              </w:tc>
              <w:tc>
                <w:tcPr>
                  <w:tcW w:w="500" w:type="pct"/>
                  <w:tcBorders>
                    <w:top w:val="single" w:color="auto" w:sz="4" w:space="0"/>
                    <w:left w:val="single" w:color="auto" w:sz="4" w:space="0"/>
                    <w:bottom w:val="single" w:color="auto" w:sz="4" w:space="0"/>
                    <w:right w:val="single" w:color="auto" w:sz="4" w:space="0"/>
                  </w:tcBorders>
                  <w:vAlign w:val="center"/>
                </w:tcPr>
                <w:p w14:paraId="1DEA8BE9">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pH</w:t>
                  </w:r>
                </w:p>
              </w:tc>
              <w:tc>
                <w:tcPr>
                  <w:tcW w:w="500" w:type="pct"/>
                  <w:tcBorders>
                    <w:top w:val="single" w:color="auto" w:sz="4" w:space="0"/>
                    <w:left w:val="single" w:color="auto" w:sz="4" w:space="0"/>
                    <w:bottom w:val="single" w:color="auto" w:sz="4" w:space="0"/>
                    <w:right w:val="single" w:color="auto" w:sz="4" w:space="0"/>
                  </w:tcBorders>
                  <w:vAlign w:val="center"/>
                </w:tcPr>
                <w:p w14:paraId="1CD397A6">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6-9</w:t>
                  </w:r>
                </w:p>
              </w:tc>
              <w:tc>
                <w:tcPr>
                  <w:tcW w:w="769" w:type="pct"/>
                  <w:vMerge w:val="restart"/>
                  <w:tcBorders>
                    <w:top w:val="nil"/>
                    <w:left w:val="single" w:color="auto" w:sz="4" w:space="0"/>
                    <w:bottom w:val="single" w:color="auto" w:sz="4" w:space="0"/>
                    <w:right w:val="single" w:color="auto" w:sz="4" w:space="0"/>
                  </w:tcBorders>
                  <w:vAlign w:val="center"/>
                </w:tcPr>
                <w:p w14:paraId="7E51DE74">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《污水综合排放标准》（GB8978-1996）中三级标准</w:t>
                  </w:r>
                </w:p>
                <w:p w14:paraId="3A2AB6B7">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lang w:eastAsia="zh-CN"/>
                    </w:rPr>
                    <w:t>淮南首创八公山污水处理厂</w:t>
                  </w:r>
                  <w:r>
                    <w:rPr>
                      <w:rFonts w:hint="default" w:ascii="Times New Roman" w:hAnsi="Times New Roman" w:eastAsia="宋体" w:cs="Times New Roman"/>
                    </w:rPr>
                    <w:t>接管标准</w:t>
                  </w:r>
                </w:p>
              </w:tc>
              <w:tc>
                <w:tcPr>
                  <w:tcW w:w="492" w:type="pct"/>
                  <w:vMerge w:val="restart"/>
                  <w:tcBorders>
                    <w:top w:val="nil"/>
                    <w:left w:val="single" w:color="auto" w:sz="4" w:space="0"/>
                    <w:bottom w:val="single" w:color="auto" w:sz="4" w:space="0"/>
                    <w:right w:val="single" w:color="auto" w:sz="4" w:space="0"/>
                  </w:tcBorders>
                  <w:vAlign w:val="center"/>
                </w:tcPr>
                <w:p w14:paraId="60A37D2A">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一般排放口</w:t>
                  </w:r>
                </w:p>
              </w:tc>
            </w:tr>
            <w:tr w14:paraId="79ED3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2" w:hRule="atLeast"/>
                <w:jc w:val="center"/>
              </w:trPr>
              <w:tc>
                <w:tcPr>
                  <w:tcW w:w="457" w:type="pct"/>
                  <w:vMerge w:val="continue"/>
                  <w:tcBorders>
                    <w:top w:val="nil"/>
                    <w:left w:val="single" w:color="auto" w:sz="4" w:space="0"/>
                    <w:bottom w:val="single" w:color="auto" w:sz="4" w:space="0"/>
                    <w:right w:val="single" w:color="auto" w:sz="4" w:space="0"/>
                  </w:tcBorders>
                  <w:vAlign w:val="center"/>
                </w:tcPr>
                <w:p w14:paraId="3AB1BF46">
                  <w:pPr>
                    <w:widowControl/>
                    <w:jc w:val="center"/>
                    <w:rPr>
                      <w:kern w:val="2"/>
                      <w:sz w:val="18"/>
                      <w:szCs w:val="18"/>
                    </w:rPr>
                  </w:pPr>
                </w:p>
              </w:tc>
              <w:tc>
                <w:tcPr>
                  <w:tcW w:w="280" w:type="pct"/>
                  <w:vMerge w:val="continue"/>
                  <w:tcBorders>
                    <w:top w:val="nil"/>
                    <w:left w:val="single" w:color="auto" w:sz="4" w:space="0"/>
                    <w:bottom w:val="single" w:color="auto" w:sz="4" w:space="0"/>
                    <w:right w:val="single" w:color="auto" w:sz="4" w:space="0"/>
                  </w:tcBorders>
                  <w:vAlign w:val="center"/>
                </w:tcPr>
                <w:p w14:paraId="6F818C58">
                  <w:pPr>
                    <w:widowControl/>
                    <w:jc w:val="center"/>
                    <w:rPr>
                      <w:kern w:val="2"/>
                      <w:sz w:val="18"/>
                      <w:szCs w:val="18"/>
                    </w:rPr>
                  </w:pPr>
                </w:p>
              </w:tc>
              <w:tc>
                <w:tcPr>
                  <w:tcW w:w="580" w:type="pct"/>
                  <w:vMerge w:val="continue"/>
                  <w:tcBorders>
                    <w:top w:val="nil"/>
                    <w:left w:val="single" w:color="auto" w:sz="4" w:space="0"/>
                    <w:bottom w:val="single" w:color="auto" w:sz="4" w:space="0"/>
                    <w:right w:val="single" w:color="auto" w:sz="4" w:space="0"/>
                  </w:tcBorders>
                  <w:vAlign w:val="center"/>
                </w:tcPr>
                <w:p w14:paraId="7DB83CEC">
                  <w:pPr>
                    <w:widowControl/>
                    <w:jc w:val="center"/>
                    <w:rPr>
                      <w:kern w:val="2"/>
                      <w:sz w:val="18"/>
                      <w:szCs w:val="18"/>
                      <w:highlight w:val="red"/>
                    </w:rPr>
                  </w:pPr>
                </w:p>
              </w:tc>
              <w:tc>
                <w:tcPr>
                  <w:tcW w:w="537" w:type="pct"/>
                  <w:vMerge w:val="continue"/>
                  <w:tcBorders>
                    <w:top w:val="nil"/>
                    <w:left w:val="single" w:color="auto" w:sz="4" w:space="0"/>
                    <w:bottom w:val="single" w:color="auto" w:sz="4" w:space="0"/>
                    <w:right w:val="single" w:color="auto" w:sz="4" w:space="0"/>
                  </w:tcBorders>
                  <w:vAlign w:val="center"/>
                </w:tcPr>
                <w:p w14:paraId="1F0F7C42">
                  <w:pPr>
                    <w:widowControl/>
                    <w:jc w:val="center"/>
                    <w:rPr>
                      <w:kern w:val="2"/>
                      <w:sz w:val="18"/>
                      <w:szCs w:val="18"/>
                      <w:highlight w:val="red"/>
                    </w:rPr>
                  </w:pPr>
                </w:p>
              </w:tc>
              <w:tc>
                <w:tcPr>
                  <w:tcW w:w="449" w:type="pct"/>
                  <w:vMerge w:val="continue"/>
                  <w:tcBorders>
                    <w:top w:val="nil"/>
                    <w:left w:val="single" w:color="auto" w:sz="4" w:space="0"/>
                    <w:bottom w:val="single" w:color="auto" w:sz="4" w:space="0"/>
                    <w:right w:val="single" w:color="auto" w:sz="4" w:space="0"/>
                  </w:tcBorders>
                  <w:vAlign w:val="center"/>
                </w:tcPr>
                <w:p w14:paraId="57FE0FC7">
                  <w:pPr>
                    <w:widowControl/>
                    <w:jc w:val="center"/>
                    <w:rPr>
                      <w:kern w:val="2"/>
                      <w:sz w:val="18"/>
                      <w:szCs w:val="18"/>
                    </w:rPr>
                  </w:pPr>
                </w:p>
              </w:tc>
              <w:tc>
                <w:tcPr>
                  <w:tcW w:w="432" w:type="pct"/>
                  <w:vMerge w:val="continue"/>
                  <w:tcBorders>
                    <w:top w:val="nil"/>
                    <w:left w:val="single" w:color="auto" w:sz="4" w:space="0"/>
                    <w:bottom w:val="single" w:color="auto" w:sz="4" w:space="0"/>
                    <w:right w:val="single" w:color="auto" w:sz="4" w:space="0"/>
                  </w:tcBorders>
                  <w:vAlign w:val="center"/>
                </w:tcPr>
                <w:p w14:paraId="2AD5ECBF">
                  <w:pPr>
                    <w:widowControl/>
                    <w:jc w:val="center"/>
                    <w:rPr>
                      <w:kern w:val="2"/>
                      <w:sz w:val="18"/>
                      <w:szCs w:val="18"/>
                    </w:rPr>
                  </w:pPr>
                </w:p>
              </w:tc>
              <w:tc>
                <w:tcPr>
                  <w:tcW w:w="500" w:type="pct"/>
                  <w:tcBorders>
                    <w:top w:val="single" w:color="auto" w:sz="4" w:space="0"/>
                    <w:left w:val="single" w:color="auto" w:sz="4" w:space="0"/>
                    <w:bottom w:val="single" w:color="auto" w:sz="4" w:space="0"/>
                    <w:right w:val="single" w:color="auto" w:sz="4" w:space="0"/>
                  </w:tcBorders>
                  <w:vAlign w:val="center"/>
                </w:tcPr>
                <w:p w14:paraId="0BF68717">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COD</w:t>
                  </w:r>
                  <w:r>
                    <w:rPr>
                      <w:rFonts w:hint="default" w:ascii="Times New Roman" w:hAnsi="Times New Roman" w:eastAsia="宋体" w:cs="Times New Roman"/>
                      <w:vertAlign w:val="subscript"/>
                    </w:rPr>
                    <w:t>C</w:t>
                  </w:r>
                  <w:r>
                    <w:rPr>
                      <w:rFonts w:hint="default" w:ascii="Times New Roman" w:hAnsi="Times New Roman" w:eastAsia="宋体" w:cs="Times New Roman"/>
                    </w:rPr>
                    <w:t>r</w:t>
                  </w:r>
                </w:p>
              </w:tc>
              <w:tc>
                <w:tcPr>
                  <w:tcW w:w="744" w:type="dxa"/>
                  <w:tcBorders>
                    <w:top w:val="single" w:color="auto" w:sz="4" w:space="0"/>
                    <w:left w:val="single" w:color="auto" w:sz="4" w:space="0"/>
                    <w:bottom w:val="single" w:color="auto" w:sz="4" w:space="0"/>
                    <w:right w:val="single" w:color="auto" w:sz="4" w:space="0"/>
                  </w:tcBorders>
                  <w:vAlign w:val="center"/>
                </w:tcPr>
                <w:p w14:paraId="061AD8CA">
                  <w:pPr>
                    <w:pStyle w:val="29"/>
                    <w:rPr>
                      <w:rFonts w:hint="default" w:ascii="Times New Roman" w:hAnsi="Times New Roman" w:eastAsia="宋体" w:cs="Times New Roman"/>
                    </w:rPr>
                  </w:pPr>
                  <w:r>
                    <w:rPr>
                      <w:sz w:val="21"/>
                      <w:szCs w:val="21"/>
                    </w:rPr>
                    <w:t>500</w:t>
                  </w:r>
                </w:p>
              </w:tc>
              <w:tc>
                <w:tcPr>
                  <w:tcW w:w="769" w:type="pct"/>
                  <w:vMerge w:val="continue"/>
                  <w:tcBorders>
                    <w:top w:val="nil"/>
                    <w:left w:val="single" w:color="auto" w:sz="4" w:space="0"/>
                    <w:bottom w:val="single" w:color="auto" w:sz="4" w:space="0"/>
                    <w:right w:val="single" w:color="auto" w:sz="4" w:space="0"/>
                  </w:tcBorders>
                  <w:vAlign w:val="center"/>
                </w:tcPr>
                <w:p w14:paraId="0C02A13B">
                  <w:pPr>
                    <w:widowControl/>
                    <w:jc w:val="center"/>
                    <w:rPr>
                      <w:kern w:val="2"/>
                      <w:sz w:val="18"/>
                      <w:szCs w:val="18"/>
                    </w:rPr>
                  </w:pPr>
                </w:p>
              </w:tc>
              <w:tc>
                <w:tcPr>
                  <w:tcW w:w="492" w:type="pct"/>
                  <w:vMerge w:val="continue"/>
                  <w:tcBorders>
                    <w:top w:val="nil"/>
                    <w:left w:val="single" w:color="auto" w:sz="4" w:space="0"/>
                    <w:bottom w:val="single" w:color="auto" w:sz="4" w:space="0"/>
                    <w:right w:val="single" w:color="auto" w:sz="4" w:space="0"/>
                  </w:tcBorders>
                  <w:vAlign w:val="center"/>
                </w:tcPr>
                <w:p w14:paraId="17173DD5">
                  <w:pPr>
                    <w:widowControl/>
                    <w:jc w:val="center"/>
                    <w:rPr>
                      <w:kern w:val="2"/>
                      <w:sz w:val="18"/>
                      <w:szCs w:val="18"/>
                    </w:rPr>
                  </w:pPr>
                </w:p>
              </w:tc>
            </w:tr>
            <w:tr w14:paraId="0C173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457" w:type="pct"/>
                  <w:vMerge w:val="continue"/>
                  <w:tcBorders>
                    <w:top w:val="nil"/>
                    <w:left w:val="single" w:color="auto" w:sz="4" w:space="0"/>
                    <w:bottom w:val="single" w:color="auto" w:sz="4" w:space="0"/>
                    <w:right w:val="single" w:color="auto" w:sz="4" w:space="0"/>
                  </w:tcBorders>
                  <w:vAlign w:val="center"/>
                </w:tcPr>
                <w:p w14:paraId="580750C2">
                  <w:pPr>
                    <w:widowControl/>
                    <w:jc w:val="center"/>
                    <w:rPr>
                      <w:kern w:val="2"/>
                      <w:sz w:val="18"/>
                      <w:szCs w:val="18"/>
                    </w:rPr>
                  </w:pPr>
                </w:p>
              </w:tc>
              <w:tc>
                <w:tcPr>
                  <w:tcW w:w="280" w:type="pct"/>
                  <w:vMerge w:val="continue"/>
                  <w:tcBorders>
                    <w:top w:val="nil"/>
                    <w:left w:val="single" w:color="auto" w:sz="4" w:space="0"/>
                    <w:bottom w:val="single" w:color="auto" w:sz="4" w:space="0"/>
                    <w:right w:val="single" w:color="auto" w:sz="4" w:space="0"/>
                  </w:tcBorders>
                  <w:vAlign w:val="center"/>
                </w:tcPr>
                <w:p w14:paraId="3FEB2A0F">
                  <w:pPr>
                    <w:widowControl/>
                    <w:jc w:val="center"/>
                    <w:rPr>
                      <w:kern w:val="2"/>
                      <w:sz w:val="18"/>
                      <w:szCs w:val="18"/>
                    </w:rPr>
                  </w:pPr>
                </w:p>
              </w:tc>
              <w:tc>
                <w:tcPr>
                  <w:tcW w:w="580" w:type="pct"/>
                  <w:vMerge w:val="continue"/>
                  <w:tcBorders>
                    <w:top w:val="nil"/>
                    <w:left w:val="single" w:color="auto" w:sz="4" w:space="0"/>
                    <w:bottom w:val="single" w:color="auto" w:sz="4" w:space="0"/>
                    <w:right w:val="single" w:color="auto" w:sz="4" w:space="0"/>
                  </w:tcBorders>
                  <w:vAlign w:val="center"/>
                </w:tcPr>
                <w:p w14:paraId="0DDD3AB0">
                  <w:pPr>
                    <w:widowControl/>
                    <w:jc w:val="center"/>
                    <w:rPr>
                      <w:kern w:val="2"/>
                      <w:sz w:val="18"/>
                      <w:szCs w:val="18"/>
                      <w:highlight w:val="red"/>
                    </w:rPr>
                  </w:pPr>
                </w:p>
              </w:tc>
              <w:tc>
                <w:tcPr>
                  <w:tcW w:w="537" w:type="pct"/>
                  <w:vMerge w:val="continue"/>
                  <w:tcBorders>
                    <w:top w:val="nil"/>
                    <w:left w:val="single" w:color="auto" w:sz="4" w:space="0"/>
                    <w:bottom w:val="single" w:color="auto" w:sz="4" w:space="0"/>
                    <w:right w:val="single" w:color="auto" w:sz="4" w:space="0"/>
                  </w:tcBorders>
                  <w:vAlign w:val="center"/>
                </w:tcPr>
                <w:p w14:paraId="30EBE2BA">
                  <w:pPr>
                    <w:widowControl/>
                    <w:jc w:val="center"/>
                    <w:rPr>
                      <w:kern w:val="2"/>
                      <w:sz w:val="18"/>
                      <w:szCs w:val="18"/>
                      <w:highlight w:val="red"/>
                    </w:rPr>
                  </w:pPr>
                </w:p>
              </w:tc>
              <w:tc>
                <w:tcPr>
                  <w:tcW w:w="449" w:type="pct"/>
                  <w:vMerge w:val="continue"/>
                  <w:tcBorders>
                    <w:top w:val="nil"/>
                    <w:left w:val="single" w:color="auto" w:sz="4" w:space="0"/>
                    <w:bottom w:val="single" w:color="auto" w:sz="4" w:space="0"/>
                    <w:right w:val="single" w:color="auto" w:sz="4" w:space="0"/>
                  </w:tcBorders>
                  <w:vAlign w:val="center"/>
                </w:tcPr>
                <w:p w14:paraId="2CA8A61C">
                  <w:pPr>
                    <w:widowControl/>
                    <w:jc w:val="center"/>
                    <w:rPr>
                      <w:kern w:val="2"/>
                      <w:sz w:val="18"/>
                      <w:szCs w:val="18"/>
                    </w:rPr>
                  </w:pPr>
                </w:p>
              </w:tc>
              <w:tc>
                <w:tcPr>
                  <w:tcW w:w="432" w:type="pct"/>
                  <w:vMerge w:val="continue"/>
                  <w:tcBorders>
                    <w:top w:val="nil"/>
                    <w:left w:val="single" w:color="auto" w:sz="4" w:space="0"/>
                    <w:bottom w:val="single" w:color="auto" w:sz="4" w:space="0"/>
                    <w:right w:val="single" w:color="auto" w:sz="4" w:space="0"/>
                  </w:tcBorders>
                  <w:vAlign w:val="center"/>
                </w:tcPr>
                <w:p w14:paraId="092EE67D">
                  <w:pPr>
                    <w:widowControl/>
                    <w:jc w:val="center"/>
                    <w:rPr>
                      <w:kern w:val="2"/>
                      <w:sz w:val="18"/>
                      <w:szCs w:val="18"/>
                    </w:rPr>
                  </w:pPr>
                </w:p>
              </w:tc>
              <w:tc>
                <w:tcPr>
                  <w:tcW w:w="500" w:type="pct"/>
                  <w:tcBorders>
                    <w:top w:val="single" w:color="auto" w:sz="4" w:space="0"/>
                    <w:left w:val="single" w:color="auto" w:sz="4" w:space="0"/>
                    <w:bottom w:val="single" w:color="auto" w:sz="4" w:space="0"/>
                    <w:right w:val="single" w:color="auto" w:sz="4" w:space="0"/>
                  </w:tcBorders>
                  <w:vAlign w:val="center"/>
                </w:tcPr>
                <w:p w14:paraId="5412EA29">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SS</w:t>
                  </w:r>
                </w:p>
              </w:tc>
              <w:tc>
                <w:tcPr>
                  <w:tcW w:w="744" w:type="dxa"/>
                  <w:tcBorders>
                    <w:top w:val="single" w:color="auto" w:sz="4" w:space="0"/>
                    <w:left w:val="single" w:color="auto" w:sz="4" w:space="0"/>
                    <w:bottom w:val="single" w:color="auto" w:sz="4" w:space="0"/>
                    <w:right w:val="single" w:color="auto" w:sz="4" w:space="0"/>
                  </w:tcBorders>
                  <w:vAlign w:val="center"/>
                </w:tcPr>
                <w:p w14:paraId="137A92A3">
                  <w:pPr>
                    <w:pStyle w:val="29"/>
                    <w:rPr>
                      <w:rFonts w:hint="default" w:ascii="Times New Roman" w:hAnsi="Times New Roman" w:eastAsia="宋体" w:cs="Times New Roman"/>
                    </w:rPr>
                  </w:pPr>
                  <w:r>
                    <w:rPr>
                      <w:sz w:val="21"/>
                      <w:szCs w:val="21"/>
                    </w:rPr>
                    <w:t>400</w:t>
                  </w:r>
                </w:p>
              </w:tc>
              <w:tc>
                <w:tcPr>
                  <w:tcW w:w="769" w:type="pct"/>
                  <w:vMerge w:val="continue"/>
                  <w:tcBorders>
                    <w:top w:val="nil"/>
                    <w:left w:val="single" w:color="auto" w:sz="4" w:space="0"/>
                    <w:bottom w:val="single" w:color="auto" w:sz="4" w:space="0"/>
                    <w:right w:val="single" w:color="auto" w:sz="4" w:space="0"/>
                  </w:tcBorders>
                  <w:vAlign w:val="center"/>
                </w:tcPr>
                <w:p w14:paraId="56474F7D">
                  <w:pPr>
                    <w:widowControl/>
                    <w:jc w:val="center"/>
                    <w:rPr>
                      <w:kern w:val="2"/>
                      <w:sz w:val="18"/>
                      <w:szCs w:val="18"/>
                    </w:rPr>
                  </w:pPr>
                </w:p>
              </w:tc>
              <w:tc>
                <w:tcPr>
                  <w:tcW w:w="492" w:type="pct"/>
                  <w:vMerge w:val="continue"/>
                  <w:tcBorders>
                    <w:top w:val="nil"/>
                    <w:left w:val="single" w:color="auto" w:sz="4" w:space="0"/>
                    <w:bottom w:val="single" w:color="auto" w:sz="4" w:space="0"/>
                    <w:right w:val="single" w:color="auto" w:sz="4" w:space="0"/>
                  </w:tcBorders>
                  <w:vAlign w:val="center"/>
                </w:tcPr>
                <w:p w14:paraId="249D5AF0">
                  <w:pPr>
                    <w:widowControl/>
                    <w:jc w:val="center"/>
                    <w:rPr>
                      <w:kern w:val="2"/>
                      <w:sz w:val="18"/>
                      <w:szCs w:val="18"/>
                    </w:rPr>
                  </w:pPr>
                </w:p>
              </w:tc>
            </w:tr>
            <w:tr w14:paraId="39067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4" w:hRule="atLeast"/>
                <w:jc w:val="center"/>
              </w:trPr>
              <w:tc>
                <w:tcPr>
                  <w:tcW w:w="457" w:type="pct"/>
                  <w:vMerge w:val="continue"/>
                  <w:tcBorders>
                    <w:top w:val="nil"/>
                    <w:left w:val="single" w:color="auto" w:sz="4" w:space="0"/>
                    <w:bottom w:val="single" w:color="auto" w:sz="4" w:space="0"/>
                    <w:right w:val="single" w:color="auto" w:sz="4" w:space="0"/>
                  </w:tcBorders>
                  <w:vAlign w:val="center"/>
                </w:tcPr>
                <w:p w14:paraId="6401F0B0">
                  <w:pPr>
                    <w:widowControl/>
                    <w:jc w:val="center"/>
                    <w:rPr>
                      <w:kern w:val="2"/>
                      <w:sz w:val="18"/>
                      <w:szCs w:val="18"/>
                    </w:rPr>
                  </w:pPr>
                </w:p>
              </w:tc>
              <w:tc>
                <w:tcPr>
                  <w:tcW w:w="280" w:type="pct"/>
                  <w:vMerge w:val="continue"/>
                  <w:tcBorders>
                    <w:top w:val="nil"/>
                    <w:left w:val="single" w:color="auto" w:sz="4" w:space="0"/>
                    <w:bottom w:val="single" w:color="auto" w:sz="4" w:space="0"/>
                    <w:right w:val="single" w:color="auto" w:sz="4" w:space="0"/>
                  </w:tcBorders>
                  <w:vAlign w:val="center"/>
                </w:tcPr>
                <w:p w14:paraId="67648E1F">
                  <w:pPr>
                    <w:widowControl/>
                    <w:jc w:val="center"/>
                    <w:rPr>
                      <w:kern w:val="2"/>
                      <w:sz w:val="18"/>
                      <w:szCs w:val="18"/>
                    </w:rPr>
                  </w:pPr>
                </w:p>
              </w:tc>
              <w:tc>
                <w:tcPr>
                  <w:tcW w:w="580" w:type="pct"/>
                  <w:vMerge w:val="continue"/>
                  <w:tcBorders>
                    <w:top w:val="nil"/>
                    <w:left w:val="single" w:color="auto" w:sz="4" w:space="0"/>
                    <w:bottom w:val="single" w:color="auto" w:sz="4" w:space="0"/>
                    <w:right w:val="single" w:color="auto" w:sz="4" w:space="0"/>
                  </w:tcBorders>
                  <w:vAlign w:val="center"/>
                </w:tcPr>
                <w:p w14:paraId="6B3A556A">
                  <w:pPr>
                    <w:widowControl/>
                    <w:jc w:val="center"/>
                    <w:rPr>
                      <w:kern w:val="2"/>
                      <w:sz w:val="18"/>
                      <w:szCs w:val="18"/>
                      <w:highlight w:val="red"/>
                    </w:rPr>
                  </w:pPr>
                </w:p>
              </w:tc>
              <w:tc>
                <w:tcPr>
                  <w:tcW w:w="537" w:type="pct"/>
                  <w:vMerge w:val="continue"/>
                  <w:tcBorders>
                    <w:top w:val="nil"/>
                    <w:left w:val="single" w:color="auto" w:sz="4" w:space="0"/>
                    <w:bottom w:val="single" w:color="auto" w:sz="4" w:space="0"/>
                    <w:right w:val="single" w:color="auto" w:sz="4" w:space="0"/>
                  </w:tcBorders>
                  <w:vAlign w:val="center"/>
                </w:tcPr>
                <w:p w14:paraId="3452D14E">
                  <w:pPr>
                    <w:widowControl/>
                    <w:jc w:val="center"/>
                    <w:rPr>
                      <w:kern w:val="2"/>
                      <w:sz w:val="18"/>
                      <w:szCs w:val="18"/>
                      <w:highlight w:val="red"/>
                    </w:rPr>
                  </w:pPr>
                </w:p>
              </w:tc>
              <w:tc>
                <w:tcPr>
                  <w:tcW w:w="449" w:type="pct"/>
                  <w:vMerge w:val="continue"/>
                  <w:tcBorders>
                    <w:top w:val="nil"/>
                    <w:left w:val="single" w:color="auto" w:sz="4" w:space="0"/>
                    <w:bottom w:val="single" w:color="auto" w:sz="4" w:space="0"/>
                    <w:right w:val="single" w:color="auto" w:sz="4" w:space="0"/>
                  </w:tcBorders>
                  <w:vAlign w:val="center"/>
                </w:tcPr>
                <w:p w14:paraId="5B72CA2A">
                  <w:pPr>
                    <w:widowControl/>
                    <w:jc w:val="center"/>
                    <w:rPr>
                      <w:kern w:val="2"/>
                      <w:sz w:val="18"/>
                      <w:szCs w:val="18"/>
                    </w:rPr>
                  </w:pPr>
                </w:p>
              </w:tc>
              <w:tc>
                <w:tcPr>
                  <w:tcW w:w="432" w:type="pct"/>
                  <w:vMerge w:val="continue"/>
                  <w:tcBorders>
                    <w:top w:val="nil"/>
                    <w:left w:val="single" w:color="auto" w:sz="4" w:space="0"/>
                    <w:bottom w:val="single" w:color="auto" w:sz="4" w:space="0"/>
                    <w:right w:val="single" w:color="auto" w:sz="4" w:space="0"/>
                  </w:tcBorders>
                  <w:vAlign w:val="center"/>
                </w:tcPr>
                <w:p w14:paraId="58BB1BC1">
                  <w:pPr>
                    <w:widowControl/>
                    <w:jc w:val="center"/>
                    <w:rPr>
                      <w:kern w:val="2"/>
                      <w:sz w:val="18"/>
                      <w:szCs w:val="18"/>
                    </w:rPr>
                  </w:pPr>
                </w:p>
              </w:tc>
              <w:tc>
                <w:tcPr>
                  <w:tcW w:w="500" w:type="pct"/>
                  <w:tcBorders>
                    <w:top w:val="single" w:color="auto" w:sz="4" w:space="0"/>
                    <w:left w:val="single" w:color="auto" w:sz="4" w:space="0"/>
                    <w:bottom w:val="single" w:color="auto" w:sz="4" w:space="0"/>
                    <w:right w:val="single" w:color="auto" w:sz="4" w:space="0"/>
                  </w:tcBorders>
                  <w:vAlign w:val="center"/>
                </w:tcPr>
                <w:p w14:paraId="191EF0C8">
                  <w:pPr>
                    <w:pStyle w:val="46"/>
                    <w:framePr w:hSpace="0" w:wrap="auto" w:vAnchor="margin" w:hAnchor="text" w:xAlign="left" w:yAlign="inline"/>
                    <w:rPr>
                      <w:rFonts w:hint="default" w:ascii="Times New Roman" w:hAnsi="Times New Roman" w:eastAsia="宋体" w:cs="Times New Roman"/>
                    </w:rPr>
                  </w:pPr>
                  <w:r>
                    <w:rPr>
                      <w:rFonts w:hint="default" w:ascii="Times New Roman" w:hAnsi="Times New Roman" w:eastAsia="宋体" w:cs="Times New Roman"/>
                    </w:rPr>
                    <w:t>NH</w:t>
                  </w:r>
                  <w:r>
                    <w:rPr>
                      <w:rFonts w:hint="eastAsia" w:ascii="Times New Roman" w:hAnsi="Times New Roman" w:eastAsia="宋体" w:cs="Times New Roman"/>
                      <w:vertAlign w:val="subscript"/>
                      <w:lang w:val="en-US" w:eastAsia="zh-CN"/>
                    </w:rPr>
                    <w:t>3</w:t>
                  </w:r>
                  <w:r>
                    <w:rPr>
                      <w:rFonts w:hint="default" w:ascii="Times New Roman" w:hAnsi="Times New Roman" w:eastAsia="宋体" w:cs="Times New Roman"/>
                    </w:rPr>
                    <w:t>-N</w:t>
                  </w:r>
                </w:p>
              </w:tc>
              <w:tc>
                <w:tcPr>
                  <w:tcW w:w="744" w:type="dxa"/>
                  <w:tcBorders>
                    <w:top w:val="single" w:color="auto" w:sz="4" w:space="0"/>
                    <w:left w:val="single" w:color="auto" w:sz="4" w:space="0"/>
                    <w:bottom w:val="single" w:color="auto" w:sz="4" w:space="0"/>
                    <w:right w:val="single" w:color="auto" w:sz="4" w:space="0"/>
                  </w:tcBorders>
                  <w:vAlign w:val="center"/>
                </w:tcPr>
                <w:p w14:paraId="17908C5E">
                  <w:pPr>
                    <w:pStyle w:val="29"/>
                    <w:rPr>
                      <w:rFonts w:hint="default" w:ascii="Times New Roman" w:hAnsi="Times New Roman" w:eastAsia="宋体" w:cs="Times New Roman"/>
                    </w:rPr>
                  </w:pPr>
                  <w:r>
                    <w:rPr>
                      <w:sz w:val="21"/>
                      <w:szCs w:val="21"/>
                    </w:rPr>
                    <w:t>45</w:t>
                  </w:r>
                </w:p>
              </w:tc>
              <w:tc>
                <w:tcPr>
                  <w:tcW w:w="769" w:type="pct"/>
                  <w:vMerge w:val="continue"/>
                  <w:tcBorders>
                    <w:top w:val="nil"/>
                    <w:left w:val="single" w:color="auto" w:sz="4" w:space="0"/>
                    <w:bottom w:val="single" w:color="auto" w:sz="4" w:space="0"/>
                    <w:right w:val="single" w:color="auto" w:sz="4" w:space="0"/>
                  </w:tcBorders>
                  <w:vAlign w:val="center"/>
                </w:tcPr>
                <w:p w14:paraId="32F86A7A">
                  <w:pPr>
                    <w:widowControl/>
                    <w:jc w:val="center"/>
                    <w:rPr>
                      <w:kern w:val="2"/>
                      <w:sz w:val="18"/>
                      <w:szCs w:val="18"/>
                    </w:rPr>
                  </w:pPr>
                </w:p>
              </w:tc>
              <w:tc>
                <w:tcPr>
                  <w:tcW w:w="492" w:type="pct"/>
                  <w:vMerge w:val="continue"/>
                  <w:tcBorders>
                    <w:top w:val="nil"/>
                    <w:left w:val="single" w:color="auto" w:sz="4" w:space="0"/>
                    <w:bottom w:val="single" w:color="auto" w:sz="4" w:space="0"/>
                    <w:right w:val="single" w:color="auto" w:sz="4" w:space="0"/>
                  </w:tcBorders>
                  <w:vAlign w:val="center"/>
                </w:tcPr>
                <w:p w14:paraId="46C9B58F">
                  <w:pPr>
                    <w:widowControl/>
                    <w:jc w:val="center"/>
                    <w:rPr>
                      <w:kern w:val="2"/>
                      <w:sz w:val="18"/>
                      <w:szCs w:val="18"/>
                    </w:rPr>
                  </w:pPr>
                </w:p>
              </w:tc>
            </w:tr>
          </w:tbl>
          <w:p w14:paraId="76AD78D2">
            <w:pPr>
              <w:pStyle w:val="37"/>
              <w:keepNext w:val="0"/>
              <w:keepLines w:val="0"/>
              <w:pageBreakBefore w:val="0"/>
              <w:kinsoku/>
              <w:overflowPunct/>
              <w:topLinePunct w:val="0"/>
              <w:autoSpaceDE/>
              <w:autoSpaceDN/>
              <w:bidi w:val="0"/>
              <w:spacing w:line="460" w:lineRule="exact"/>
              <w:ind w:firstLine="0" w:firstLineChars="0"/>
              <w:textAlignment w:val="auto"/>
              <w:rPr>
                <w:rFonts w:hint="default" w:ascii="Times New Roman" w:hAnsi="Times New Roman" w:cs="Times New Roman"/>
                <w:b/>
                <w:bCs/>
              </w:rPr>
            </w:pPr>
            <w:r>
              <w:rPr>
                <w:rFonts w:hint="default" w:ascii="Times New Roman" w:hAnsi="Times New Roman" w:cs="Times New Roman"/>
                <w:b/>
                <w:bCs/>
              </w:rPr>
              <w:t>4.3.</w:t>
            </w:r>
            <w:r>
              <w:rPr>
                <w:rFonts w:hint="eastAsia" w:cs="Times New Roman"/>
                <w:b/>
                <w:bCs/>
                <w:lang w:val="en-US" w:eastAsia="zh-CN"/>
              </w:rPr>
              <w:t>6</w:t>
            </w:r>
            <w:r>
              <w:rPr>
                <w:rFonts w:hint="default" w:ascii="Times New Roman" w:hAnsi="Times New Roman" w:cs="Times New Roman"/>
                <w:b/>
                <w:bCs/>
              </w:rPr>
              <w:t xml:space="preserve"> 废水污染物自行监测计划</w:t>
            </w:r>
          </w:p>
          <w:p w14:paraId="1BF105A6">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根据固定污染源排污许可分类管理名录(2019年版)内容，本项目排污申报为简化管理。对照《排污单位自行监测技术指南 总则》(HJ819-2017)、《排污单位自行监测技术指南印刷工业》（HJ 1246—2022）及《排污单位自行监测技术指南火力发电及锅炉》（HJ820-2017）中的的相关要求开展常规监测，本项目废气自行监测计划内容如下表。</w:t>
            </w:r>
          </w:p>
          <w:p w14:paraId="1D81503A">
            <w:pPr>
              <w:pStyle w:val="44"/>
              <w:keepNext w:val="0"/>
              <w:keepLines w:val="0"/>
              <w:pageBreakBefore w:val="0"/>
              <w:widowControl w:val="0"/>
              <w:kinsoku/>
              <w:wordWrap/>
              <w:overflowPunct/>
              <w:topLinePunct w:val="0"/>
              <w:autoSpaceDE/>
              <w:autoSpaceDN/>
              <w:bidi w:val="0"/>
              <w:adjustRightInd/>
              <w:snapToGrid/>
              <w:spacing w:before="0" w:beforeLines="0" w:line="460" w:lineRule="exact"/>
              <w:ind w:firstLine="198"/>
              <w:textAlignment w:val="auto"/>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snapToGrid w:val="0"/>
                <w:shd w:val="clear" w:color="auto" w:fill="FFFFFF"/>
              </w:rPr>
              <w:t>4</w:t>
            </w:r>
            <w:r>
              <w:rPr>
                <w:rFonts w:hint="eastAsia" w:cs="Times New Roman"/>
                <w:snapToGrid w:val="0"/>
                <w:shd w:val="clear" w:color="auto" w:fill="FFFFFF"/>
                <w:lang w:val="en-US" w:eastAsia="zh-CN"/>
              </w:rPr>
              <w:t>-</w:t>
            </w:r>
            <w:r>
              <w:rPr>
                <w:rFonts w:hint="default" w:ascii="Times New Roman" w:hAnsi="Times New Roman" w:cs="Times New Roman" w:eastAsiaTheme="minorEastAsia"/>
                <w:snapToGrid w:val="0"/>
                <w:shd w:val="clear" w:color="auto" w:fill="FFFFFF"/>
              </w:rPr>
              <w:t>1</w:t>
            </w:r>
            <w:r>
              <w:rPr>
                <w:rFonts w:hint="eastAsia" w:cs="Times New Roman" w:eastAsiaTheme="minorEastAsia"/>
                <w:snapToGrid w:val="0"/>
                <w:shd w:val="clear" w:color="auto" w:fill="FFFFFF"/>
                <w:lang w:val="en-US" w:eastAsia="zh-CN"/>
              </w:rPr>
              <w:t>9</w:t>
            </w:r>
            <w:r>
              <w:rPr>
                <w:rFonts w:hint="default" w:ascii="Times New Roman" w:hAnsi="Times New Roman" w:cs="Times New Roman"/>
              </w:rPr>
              <w:t xml:space="preserve"> 本项目监测计划一览表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3"/>
              <w:gridCol w:w="1081"/>
              <w:gridCol w:w="1621"/>
              <w:gridCol w:w="1314"/>
              <w:gridCol w:w="2988"/>
            </w:tblGrid>
            <w:tr w14:paraId="5FFD0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2" w:hRule="atLeast"/>
                <w:jc w:val="center"/>
              </w:trPr>
              <w:tc>
                <w:tcPr>
                  <w:tcW w:w="654" w:type="dxa"/>
                  <w:vAlign w:val="center"/>
                </w:tcPr>
                <w:p w14:paraId="04EF784C">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污染源</w:t>
                  </w:r>
                </w:p>
                <w:p w14:paraId="71E6AA10">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类别</w:t>
                  </w:r>
                </w:p>
              </w:tc>
              <w:tc>
                <w:tcPr>
                  <w:tcW w:w="1081" w:type="dxa"/>
                  <w:vAlign w:val="center"/>
                </w:tcPr>
                <w:p w14:paraId="39171954">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监测点位</w:t>
                  </w:r>
                </w:p>
              </w:tc>
              <w:tc>
                <w:tcPr>
                  <w:tcW w:w="1621" w:type="dxa"/>
                  <w:vAlign w:val="center"/>
                </w:tcPr>
                <w:p w14:paraId="46338C8C">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监测因子</w:t>
                  </w:r>
                </w:p>
              </w:tc>
              <w:tc>
                <w:tcPr>
                  <w:tcW w:w="1314" w:type="dxa"/>
                  <w:vAlign w:val="center"/>
                </w:tcPr>
                <w:p w14:paraId="1949560C">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最低监测频次</w:t>
                  </w:r>
                </w:p>
                <w:p w14:paraId="42A3B951">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（间接排放）</w:t>
                  </w:r>
                </w:p>
              </w:tc>
              <w:tc>
                <w:tcPr>
                  <w:tcW w:w="2988" w:type="dxa"/>
                  <w:vAlign w:val="center"/>
                </w:tcPr>
                <w:p w14:paraId="1E0925D4">
                  <w:pPr>
                    <w:pStyle w:val="46"/>
                    <w:framePr w:hSpace="0" w:wrap="auto" w:vAnchor="margin" w:hAnchor="text" w:xAlign="left" w:yAlign="inline"/>
                    <w:rPr>
                      <w:rFonts w:hint="default" w:ascii="Times New Roman" w:hAnsi="Times New Roman" w:eastAsia="宋体" w:cs="Times New Roman"/>
                      <w:b/>
                      <w:bCs/>
                    </w:rPr>
                  </w:pPr>
                  <w:r>
                    <w:rPr>
                      <w:rFonts w:hint="default" w:ascii="Times New Roman" w:hAnsi="Times New Roman" w:eastAsia="宋体" w:cs="Times New Roman"/>
                      <w:b/>
                      <w:bCs/>
                    </w:rPr>
                    <w:t>执行标准</w:t>
                  </w:r>
                </w:p>
              </w:tc>
            </w:tr>
            <w:tr w14:paraId="010A2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2" w:hRule="atLeast"/>
                <w:jc w:val="center"/>
              </w:trPr>
              <w:tc>
                <w:tcPr>
                  <w:tcW w:w="654" w:type="dxa"/>
                  <w:vAlign w:val="center"/>
                </w:tcPr>
                <w:p w14:paraId="083C8E6B">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废水</w:t>
                  </w:r>
                </w:p>
              </w:tc>
              <w:tc>
                <w:tcPr>
                  <w:tcW w:w="1081" w:type="dxa"/>
                  <w:vAlign w:val="center"/>
                </w:tcPr>
                <w:p w14:paraId="16305546">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污水总排口DW001</w:t>
                  </w:r>
                </w:p>
              </w:tc>
              <w:tc>
                <w:tcPr>
                  <w:tcW w:w="1621" w:type="dxa"/>
                  <w:vAlign w:val="center"/>
                </w:tcPr>
                <w:p w14:paraId="57440CF6">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pH值、化学需氧量、氨氮、悬浮物、流量</w:t>
                  </w:r>
                </w:p>
              </w:tc>
              <w:tc>
                <w:tcPr>
                  <w:tcW w:w="1314" w:type="dxa"/>
                  <w:vAlign w:val="center"/>
                </w:tcPr>
                <w:p w14:paraId="68B20B7D">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1次/年</w:t>
                  </w:r>
                </w:p>
              </w:tc>
              <w:tc>
                <w:tcPr>
                  <w:tcW w:w="2988" w:type="dxa"/>
                  <w:vAlign w:val="center"/>
                </w:tcPr>
                <w:p w14:paraId="116F9740">
                  <w:pPr>
                    <w:pStyle w:val="46"/>
                    <w:framePr w:hSpace="0" w:wrap="auto" w:vAnchor="margin" w:hAnchor="text" w:xAlign="left" w:yAlign="inline"/>
                    <w:rPr>
                      <w:rFonts w:hint="default" w:ascii="Times New Roman" w:hAnsi="Times New Roman" w:cs="Times New Roman"/>
                      <w:lang w:val="en-US"/>
                    </w:rPr>
                  </w:pPr>
                  <w:r>
                    <w:rPr>
                      <w:rFonts w:hint="default" w:ascii="Times New Roman" w:hAnsi="Times New Roman" w:cs="Times New Roman"/>
                    </w:rPr>
                    <w:t>山南新区污水处理厂接管标准限值和《污水综合排放标准》（GB8978-1996）三级标准</w:t>
                  </w:r>
                </w:p>
              </w:tc>
            </w:tr>
          </w:tbl>
          <w:p w14:paraId="78011416">
            <w:pPr>
              <w:pStyle w:val="37"/>
              <w:ind w:firstLine="0" w:firstLineChars="0"/>
              <w:rPr>
                <w:rFonts w:hint="default" w:ascii="Times New Roman" w:hAnsi="Times New Roman" w:cs="Times New Roman"/>
                <w:b/>
                <w:bCs/>
              </w:rPr>
            </w:pPr>
          </w:p>
        </w:tc>
        <w:tc>
          <w:tcPr>
            <w:tcW w:w="222" w:type="dxa"/>
          </w:tcPr>
          <w:p w14:paraId="5C6C7D50">
            <w:pPr>
              <w:ind w:firstLine="482" w:firstLineChars="200"/>
              <w:rPr>
                <w:rFonts w:hint="default" w:ascii="Times New Roman" w:hAnsi="Times New Roman" w:cs="Times New Roman"/>
                <w:b/>
                <w:bCs/>
              </w:rPr>
            </w:pPr>
          </w:p>
        </w:tc>
      </w:tr>
    </w:tbl>
    <w:p w14:paraId="0F87518F">
      <w:pPr>
        <w:rPr>
          <w:rFonts w:hint="default" w:ascii="Times New Roman" w:hAnsi="Times New Roman" w:cs="Times New Roman"/>
        </w:rPr>
      </w:pPr>
    </w:p>
    <w:p w14:paraId="5550935F">
      <w:pPr>
        <w:pStyle w:val="4"/>
        <w:rPr>
          <w:rFonts w:hint="default" w:ascii="Times New Roman" w:hAnsi="Times New Roman" w:cs="Times New Roman"/>
        </w:rPr>
        <w:sectPr>
          <w:headerReference r:id="rId10" w:type="default"/>
          <w:pgSz w:w="11906" w:h="16838"/>
          <w:pgMar w:top="1440" w:right="1800" w:bottom="1440" w:left="1800" w:header="851" w:footer="992" w:gutter="0"/>
          <w:cols w:space="425" w:num="1"/>
          <w:docGrid w:type="lines" w:linePitch="312" w:charSpace="0"/>
        </w:sectPr>
      </w:pPr>
    </w:p>
    <w:tbl>
      <w:tblPr>
        <w:tblStyle w:val="21"/>
        <w:tblW w:w="502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48"/>
        <w:gridCol w:w="13702"/>
      </w:tblGrid>
      <w:tr w14:paraId="579C76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08" w:hRule="atLeast"/>
          <w:jc w:val="center"/>
        </w:trPr>
        <w:tc>
          <w:tcPr>
            <w:tcW w:w="470" w:type="dxa"/>
            <w:tcMar>
              <w:left w:w="28" w:type="dxa"/>
              <w:right w:w="28" w:type="dxa"/>
            </w:tcMar>
            <w:vAlign w:val="center"/>
          </w:tcPr>
          <w:p w14:paraId="0F3274BD">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运营期环境影响和保护措施</w:t>
            </w:r>
          </w:p>
        </w:tc>
        <w:tc>
          <w:tcPr>
            <w:tcW w:w="14194" w:type="dxa"/>
          </w:tcPr>
          <w:p w14:paraId="1DB5263E">
            <w:pPr>
              <w:pStyle w:val="39"/>
              <w:rPr>
                <w:rFonts w:hint="default" w:ascii="Times New Roman" w:hAnsi="Times New Roman" w:cs="Times New Roman"/>
              </w:rPr>
            </w:pPr>
            <w:r>
              <w:rPr>
                <w:rFonts w:hint="default" w:ascii="Times New Roman" w:hAnsi="Times New Roman" w:cs="Times New Roman"/>
              </w:rPr>
              <w:t>4.4</w:t>
            </w:r>
            <w:r>
              <w:rPr>
                <w:rFonts w:hint="default" w:ascii="Times New Roman" w:hAnsi="Times New Roman" w:cs="Times New Roman"/>
                <w:bCs/>
              </w:rPr>
              <w:t>营运期噪声治理措施和环境影响分析</w:t>
            </w:r>
          </w:p>
          <w:p w14:paraId="4988D91D">
            <w:pPr>
              <w:pStyle w:val="40"/>
              <w:ind w:firstLine="0" w:firstLineChars="0"/>
              <w:rPr>
                <w:rFonts w:hint="default" w:ascii="Times New Roman" w:hAnsi="Times New Roman" w:cs="Times New Roman"/>
              </w:rPr>
            </w:pPr>
            <w:r>
              <w:rPr>
                <w:rFonts w:hint="default" w:ascii="Times New Roman" w:hAnsi="Times New Roman" w:cs="Times New Roman"/>
              </w:rPr>
              <w:t>4.4.1 噪声污染源强情况及降噪措施</w:t>
            </w:r>
          </w:p>
          <w:p w14:paraId="21FDF70B">
            <w:pPr>
              <w:pStyle w:val="36"/>
              <w:ind w:firstLine="480"/>
              <w:rPr>
                <w:rFonts w:hint="default" w:ascii="Times New Roman" w:hAnsi="Times New Roman" w:cs="Times New Roman"/>
              </w:rPr>
            </w:pPr>
            <w:r>
              <w:rPr>
                <w:rFonts w:hint="default" w:ascii="Times New Roman" w:hAnsi="Times New Roman" w:cs="Times New Roman"/>
              </w:rPr>
              <w:t>本项目营运期噪声主要为各生产设备和风机运行时产生的机械噪声，噪声值为70～85dB（A）。</w:t>
            </w:r>
          </w:p>
          <w:p w14:paraId="26FB1BBE">
            <w:pPr>
              <w:pStyle w:val="36"/>
              <w:wordWrap/>
              <w:ind w:firstLine="480"/>
              <w:rPr>
                <w:rFonts w:hint="default" w:ascii="Times New Roman" w:hAnsi="Times New Roman" w:cs="Times New Roman"/>
              </w:rPr>
            </w:pPr>
            <w:r>
              <w:rPr>
                <w:rFonts w:hint="default" w:ascii="Times New Roman" w:hAnsi="Times New Roman" w:cs="Times New Roman"/>
              </w:rPr>
              <w:t>本项目采取降噪措施如下：①在设备选型时采用低噪声设备；②合理布局，基础减振；③所有高噪声设备均安置在室内进行隔声处理，同时加强设备的维护保养，并定期检修。</w:t>
            </w:r>
          </w:p>
          <w:p w14:paraId="0A640B16">
            <w:pPr>
              <w:pStyle w:val="36"/>
              <w:wordWrap/>
              <w:ind w:firstLine="480"/>
              <w:rPr>
                <w:rFonts w:hint="default" w:ascii="Times New Roman" w:hAnsi="Times New Roman" w:cs="Times New Roman"/>
              </w:rPr>
            </w:pPr>
            <w:r>
              <w:rPr>
                <w:rFonts w:hint="default" w:ascii="Times New Roman" w:hAnsi="Times New Roman" w:cs="Times New Roman" w:eastAsiaTheme="minorEastAsia"/>
              </w:rPr>
              <w:t>项目产生噪声的噪声源强调查清单见下表。</w:t>
            </w:r>
          </w:p>
          <w:p w14:paraId="3B0A1446">
            <w:pPr>
              <w:pStyle w:val="42"/>
              <w:framePr w:hSpace="0" w:wrap="auto" w:vAnchor="margin" w:hAnchor="text" w:xAlign="left" w:yAlign="inline"/>
              <w:rPr>
                <w:rFonts w:hint="default" w:ascii="Times New Roman" w:hAnsi="Times New Roman" w:eastAsia="宋体" w:cs="Times New Roman"/>
                <w:lang w:bidi="ar"/>
              </w:rPr>
            </w:pPr>
            <w:bookmarkStart w:id="9" w:name="PT_6"/>
            <w:r>
              <w:rPr>
                <w:rFonts w:hint="default" w:ascii="Times New Roman" w:hAnsi="Times New Roman" w:eastAsia="宋体" w:cs="Times New Roman"/>
                <w:lang w:bidi="ar"/>
              </w:rPr>
              <w:t>表 4-</w:t>
            </w:r>
            <w:bookmarkEnd w:id="9"/>
            <w:r>
              <w:rPr>
                <w:rFonts w:hint="eastAsia" w:eastAsia="宋体" w:cs="Times New Roman"/>
                <w:lang w:val="en-US" w:eastAsia="zh-CN" w:bidi="ar"/>
              </w:rPr>
              <w:t>20</w:t>
            </w:r>
            <w:r>
              <w:rPr>
                <w:rFonts w:hint="default" w:ascii="Times New Roman" w:hAnsi="Times New Roman" w:eastAsia="宋体" w:cs="Times New Roman"/>
                <w:lang w:bidi="ar"/>
              </w:rPr>
              <w:t>项目工业企业噪声源强调查清单</w:t>
            </w:r>
          </w:p>
          <w:tbl>
            <w:tblPr>
              <w:tblStyle w:val="21"/>
              <w:tblpPr w:leftFromText="180" w:rightFromText="180" w:vertAnchor="text" w:horzAnchor="page" w:tblpXSpec="center" w:tblpY="323"/>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
              <w:gridCol w:w="627"/>
              <w:gridCol w:w="717"/>
              <w:gridCol w:w="397"/>
              <w:gridCol w:w="768"/>
              <w:gridCol w:w="684"/>
              <w:gridCol w:w="472"/>
              <w:gridCol w:w="386"/>
              <w:gridCol w:w="345"/>
              <w:gridCol w:w="421"/>
              <w:gridCol w:w="475"/>
              <w:gridCol w:w="475"/>
              <w:gridCol w:w="502"/>
              <w:gridCol w:w="469"/>
              <w:gridCol w:w="472"/>
              <w:gridCol w:w="472"/>
              <w:gridCol w:w="370"/>
              <w:gridCol w:w="637"/>
              <w:gridCol w:w="434"/>
              <w:gridCol w:w="448"/>
              <w:gridCol w:w="429"/>
              <w:gridCol w:w="432"/>
              <w:gridCol w:w="475"/>
              <w:gridCol w:w="502"/>
              <w:gridCol w:w="488"/>
              <w:gridCol w:w="475"/>
              <w:gridCol w:w="707"/>
            </w:tblGrid>
            <w:tr w14:paraId="50B1D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7" w:type="pct"/>
                  <w:vMerge w:val="restart"/>
                  <w:vAlign w:val="center"/>
                </w:tcPr>
                <w:p w14:paraId="0CB88DA3">
                  <w:pPr>
                    <w:pStyle w:val="29"/>
                    <w:adjustRightInd w:val="0"/>
                    <w:snapToGrid w:val="0"/>
                    <w:rPr>
                      <w:rFonts w:hint="default" w:ascii="Times New Roman" w:hAnsi="Times New Roman" w:cs="Times New Roman"/>
                      <w:b/>
                      <w:bCs/>
                    </w:rPr>
                  </w:pPr>
                  <w:r>
                    <w:rPr>
                      <w:rFonts w:hint="default" w:ascii="Times New Roman" w:hAnsi="Times New Roman" w:cs="Times New Roman"/>
                      <w:b/>
                      <w:bCs/>
                    </w:rPr>
                    <w:t>序号</w:t>
                  </w:r>
                </w:p>
              </w:tc>
              <w:tc>
                <w:tcPr>
                  <w:tcW w:w="233" w:type="pct"/>
                  <w:vMerge w:val="restart"/>
                  <w:vAlign w:val="center"/>
                </w:tcPr>
                <w:p w14:paraId="1F1E4F47">
                  <w:pPr>
                    <w:pStyle w:val="29"/>
                    <w:adjustRightInd w:val="0"/>
                    <w:snapToGrid w:val="0"/>
                    <w:rPr>
                      <w:rFonts w:hint="default" w:ascii="Times New Roman" w:hAnsi="Times New Roman" w:cs="Times New Roman"/>
                      <w:b/>
                      <w:bCs/>
                    </w:rPr>
                  </w:pPr>
                  <w:r>
                    <w:rPr>
                      <w:rFonts w:hint="default" w:ascii="Times New Roman" w:hAnsi="Times New Roman" w:cs="Times New Roman"/>
                      <w:b/>
                      <w:bCs/>
                    </w:rPr>
                    <w:t>建筑物名称</w:t>
                  </w:r>
                </w:p>
              </w:tc>
              <w:tc>
                <w:tcPr>
                  <w:tcW w:w="266" w:type="pct"/>
                  <w:vMerge w:val="restart"/>
                  <w:vAlign w:val="center"/>
                </w:tcPr>
                <w:p w14:paraId="68D41EF2">
                  <w:pPr>
                    <w:pStyle w:val="29"/>
                    <w:adjustRightInd w:val="0"/>
                    <w:snapToGrid w:val="0"/>
                    <w:rPr>
                      <w:rFonts w:hint="default" w:ascii="Times New Roman" w:hAnsi="Times New Roman" w:cs="Times New Roman"/>
                      <w:b/>
                      <w:bCs/>
                    </w:rPr>
                  </w:pPr>
                  <w:r>
                    <w:rPr>
                      <w:rFonts w:hint="default" w:ascii="Times New Roman" w:hAnsi="Times New Roman" w:cs="Times New Roman"/>
                      <w:b/>
                      <w:bCs/>
                    </w:rPr>
                    <w:t>声源名称</w:t>
                  </w:r>
                </w:p>
              </w:tc>
              <w:tc>
                <w:tcPr>
                  <w:tcW w:w="147" w:type="pct"/>
                  <w:vMerge w:val="restart"/>
                  <w:vAlign w:val="center"/>
                </w:tcPr>
                <w:p w14:paraId="2CB4270C">
                  <w:pPr>
                    <w:pStyle w:val="29"/>
                    <w:adjustRightInd w:val="0"/>
                    <w:snapToGrid w:val="0"/>
                    <w:jc w:val="center"/>
                    <w:rPr>
                      <w:rFonts w:hint="default" w:ascii="Times New Roman" w:hAnsi="Times New Roman" w:cs="Times New Roman"/>
                      <w:b/>
                      <w:bCs/>
                    </w:rPr>
                  </w:pPr>
                  <w:r>
                    <w:rPr>
                      <w:rFonts w:hint="default" w:ascii="Times New Roman" w:hAnsi="Times New Roman" w:cs="Times New Roman"/>
                      <w:b/>
                      <w:bCs/>
                    </w:rPr>
                    <w:t>型号</w:t>
                  </w:r>
                </w:p>
              </w:tc>
              <w:tc>
                <w:tcPr>
                  <w:tcW w:w="285" w:type="pct"/>
                  <w:vMerge w:val="restart"/>
                  <w:vAlign w:val="center"/>
                </w:tcPr>
                <w:p w14:paraId="164AB7E0">
                  <w:pPr>
                    <w:pStyle w:val="29"/>
                    <w:adjustRightInd w:val="0"/>
                    <w:snapToGrid w:val="0"/>
                    <w:rPr>
                      <w:rFonts w:hint="default" w:ascii="Times New Roman" w:hAnsi="Times New Roman" w:cs="Times New Roman"/>
                      <w:b/>
                      <w:bCs/>
                    </w:rPr>
                  </w:pPr>
                  <w:r>
                    <w:rPr>
                      <w:rFonts w:hint="default" w:ascii="Times New Roman" w:hAnsi="Times New Roman" w:cs="Times New Roman"/>
                      <w:b/>
                      <w:bCs/>
                    </w:rPr>
                    <w:t>声功率级/dB(A)</w:t>
                  </w:r>
                </w:p>
              </w:tc>
              <w:tc>
                <w:tcPr>
                  <w:tcW w:w="254" w:type="pct"/>
                  <w:vMerge w:val="restart"/>
                  <w:vAlign w:val="center"/>
                </w:tcPr>
                <w:p w14:paraId="4B7CCEE9">
                  <w:pPr>
                    <w:pStyle w:val="29"/>
                    <w:adjustRightInd w:val="0"/>
                    <w:snapToGrid w:val="0"/>
                    <w:rPr>
                      <w:rFonts w:hint="default" w:ascii="Times New Roman" w:hAnsi="Times New Roman" w:cs="Times New Roman"/>
                      <w:b/>
                      <w:bCs/>
                    </w:rPr>
                  </w:pPr>
                  <w:r>
                    <w:rPr>
                      <w:rFonts w:hint="default" w:ascii="Times New Roman" w:hAnsi="Times New Roman" w:cs="Times New Roman"/>
                      <w:b/>
                      <w:bCs/>
                    </w:rPr>
                    <w:t>声源控制措施</w:t>
                  </w:r>
                </w:p>
              </w:tc>
              <w:tc>
                <w:tcPr>
                  <w:tcW w:w="446" w:type="pct"/>
                  <w:gridSpan w:val="3"/>
                  <w:vAlign w:val="center"/>
                </w:tcPr>
                <w:p w14:paraId="0E1AA5E0">
                  <w:pPr>
                    <w:pStyle w:val="29"/>
                    <w:adjustRightInd w:val="0"/>
                    <w:snapToGrid w:val="0"/>
                    <w:rPr>
                      <w:rFonts w:hint="default" w:ascii="Times New Roman" w:hAnsi="Times New Roman" w:cs="Times New Roman"/>
                      <w:b/>
                      <w:bCs/>
                    </w:rPr>
                  </w:pPr>
                  <w:r>
                    <w:rPr>
                      <w:rFonts w:hint="default" w:ascii="Times New Roman" w:hAnsi="Times New Roman" w:cs="Times New Roman"/>
                      <w:b/>
                      <w:bCs/>
                    </w:rPr>
                    <w:t>空间相对位置/m</w:t>
                  </w:r>
                </w:p>
              </w:tc>
              <w:tc>
                <w:tcPr>
                  <w:tcW w:w="694" w:type="pct"/>
                  <w:gridSpan w:val="4"/>
                  <w:vAlign w:val="center"/>
                </w:tcPr>
                <w:p w14:paraId="2F5A4510">
                  <w:pPr>
                    <w:pStyle w:val="29"/>
                    <w:adjustRightInd w:val="0"/>
                    <w:snapToGrid w:val="0"/>
                    <w:rPr>
                      <w:rFonts w:hint="default" w:ascii="Times New Roman" w:hAnsi="Times New Roman" w:cs="Times New Roman"/>
                      <w:b/>
                      <w:bCs/>
                    </w:rPr>
                  </w:pPr>
                  <w:r>
                    <w:rPr>
                      <w:rFonts w:hint="default" w:ascii="Times New Roman" w:hAnsi="Times New Roman" w:cs="Times New Roman"/>
                      <w:b/>
                      <w:bCs/>
                    </w:rPr>
                    <w:t>距室内边界距离/m</w:t>
                  </w:r>
                </w:p>
              </w:tc>
              <w:tc>
                <w:tcPr>
                  <w:tcW w:w="661" w:type="pct"/>
                  <w:gridSpan w:val="4"/>
                  <w:vAlign w:val="center"/>
                </w:tcPr>
                <w:p w14:paraId="3518439D">
                  <w:pPr>
                    <w:pStyle w:val="29"/>
                    <w:adjustRightInd w:val="0"/>
                    <w:snapToGrid w:val="0"/>
                    <w:rPr>
                      <w:rFonts w:hint="default" w:ascii="Times New Roman" w:hAnsi="Times New Roman" w:cs="Times New Roman"/>
                      <w:b/>
                      <w:bCs/>
                    </w:rPr>
                  </w:pPr>
                  <w:r>
                    <w:rPr>
                      <w:rFonts w:hint="default" w:ascii="Times New Roman" w:hAnsi="Times New Roman" w:cs="Times New Roman"/>
                      <w:b/>
                      <w:bCs/>
                    </w:rPr>
                    <w:t>室内边界声级/dB(A)</w:t>
                  </w:r>
                </w:p>
              </w:tc>
              <w:tc>
                <w:tcPr>
                  <w:tcW w:w="236" w:type="pct"/>
                  <w:vMerge w:val="restart"/>
                  <w:vAlign w:val="center"/>
                </w:tcPr>
                <w:p w14:paraId="7EE6BED7">
                  <w:pPr>
                    <w:pStyle w:val="29"/>
                    <w:adjustRightInd w:val="0"/>
                    <w:snapToGrid w:val="0"/>
                    <w:rPr>
                      <w:rFonts w:hint="default" w:ascii="Times New Roman" w:hAnsi="Times New Roman" w:cs="Times New Roman"/>
                      <w:b/>
                      <w:bCs/>
                    </w:rPr>
                  </w:pPr>
                  <w:r>
                    <w:rPr>
                      <w:rFonts w:hint="default" w:ascii="Times New Roman" w:hAnsi="Times New Roman" w:cs="Times New Roman"/>
                      <w:b/>
                      <w:bCs/>
                    </w:rPr>
                    <w:t>运行时段</w:t>
                  </w:r>
                </w:p>
              </w:tc>
              <w:tc>
                <w:tcPr>
                  <w:tcW w:w="646" w:type="pct"/>
                  <w:gridSpan w:val="4"/>
                  <w:vAlign w:val="center"/>
                </w:tcPr>
                <w:p w14:paraId="75343204">
                  <w:pPr>
                    <w:pStyle w:val="29"/>
                    <w:adjustRightInd w:val="0"/>
                    <w:snapToGrid w:val="0"/>
                    <w:rPr>
                      <w:rFonts w:hint="default" w:ascii="Times New Roman" w:hAnsi="Times New Roman" w:cs="Times New Roman"/>
                      <w:b/>
                      <w:bCs/>
                    </w:rPr>
                  </w:pPr>
                  <w:r>
                    <w:rPr>
                      <w:rFonts w:hint="default" w:ascii="Times New Roman" w:hAnsi="Times New Roman" w:cs="Times New Roman"/>
                      <w:b/>
                      <w:bCs/>
                    </w:rPr>
                    <w:t>建筑物插入损失 / dB(A)</w:t>
                  </w:r>
                </w:p>
              </w:tc>
              <w:tc>
                <w:tcPr>
                  <w:tcW w:w="981" w:type="pct"/>
                  <w:gridSpan w:val="5"/>
                  <w:vAlign w:val="center"/>
                </w:tcPr>
                <w:p w14:paraId="6E6FC3A7">
                  <w:pPr>
                    <w:pStyle w:val="29"/>
                    <w:adjustRightInd w:val="0"/>
                    <w:snapToGrid w:val="0"/>
                    <w:rPr>
                      <w:rFonts w:hint="default" w:ascii="Times New Roman" w:hAnsi="Times New Roman" w:cs="Times New Roman"/>
                      <w:b/>
                      <w:bCs/>
                    </w:rPr>
                  </w:pPr>
                  <w:r>
                    <w:rPr>
                      <w:rFonts w:hint="default" w:ascii="Times New Roman" w:hAnsi="Times New Roman" w:cs="Times New Roman"/>
                      <w:b/>
                      <w:bCs/>
                    </w:rPr>
                    <w:t>建筑物外噪声声压级/dB(A)</w:t>
                  </w:r>
                </w:p>
              </w:tc>
            </w:tr>
            <w:tr w14:paraId="4BF47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vMerge w:val="continue"/>
                  <w:shd w:val="clear" w:color="auto" w:fill="FFFFFF"/>
                  <w:tcMar>
                    <w:top w:w="0" w:type="dxa"/>
                    <w:left w:w="0" w:type="dxa"/>
                    <w:bottom w:w="0" w:type="dxa"/>
                    <w:right w:w="0" w:type="dxa"/>
                  </w:tcMar>
                  <w:vAlign w:val="center"/>
                </w:tcPr>
                <w:p w14:paraId="516313BA">
                  <w:pPr>
                    <w:pStyle w:val="29"/>
                    <w:adjustRightInd w:val="0"/>
                    <w:snapToGrid w:val="0"/>
                    <w:rPr>
                      <w:rFonts w:hint="default" w:ascii="Times New Roman" w:hAnsi="Times New Roman" w:cs="Times New Roman"/>
                      <w:b/>
                      <w:bCs/>
                    </w:rPr>
                  </w:pPr>
                </w:p>
              </w:tc>
              <w:tc>
                <w:tcPr>
                  <w:tcW w:w="233" w:type="pct"/>
                  <w:vMerge w:val="continue"/>
                  <w:shd w:val="clear" w:color="auto" w:fill="FFFFFF"/>
                  <w:tcMar>
                    <w:top w:w="0" w:type="dxa"/>
                    <w:left w:w="0" w:type="dxa"/>
                    <w:bottom w:w="0" w:type="dxa"/>
                    <w:right w:w="0" w:type="dxa"/>
                  </w:tcMar>
                  <w:vAlign w:val="center"/>
                </w:tcPr>
                <w:p w14:paraId="60F897A4">
                  <w:pPr>
                    <w:pStyle w:val="29"/>
                    <w:adjustRightInd w:val="0"/>
                    <w:snapToGrid w:val="0"/>
                    <w:rPr>
                      <w:rFonts w:hint="default" w:ascii="Times New Roman" w:hAnsi="Times New Roman" w:cs="Times New Roman"/>
                      <w:b/>
                      <w:bCs/>
                    </w:rPr>
                  </w:pPr>
                </w:p>
              </w:tc>
              <w:tc>
                <w:tcPr>
                  <w:tcW w:w="266" w:type="pct"/>
                  <w:vMerge w:val="continue"/>
                  <w:shd w:val="clear" w:color="auto" w:fill="FFFFFF"/>
                  <w:tcMar>
                    <w:top w:w="0" w:type="dxa"/>
                    <w:left w:w="0" w:type="dxa"/>
                    <w:bottom w:w="0" w:type="dxa"/>
                    <w:right w:w="0" w:type="dxa"/>
                  </w:tcMar>
                  <w:vAlign w:val="center"/>
                </w:tcPr>
                <w:p w14:paraId="3BDE5CF3">
                  <w:pPr>
                    <w:pStyle w:val="29"/>
                    <w:adjustRightInd w:val="0"/>
                    <w:snapToGrid w:val="0"/>
                    <w:rPr>
                      <w:rFonts w:hint="default" w:ascii="Times New Roman" w:hAnsi="Times New Roman" w:cs="Times New Roman"/>
                      <w:b/>
                      <w:bCs/>
                    </w:rPr>
                  </w:pPr>
                </w:p>
              </w:tc>
              <w:tc>
                <w:tcPr>
                  <w:tcW w:w="147" w:type="pct"/>
                  <w:vMerge w:val="continue"/>
                  <w:shd w:val="clear" w:color="auto" w:fill="FFFFFF"/>
                  <w:tcMar>
                    <w:top w:w="0" w:type="dxa"/>
                    <w:left w:w="0" w:type="dxa"/>
                    <w:bottom w:w="0" w:type="dxa"/>
                    <w:right w:w="0" w:type="dxa"/>
                  </w:tcMar>
                  <w:vAlign w:val="center"/>
                </w:tcPr>
                <w:p w14:paraId="5CA09F1B">
                  <w:pPr>
                    <w:pStyle w:val="29"/>
                    <w:adjustRightInd w:val="0"/>
                    <w:snapToGrid w:val="0"/>
                    <w:jc w:val="center"/>
                    <w:rPr>
                      <w:rFonts w:hint="default" w:ascii="Times New Roman" w:hAnsi="Times New Roman" w:cs="Times New Roman"/>
                      <w:b/>
                      <w:bCs/>
                    </w:rPr>
                  </w:pPr>
                </w:p>
              </w:tc>
              <w:tc>
                <w:tcPr>
                  <w:tcW w:w="285" w:type="pct"/>
                  <w:vMerge w:val="continue"/>
                  <w:shd w:val="clear" w:color="auto" w:fill="FFFFFF"/>
                  <w:tcMar>
                    <w:top w:w="0" w:type="dxa"/>
                    <w:left w:w="0" w:type="dxa"/>
                    <w:bottom w:w="0" w:type="dxa"/>
                    <w:right w:w="0" w:type="dxa"/>
                  </w:tcMar>
                  <w:vAlign w:val="center"/>
                </w:tcPr>
                <w:p w14:paraId="1904BDEE">
                  <w:pPr>
                    <w:pStyle w:val="29"/>
                    <w:adjustRightInd w:val="0"/>
                    <w:snapToGrid w:val="0"/>
                    <w:rPr>
                      <w:rFonts w:hint="default" w:ascii="Times New Roman" w:hAnsi="Times New Roman" w:cs="Times New Roman"/>
                      <w:b/>
                      <w:bCs/>
                    </w:rPr>
                  </w:pPr>
                </w:p>
              </w:tc>
              <w:tc>
                <w:tcPr>
                  <w:tcW w:w="254" w:type="pct"/>
                  <w:vMerge w:val="continue"/>
                  <w:shd w:val="clear" w:color="auto" w:fill="FFFFFF"/>
                  <w:tcMar>
                    <w:top w:w="0" w:type="dxa"/>
                    <w:left w:w="0" w:type="dxa"/>
                    <w:bottom w:w="0" w:type="dxa"/>
                    <w:right w:w="0" w:type="dxa"/>
                  </w:tcMar>
                  <w:vAlign w:val="center"/>
                </w:tcPr>
                <w:p w14:paraId="65F7153F">
                  <w:pPr>
                    <w:pStyle w:val="29"/>
                    <w:adjustRightInd w:val="0"/>
                    <w:snapToGrid w:val="0"/>
                    <w:rPr>
                      <w:rFonts w:hint="default" w:ascii="Times New Roman" w:hAnsi="Times New Roman" w:cs="Times New Roman"/>
                      <w:b/>
                      <w:bCs/>
                    </w:rPr>
                  </w:pPr>
                </w:p>
              </w:tc>
              <w:tc>
                <w:tcPr>
                  <w:tcW w:w="175" w:type="pct"/>
                  <w:shd w:val="clear" w:color="auto" w:fill="FFFFFF"/>
                  <w:tcMar>
                    <w:top w:w="0" w:type="dxa"/>
                    <w:left w:w="0" w:type="dxa"/>
                    <w:bottom w:w="0" w:type="dxa"/>
                    <w:right w:w="0" w:type="dxa"/>
                  </w:tcMar>
                  <w:vAlign w:val="center"/>
                </w:tcPr>
                <w:p w14:paraId="52F6FE28">
                  <w:pPr>
                    <w:pStyle w:val="29"/>
                    <w:adjustRightInd w:val="0"/>
                    <w:snapToGrid w:val="0"/>
                    <w:rPr>
                      <w:rFonts w:hint="default" w:ascii="Times New Roman" w:hAnsi="Times New Roman" w:cs="Times New Roman"/>
                      <w:b/>
                      <w:bCs/>
                    </w:rPr>
                  </w:pPr>
                  <w:r>
                    <w:rPr>
                      <w:rFonts w:hint="default" w:ascii="Times New Roman" w:hAnsi="Times New Roman" w:cs="Times New Roman"/>
                      <w:b/>
                      <w:bCs/>
                    </w:rPr>
                    <w:t>X</w:t>
                  </w:r>
                </w:p>
              </w:tc>
              <w:tc>
                <w:tcPr>
                  <w:tcW w:w="143" w:type="pct"/>
                  <w:shd w:val="clear" w:color="auto" w:fill="FFFFFF"/>
                  <w:tcMar>
                    <w:top w:w="0" w:type="dxa"/>
                    <w:left w:w="0" w:type="dxa"/>
                    <w:bottom w:w="0" w:type="dxa"/>
                    <w:right w:w="0" w:type="dxa"/>
                  </w:tcMar>
                  <w:vAlign w:val="center"/>
                </w:tcPr>
                <w:p w14:paraId="6881306D">
                  <w:pPr>
                    <w:pStyle w:val="29"/>
                    <w:adjustRightInd w:val="0"/>
                    <w:snapToGrid w:val="0"/>
                    <w:rPr>
                      <w:rFonts w:hint="default" w:ascii="Times New Roman" w:hAnsi="Times New Roman" w:cs="Times New Roman"/>
                      <w:b/>
                      <w:bCs/>
                    </w:rPr>
                  </w:pPr>
                  <w:r>
                    <w:rPr>
                      <w:rFonts w:hint="default" w:ascii="Times New Roman" w:hAnsi="Times New Roman" w:cs="Times New Roman"/>
                      <w:b/>
                      <w:bCs/>
                    </w:rPr>
                    <w:t>Y</w:t>
                  </w:r>
                </w:p>
              </w:tc>
              <w:tc>
                <w:tcPr>
                  <w:tcW w:w="128" w:type="pct"/>
                  <w:shd w:val="clear" w:color="auto" w:fill="FFFFFF"/>
                  <w:tcMar>
                    <w:top w:w="0" w:type="dxa"/>
                    <w:left w:w="0" w:type="dxa"/>
                    <w:bottom w:w="0" w:type="dxa"/>
                    <w:right w:w="0" w:type="dxa"/>
                  </w:tcMar>
                  <w:vAlign w:val="center"/>
                </w:tcPr>
                <w:p w14:paraId="3F2BB504">
                  <w:pPr>
                    <w:pStyle w:val="29"/>
                    <w:adjustRightInd w:val="0"/>
                    <w:snapToGrid w:val="0"/>
                    <w:rPr>
                      <w:rFonts w:hint="default" w:ascii="Times New Roman" w:hAnsi="Times New Roman" w:cs="Times New Roman"/>
                      <w:b/>
                      <w:bCs/>
                    </w:rPr>
                  </w:pPr>
                  <w:r>
                    <w:rPr>
                      <w:rFonts w:hint="default" w:ascii="Times New Roman" w:hAnsi="Times New Roman" w:cs="Times New Roman"/>
                      <w:b/>
                      <w:bCs/>
                    </w:rPr>
                    <w:t>Z</w:t>
                  </w:r>
                </w:p>
              </w:tc>
              <w:tc>
                <w:tcPr>
                  <w:tcW w:w="156" w:type="pct"/>
                  <w:shd w:val="clear" w:color="auto" w:fill="FFFFFF"/>
                  <w:tcMar>
                    <w:top w:w="0" w:type="dxa"/>
                    <w:left w:w="0" w:type="dxa"/>
                    <w:bottom w:w="0" w:type="dxa"/>
                    <w:right w:w="0" w:type="dxa"/>
                  </w:tcMar>
                  <w:vAlign w:val="center"/>
                </w:tcPr>
                <w:p w14:paraId="0ACC381E">
                  <w:pPr>
                    <w:pStyle w:val="29"/>
                    <w:adjustRightInd w:val="0"/>
                    <w:snapToGrid w:val="0"/>
                    <w:rPr>
                      <w:rFonts w:hint="default" w:ascii="Times New Roman" w:hAnsi="Times New Roman" w:cs="Times New Roman"/>
                      <w:b/>
                      <w:bCs/>
                    </w:rPr>
                  </w:pPr>
                  <w:r>
                    <w:rPr>
                      <w:rFonts w:hint="default" w:ascii="Times New Roman" w:hAnsi="Times New Roman" w:cs="Times New Roman"/>
                      <w:b/>
                      <w:bCs/>
                    </w:rPr>
                    <w:t>东</w:t>
                  </w:r>
                </w:p>
              </w:tc>
              <w:tc>
                <w:tcPr>
                  <w:tcW w:w="176" w:type="pct"/>
                  <w:shd w:val="clear" w:color="auto" w:fill="FFFFFF"/>
                  <w:tcMar>
                    <w:top w:w="0" w:type="dxa"/>
                    <w:left w:w="0" w:type="dxa"/>
                    <w:bottom w:w="0" w:type="dxa"/>
                    <w:right w:w="0" w:type="dxa"/>
                  </w:tcMar>
                  <w:vAlign w:val="center"/>
                </w:tcPr>
                <w:p w14:paraId="57918C52">
                  <w:pPr>
                    <w:pStyle w:val="29"/>
                    <w:adjustRightInd w:val="0"/>
                    <w:snapToGrid w:val="0"/>
                    <w:rPr>
                      <w:rFonts w:hint="default" w:ascii="Times New Roman" w:hAnsi="Times New Roman" w:cs="Times New Roman"/>
                      <w:b/>
                      <w:bCs/>
                    </w:rPr>
                  </w:pPr>
                  <w:r>
                    <w:rPr>
                      <w:rFonts w:hint="default" w:ascii="Times New Roman" w:hAnsi="Times New Roman" w:cs="Times New Roman"/>
                      <w:b/>
                      <w:bCs/>
                    </w:rPr>
                    <w:t>南</w:t>
                  </w:r>
                </w:p>
              </w:tc>
              <w:tc>
                <w:tcPr>
                  <w:tcW w:w="176" w:type="pct"/>
                  <w:shd w:val="clear" w:color="auto" w:fill="FFFFFF"/>
                  <w:tcMar>
                    <w:top w:w="0" w:type="dxa"/>
                    <w:left w:w="0" w:type="dxa"/>
                    <w:bottom w:w="0" w:type="dxa"/>
                    <w:right w:w="0" w:type="dxa"/>
                  </w:tcMar>
                  <w:vAlign w:val="center"/>
                </w:tcPr>
                <w:p w14:paraId="05C11330">
                  <w:pPr>
                    <w:pStyle w:val="29"/>
                    <w:adjustRightInd w:val="0"/>
                    <w:snapToGrid w:val="0"/>
                    <w:rPr>
                      <w:rFonts w:hint="default" w:ascii="Times New Roman" w:hAnsi="Times New Roman" w:cs="Times New Roman"/>
                      <w:b/>
                      <w:bCs/>
                    </w:rPr>
                  </w:pPr>
                  <w:r>
                    <w:rPr>
                      <w:rFonts w:hint="default" w:ascii="Times New Roman" w:hAnsi="Times New Roman" w:cs="Times New Roman"/>
                      <w:b/>
                      <w:bCs/>
                    </w:rPr>
                    <w:t>西</w:t>
                  </w:r>
                </w:p>
              </w:tc>
              <w:tc>
                <w:tcPr>
                  <w:tcW w:w="186" w:type="pct"/>
                  <w:shd w:val="clear" w:color="auto" w:fill="FFFFFF"/>
                  <w:tcMar>
                    <w:top w:w="0" w:type="dxa"/>
                    <w:left w:w="0" w:type="dxa"/>
                    <w:bottom w:w="0" w:type="dxa"/>
                    <w:right w:w="0" w:type="dxa"/>
                  </w:tcMar>
                  <w:vAlign w:val="center"/>
                </w:tcPr>
                <w:p w14:paraId="5B09D368">
                  <w:pPr>
                    <w:pStyle w:val="29"/>
                    <w:adjustRightInd w:val="0"/>
                    <w:snapToGrid w:val="0"/>
                    <w:rPr>
                      <w:rFonts w:hint="default" w:ascii="Times New Roman" w:hAnsi="Times New Roman" w:cs="Times New Roman"/>
                      <w:b/>
                      <w:bCs/>
                    </w:rPr>
                  </w:pPr>
                  <w:r>
                    <w:rPr>
                      <w:rFonts w:hint="default" w:ascii="Times New Roman" w:hAnsi="Times New Roman" w:cs="Times New Roman"/>
                      <w:b/>
                      <w:bCs/>
                    </w:rPr>
                    <w:t>北</w:t>
                  </w:r>
                </w:p>
              </w:tc>
              <w:tc>
                <w:tcPr>
                  <w:tcW w:w="174" w:type="pct"/>
                  <w:shd w:val="clear" w:color="auto" w:fill="FFFFFF"/>
                  <w:tcMar>
                    <w:top w:w="0" w:type="dxa"/>
                    <w:left w:w="0" w:type="dxa"/>
                    <w:bottom w:w="0" w:type="dxa"/>
                    <w:right w:w="0" w:type="dxa"/>
                  </w:tcMar>
                  <w:vAlign w:val="center"/>
                </w:tcPr>
                <w:p w14:paraId="230014C0">
                  <w:pPr>
                    <w:pStyle w:val="29"/>
                    <w:adjustRightInd w:val="0"/>
                    <w:snapToGrid w:val="0"/>
                    <w:rPr>
                      <w:rFonts w:hint="default" w:ascii="Times New Roman" w:hAnsi="Times New Roman" w:cs="Times New Roman"/>
                      <w:b/>
                      <w:bCs/>
                    </w:rPr>
                  </w:pPr>
                  <w:r>
                    <w:rPr>
                      <w:rFonts w:hint="default" w:ascii="Times New Roman" w:hAnsi="Times New Roman" w:cs="Times New Roman"/>
                      <w:b/>
                      <w:bCs/>
                    </w:rPr>
                    <w:t>东</w:t>
                  </w:r>
                </w:p>
              </w:tc>
              <w:tc>
                <w:tcPr>
                  <w:tcW w:w="175" w:type="pct"/>
                  <w:shd w:val="clear" w:color="auto" w:fill="FFFFFF"/>
                  <w:tcMar>
                    <w:top w:w="0" w:type="dxa"/>
                    <w:left w:w="0" w:type="dxa"/>
                    <w:bottom w:w="0" w:type="dxa"/>
                    <w:right w:w="0" w:type="dxa"/>
                  </w:tcMar>
                  <w:vAlign w:val="center"/>
                </w:tcPr>
                <w:p w14:paraId="5528C6AA">
                  <w:pPr>
                    <w:pStyle w:val="29"/>
                    <w:adjustRightInd w:val="0"/>
                    <w:snapToGrid w:val="0"/>
                    <w:rPr>
                      <w:rFonts w:hint="default" w:ascii="Times New Roman" w:hAnsi="Times New Roman" w:cs="Times New Roman"/>
                      <w:b/>
                      <w:bCs/>
                    </w:rPr>
                  </w:pPr>
                  <w:r>
                    <w:rPr>
                      <w:rFonts w:hint="default" w:ascii="Times New Roman" w:hAnsi="Times New Roman" w:cs="Times New Roman"/>
                      <w:b/>
                      <w:bCs/>
                    </w:rPr>
                    <w:t>南</w:t>
                  </w:r>
                </w:p>
              </w:tc>
              <w:tc>
                <w:tcPr>
                  <w:tcW w:w="175" w:type="pct"/>
                  <w:shd w:val="clear" w:color="auto" w:fill="FFFFFF"/>
                  <w:tcMar>
                    <w:top w:w="0" w:type="dxa"/>
                    <w:left w:w="0" w:type="dxa"/>
                    <w:bottom w:w="0" w:type="dxa"/>
                    <w:right w:w="0" w:type="dxa"/>
                  </w:tcMar>
                  <w:vAlign w:val="center"/>
                </w:tcPr>
                <w:p w14:paraId="185A5B73">
                  <w:pPr>
                    <w:pStyle w:val="29"/>
                    <w:adjustRightInd w:val="0"/>
                    <w:snapToGrid w:val="0"/>
                    <w:rPr>
                      <w:rFonts w:hint="default" w:ascii="Times New Roman" w:hAnsi="Times New Roman" w:cs="Times New Roman"/>
                      <w:b/>
                      <w:bCs/>
                    </w:rPr>
                  </w:pPr>
                  <w:r>
                    <w:rPr>
                      <w:rFonts w:hint="default" w:ascii="Times New Roman" w:hAnsi="Times New Roman" w:cs="Times New Roman"/>
                      <w:b/>
                      <w:bCs/>
                    </w:rPr>
                    <w:t>西</w:t>
                  </w:r>
                </w:p>
              </w:tc>
              <w:tc>
                <w:tcPr>
                  <w:tcW w:w="137" w:type="pct"/>
                  <w:shd w:val="clear" w:color="auto" w:fill="FFFFFF"/>
                  <w:tcMar>
                    <w:top w:w="0" w:type="dxa"/>
                    <w:left w:w="0" w:type="dxa"/>
                    <w:bottom w:w="0" w:type="dxa"/>
                    <w:right w:w="0" w:type="dxa"/>
                  </w:tcMar>
                  <w:vAlign w:val="center"/>
                </w:tcPr>
                <w:p w14:paraId="5D730FA3">
                  <w:pPr>
                    <w:pStyle w:val="29"/>
                    <w:adjustRightInd w:val="0"/>
                    <w:snapToGrid w:val="0"/>
                    <w:rPr>
                      <w:rFonts w:hint="default" w:ascii="Times New Roman" w:hAnsi="Times New Roman" w:cs="Times New Roman"/>
                      <w:b/>
                      <w:bCs/>
                    </w:rPr>
                  </w:pPr>
                  <w:r>
                    <w:rPr>
                      <w:rFonts w:hint="default" w:ascii="Times New Roman" w:hAnsi="Times New Roman" w:cs="Times New Roman"/>
                      <w:b/>
                      <w:bCs/>
                    </w:rPr>
                    <w:t>北</w:t>
                  </w:r>
                </w:p>
              </w:tc>
              <w:tc>
                <w:tcPr>
                  <w:tcW w:w="236" w:type="pct"/>
                  <w:vMerge w:val="continue"/>
                  <w:shd w:val="clear" w:color="auto" w:fill="FFFFFF"/>
                  <w:tcMar>
                    <w:top w:w="0" w:type="dxa"/>
                    <w:left w:w="0" w:type="dxa"/>
                    <w:bottom w:w="0" w:type="dxa"/>
                    <w:right w:w="0" w:type="dxa"/>
                  </w:tcMar>
                  <w:vAlign w:val="center"/>
                </w:tcPr>
                <w:p w14:paraId="222BB749">
                  <w:pPr>
                    <w:pStyle w:val="29"/>
                    <w:adjustRightInd w:val="0"/>
                    <w:snapToGrid w:val="0"/>
                    <w:rPr>
                      <w:rFonts w:hint="default" w:ascii="Times New Roman" w:hAnsi="Times New Roman" w:cs="Times New Roman"/>
                      <w:b/>
                      <w:bCs/>
                    </w:rPr>
                  </w:pPr>
                </w:p>
              </w:tc>
              <w:tc>
                <w:tcPr>
                  <w:tcW w:w="161" w:type="pct"/>
                  <w:shd w:val="clear" w:color="auto" w:fill="FFFFFF"/>
                  <w:tcMar>
                    <w:top w:w="0" w:type="dxa"/>
                    <w:left w:w="0" w:type="dxa"/>
                    <w:bottom w:w="0" w:type="dxa"/>
                    <w:right w:w="0" w:type="dxa"/>
                  </w:tcMar>
                  <w:vAlign w:val="center"/>
                </w:tcPr>
                <w:p w14:paraId="0223218C">
                  <w:pPr>
                    <w:pStyle w:val="29"/>
                    <w:adjustRightInd w:val="0"/>
                    <w:snapToGrid w:val="0"/>
                    <w:rPr>
                      <w:rFonts w:hint="default" w:ascii="Times New Roman" w:hAnsi="Times New Roman" w:cs="Times New Roman"/>
                      <w:b/>
                      <w:bCs/>
                    </w:rPr>
                  </w:pPr>
                  <w:r>
                    <w:rPr>
                      <w:rFonts w:hint="default" w:ascii="Times New Roman" w:hAnsi="Times New Roman" w:cs="Times New Roman"/>
                      <w:b/>
                      <w:bCs/>
                    </w:rPr>
                    <w:t>东</w:t>
                  </w:r>
                </w:p>
              </w:tc>
              <w:tc>
                <w:tcPr>
                  <w:tcW w:w="166" w:type="pct"/>
                  <w:shd w:val="clear" w:color="auto" w:fill="FFFFFF"/>
                  <w:tcMar>
                    <w:top w:w="0" w:type="dxa"/>
                    <w:left w:w="0" w:type="dxa"/>
                    <w:bottom w:w="0" w:type="dxa"/>
                    <w:right w:w="0" w:type="dxa"/>
                  </w:tcMar>
                  <w:vAlign w:val="center"/>
                </w:tcPr>
                <w:p w14:paraId="18CAA9EA">
                  <w:pPr>
                    <w:pStyle w:val="29"/>
                    <w:adjustRightInd w:val="0"/>
                    <w:snapToGrid w:val="0"/>
                    <w:rPr>
                      <w:rFonts w:hint="default" w:ascii="Times New Roman" w:hAnsi="Times New Roman" w:cs="Times New Roman"/>
                      <w:b/>
                      <w:bCs/>
                    </w:rPr>
                  </w:pPr>
                  <w:r>
                    <w:rPr>
                      <w:rFonts w:hint="default" w:ascii="Times New Roman" w:hAnsi="Times New Roman" w:cs="Times New Roman"/>
                      <w:b/>
                      <w:bCs/>
                    </w:rPr>
                    <w:t>南</w:t>
                  </w:r>
                </w:p>
              </w:tc>
              <w:tc>
                <w:tcPr>
                  <w:tcW w:w="159" w:type="pct"/>
                  <w:shd w:val="clear" w:color="auto" w:fill="FFFFFF"/>
                  <w:tcMar>
                    <w:top w:w="0" w:type="dxa"/>
                    <w:left w:w="0" w:type="dxa"/>
                    <w:bottom w:w="0" w:type="dxa"/>
                    <w:right w:w="0" w:type="dxa"/>
                  </w:tcMar>
                  <w:vAlign w:val="center"/>
                </w:tcPr>
                <w:p w14:paraId="31E53660">
                  <w:pPr>
                    <w:pStyle w:val="29"/>
                    <w:adjustRightInd w:val="0"/>
                    <w:snapToGrid w:val="0"/>
                    <w:rPr>
                      <w:rFonts w:hint="default" w:ascii="Times New Roman" w:hAnsi="Times New Roman" w:cs="Times New Roman"/>
                      <w:b/>
                      <w:bCs/>
                    </w:rPr>
                  </w:pPr>
                  <w:r>
                    <w:rPr>
                      <w:rFonts w:hint="default" w:ascii="Times New Roman" w:hAnsi="Times New Roman" w:cs="Times New Roman"/>
                      <w:b/>
                      <w:bCs/>
                    </w:rPr>
                    <w:t>西</w:t>
                  </w:r>
                </w:p>
              </w:tc>
              <w:tc>
                <w:tcPr>
                  <w:tcW w:w="160" w:type="pct"/>
                  <w:shd w:val="clear" w:color="auto" w:fill="FFFFFF"/>
                  <w:tcMar>
                    <w:top w:w="0" w:type="dxa"/>
                    <w:left w:w="0" w:type="dxa"/>
                    <w:bottom w:w="0" w:type="dxa"/>
                    <w:right w:w="0" w:type="dxa"/>
                  </w:tcMar>
                  <w:vAlign w:val="center"/>
                </w:tcPr>
                <w:p w14:paraId="4163CC7A">
                  <w:pPr>
                    <w:pStyle w:val="29"/>
                    <w:adjustRightInd w:val="0"/>
                    <w:snapToGrid w:val="0"/>
                    <w:rPr>
                      <w:rFonts w:hint="default" w:ascii="Times New Roman" w:hAnsi="Times New Roman" w:cs="Times New Roman"/>
                      <w:b/>
                      <w:bCs/>
                    </w:rPr>
                  </w:pPr>
                  <w:r>
                    <w:rPr>
                      <w:rFonts w:hint="default" w:ascii="Times New Roman" w:hAnsi="Times New Roman" w:cs="Times New Roman"/>
                      <w:b/>
                      <w:bCs/>
                    </w:rPr>
                    <w:t>北</w:t>
                  </w:r>
                </w:p>
              </w:tc>
              <w:tc>
                <w:tcPr>
                  <w:tcW w:w="176" w:type="pct"/>
                  <w:shd w:val="clear" w:color="auto" w:fill="FFFFFF"/>
                  <w:tcMar>
                    <w:top w:w="0" w:type="dxa"/>
                    <w:left w:w="0" w:type="dxa"/>
                    <w:bottom w:w="0" w:type="dxa"/>
                    <w:right w:w="0" w:type="dxa"/>
                  </w:tcMar>
                  <w:vAlign w:val="center"/>
                </w:tcPr>
                <w:p w14:paraId="2CA848BA">
                  <w:pPr>
                    <w:pStyle w:val="29"/>
                    <w:adjustRightInd w:val="0"/>
                    <w:snapToGrid w:val="0"/>
                    <w:rPr>
                      <w:rFonts w:hint="default" w:ascii="Times New Roman" w:hAnsi="Times New Roman" w:cs="Times New Roman"/>
                      <w:b/>
                      <w:bCs/>
                    </w:rPr>
                  </w:pPr>
                  <w:r>
                    <w:rPr>
                      <w:rFonts w:hint="default" w:ascii="Times New Roman" w:hAnsi="Times New Roman" w:cs="Times New Roman"/>
                      <w:b/>
                      <w:bCs/>
                    </w:rPr>
                    <w:t>东</w:t>
                  </w:r>
                </w:p>
              </w:tc>
              <w:tc>
                <w:tcPr>
                  <w:tcW w:w="186" w:type="pct"/>
                  <w:shd w:val="clear" w:color="auto" w:fill="FFFFFF"/>
                  <w:tcMar>
                    <w:top w:w="0" w:type="dxa"/>
                    <w:left w:w="0" w:type="dxa"/>
                    <w:bottom w:w="0" w:type="dxa"/>
                    <w:right w:w="0" w:type="dxa"/>
                  </w:tcMar>
                  <w:vAlign w:val="center"/>
                </w:tcPr>
                <w:p w14:paraId="4EFACA55">
                  <w:pPr>
                    <w:pStyle w:val="29"/>
                    <w:adjustRightInd w:val="0"/>
                    <w:snapToGrid w:val="0"/>
                    <w:rPr>
                      <w:rFonts w:hint="default" w:ascii="Times New Roman" w:hAnsi="Times New Roman" w:cs="Times New Roman"/>
                      <w:b/>
                      <w:bCs/>
                    </w:rPr>
                  </w:pPr>
                  <w:r>
                    <w:rPr>
                      <w:rFonts w:hint="default" w:ascii="Times New Roman" w:hAnsi="Times New Roman" w:cs="Times New Roman"/>
                      <w:b/>
                      <w:bCs/>
                    </w:rPr>
                    <w:t>南</w:t>
                  </w:r>
                </w:p>
              </w:tc>
              <w:tc>
                <w:tcPr>
                  <w:tcW w:w="181" w:type="pct"/>
                  <w:shd w:val="clear" w:color="auto" w:fill="FFFFFF"/>
                  <w:tcMar>
                    <w:top w:w="0" w:type="dxa"/>
                    <w:left w:w="0" w:type="dxa"/>
                    <w:bottom w:w="0" w:type="dxa"/>
                    <w:right w:w="0" w:type="dxa"/>
                  </w:tcMar>
                  <w:vAlign w:val="center"/>
                </w:tcPr>
                <w:p w14:paraId="0630F2A7">
                  <w:pPr>
                    <w:pStyle w:val="29"/>
                    <w:adjustRightInd w:val="0"/>
                    <w:snapToGrid w:val="0"/>
                    <w:rPr>
                      <w:rFonts w:hint="default" w:ascii="Times New Roman" w:hAnsi="Times New Roman" w:cs="Times New Roman"/>
                      <w:b/>
                      <w:bCs/>
                    </w:rPr>
                  </w:pPr>
                  <w:r>
                    <w:rPr>
                      <w:rFonts w:hint="default" w:ascii="Times New Roman" w:hAnsi="Times New Roman" w:cs="Times New Roman"/>
                      <w:b/>
                      <w:bCs/>
                    </w:rPr>
                    <w:t>西</w:t>
                  </w:r>
                </w:p>
              </w:tc>
              <w:tc>
                <w:tcPr>
                  <w:tcW w:w="176" w:type="pct"/>
                  <w:shd w:val="clear" w:color="auto" w:fill="FFFFFF"/>
                  <w:tcMar>
                    <w:top w:w="0" w:type="dxa"/>
                    <w:left w:w="0" w:type="dxa"/>
                    <w:bottom w:w="0" w:type="dxa"/>
                    <w:right w:w="0" w:type="dxa"/>
                  </w:tcMar>
                  <w:vAlign w:val="center"/>
                </w:tcPr>
                <w:p w14:paraId="1ED9A6FE">
                  <w:pPr>
                    <w:pStyle w:val="29"/>
                    <w:adjustRightInd w:val="0"/>
                    <w:snapToGrid w:val="0"/>
                    <w:rPr>
                      <w:rFonts w:hint="default" w:ascii="Times New Roman" w:hAnsi="Times New Roman" w:cs="Times New Roman"/>
                      <w:b/>
                      <w:bCs/>
                    </w:rPr>
                  </w:pPr>
                  <w:r>
                    <w:rPr>
                      <w:rFonts w:hint="default" w:ascii="Times New Roman" w:hAnsi="Times New Roman" w:cs="Times New Roman"/>
                      <w:b/>
                      <w:bCs/>
                    </w:rPr>
                    <w:t>北</w:t>
                  </w:r>
                </w:p>
              </w:tc>
              <w:tc>
                <w:tcPr>
                  <w:tcW w:w="261" w:type="pct"/>
                  <w:shd w:val="clear" w:color="auto" w:fill="FFFFFF"/>
                  <w:tcMar>
                    <w:top w:w="0" w:type="dxa"/>
                    <w:left w:w="0" w:type="dxa"/>
                    <w:bottom w:w="0" w:type="dxa"/>
                    <w:right w:w="0" w:type="dxa"/>
                  </w:tcMar>
                  <w:vAlign w:val="center"/>
                </w:tcPr>
                <w:p w14:paraId="1EE82C34">
                  <w:pPr>
                    <w:pStyle w:val="29"/>
                    <w:adjustRightInd w:val="0"/>
                    <w:snapToGrid w:val="0"/>
                    <w:rPr>
                      <w:rFonts w:hint="default" w:ascii="Times New Roman" w:hAnsi="Times New Roman" w:cs="Times New Roman"/>
                      <w:b/>
                      <w:bCs/>
                    </w:rPr>
                  </w:pPr>
                  <w:r>
                    <w:rPr>
                      <w:rFonts w:hint="default" w:ascii="Times New Roman" w:hAnsi="Times New Roman" w:cs="Times New Roman"/>
                      <w:b/>
                      <w:bCs/>
                    </w:rPr>
                    <w:t>建筑物外距离</w:t>
                  </w:r>
                </w:p>
              </w:tc>
            </w:tr>
            <w:tr w14:paraId="28684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7C7D4006">
                  <w:pPr>
                    <w:pStyle w:val="29"/>
                    <w:adjustRightInd w:val="0"/>
                    <w:snapToGrid w:val="0"/>
                    <w:rPr>
                      <w:rFonts w:hint="default" w:ascii="Times New Roman" w:hAnsi="Times New Roman" w:cs="Times New Roman"/>
                    </w:rPr>
                  </w:pPr>
                  <w:r>
                    <w:rPr>
                      <w:rFonts w:hint="default" w:ascii="Times New Roman" w:hAnsi="Times New Roman" w:cs="Times New Roman"/>
                    </w:rPr>
                    <w:t>1</w:t>
                  </w:r>
                </w:p>
              </w:tc>
              <w:tc>
                <w:tcPr>
                  <w:tcW w:w="233" w:type="pct"/>
                  <w:vMerge w:val="restart"/>
                  <w:shd w:val="clear" w:color="auto" w:fill="FFFFFF"/>
                  <w:tcMar>
                    <w:top w:w="0" w:type="dxa"/>
                    <w:left w:w="0" w:type="dxa"/>
                    <w:bottom w:w="0" w:type="dxa"/>
                    <w:right w:w="0" w:type="dxa"/>
                  </w:tcMar>
                  <w:vAlign w:val="center"/>
                </w:tcPr>
                <w:p w14:paraId="6C0E2BED">
                  <w:pPr>
                    <w:pStyle w:val="29"/>
                    <w:adjustRightInd w:val="0"/>
                    <w:snapToGrid w:val="0"/>
                    <w:rPr>
                      <w:rFonts w:hint="default" w:ascii="Times New Roman" w:hAnsi="Times New Roman" w:cs="Times New Roman"/>
                    </w:rPr>
                  </w:pPr>
                  <w:r>
                    <w:rPr>
                      <w:rFonts w:hint="default" w:ascii="Times New Roman" w:hAnsi="Times New Roman" w:cs="Times New Roman"/>
                    </w:rPr>
                    <w:t>生产车间</w:t>
                  </w:r>
                </w:p>
              </w:tc>
              <w:tc>
                <w:tcPr>
                  <w:tcW w:w="266" w:type="pct"/>
                  <w:shd w:val="clear" w:color="auto" w:fill="FFFFFF"/>
                  <w:tcMar>
                    <w:top w:w="0" w:type="dxa"/>
                    <w:left w:w="0" w:type="dxa"/>
                    <w:bottom w:w="0" w:type="dxa"/>
                    <w:right w:w="0" w:type="dxa"/>
                  </w:tcMar>
                  <w:vAlign w:val="center"/>
                </w:tcPr>
                <w:p w14:paraId="76B805C6">
                  <w:pPr>
                    <w:pStyle w:val="29"/>
                    <w:adjustRightInd w:val="0"/>
                    <w:snapToGrid w:val="0"/>
                    <w:rPr>
                      <w:rFonts w:hint="default" w:ascii="Times New Roman" w:hAnsi="Times New Roman" w:cs="Times New Roman"/>
                    </w:rPr>
                  </w:pPr>
                  <w:r>
                    <w:rPr>
                      <w:rFonts w:hint="default" w:ascii="Times New Roman" w:hAnsi="Times New Roman" w:cs="Times New Roman"/>
                    </w:rPr>
                    <w:t>平压压痕切线机1</w:t>
                  </w:r>
                </w:p>
              </w:tc>
              <w:tc>
                <w:tcPr>
                  <w:tcW w:w="147" w:type="pct"/>
                  <w:shd w:val="clear" w:color="auto" w:fill="FFFFFF"/>
                  <w:tcMar>
                    <w:top w:w="0" w:type="dxa"/>
                    <w:left w:w="0" w:type="dxa"/>
                    <w:bottom w:w="0" w:type="dxa"/>
                    <w:right w:w="0" w:type="dxa"/>
                  </w:tcMar>
                  <w:vAlign w:val="center"/>
                </w:tcPr>
                <w:p w14:paraId="0CC285AD">
                  <w:pPr>
                    <w:pStyle w:val="29"/>
                    <w:adjustRightInd w:val="0"/>
                    <w:snapToGrid w:val="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1D8F045C">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restart"/>
                  <w:shd w:val="clear" w:color="auto" w:fill="FFFFFF"/>
                  <w:tcMar>
                    <w:top w:w="0" w:type="dxa"/>
                    <w:left w:w="0" w:type="dxa"/>
                    <w:bottom w:w="0" w:type="dxa"/>
                    <w:right w:w="0" w:type="dxa"/>
                  </w:tcMar>
                  <w:vAlign w:val="center"/>
                </w:tcPr>
                <w:p w14:paraId="12A6EDFA">
                  <w:pPr>
                    <w:pStyle w:val="29"/>
                    <w:adjustRightInd w:val="0"/>
                    <w:snapToGrid w:val="0"/>
                    <w:rPr>
                      <w:rFonts w:hint="default" w:ascii="Times New Roman" w:hAnsi="Times New Roman" w:cs="Times New Roman"/>
                    </w:rPr>
                  </w:pPr>
                  <w:r>
                    <w:rPr>
                      <w:rFonts w:hint="default" w:ascii="Times New Roman" w:hAnsi="Times New Roman" w:cs="Times New Roman"/>
                    </w:rPr>
                    <w:t>采用低噪声设备，安装减震基座</w:t>
                  </w:r>
                </w:p>
              </w:tc>
              <w:tc>
                <w:tcPr>
                  <w:tcW w:w="175" w:type="pct"/>
                  <w:shd w:val="clear" w:color="auto" w:fill="FFFFFF"/>
                  <w:tcMar>
                    <w:top w:w="0" w:type="dxa"/>
                    <w:left w:w="0" w:type="dxa"/>
                    <w:bottom w:w="0" w:type="dxa"/>
                    <w:right w:w="0" w:type="dxa"/>
                  </w:tcMar>
                  <w:vAlign w:val="center"/>
                </w:tcPr>
                <w:p w14:paraId="29045E46">
                  <w:pPr>
                    <w:pStyle w:val="29"/>
                    <w:adjustRightInd w:val="0"/>
                    <w:snapToGrid w:val="0"/>
                    <w:rPr>
                      <w:rFonts w:hint="default" w:ascii="Times New Roman" w:hAnsi="Times New Roman" w:cs="Times New Roman"/>
                    </w:rPr>
                  </w:pPr>
                  <w:r>
                    <w:rPr>
                      <w:rFonts w:hint="default" w:ascii="Times New Roman" w:hAnsi="Times New Roman" w:cs="Times New Roman"/>
                    </w:rPr>
                    <w:t>-88.6</w:t>
                  </w:r>
                </w:p>
              </w:tc>
              <w:tc>
                <w:tcPr>
                  <w:tcW w:w="143" w:type="pct"/>
                  <w:shd w:val="clear" w:color="auto" w:fill="FFFFFF"/>
                  <w:tcMar>
                    <w:top w:w="0" w:type="dxa"/>
                    <w:left w:w="0" w:type="dxa"/>
                    <w:bottom w:w="0" w:type="dxa"/>
                    <w:right w:w="0" w:type="dxa"/>
                  </w:tcMar>
                  <w:vAlign w:val="center"/>
                </w:tcPr>
                <w:p w14:paraId="27A15DBA">
                  <w:pPr>
                    <w:pStyle w:val="29"/>
                    <w:adjustRightInd w:val="0"/>
                    <w:snapToGrid w:val="0"/>
                    <w:rPr>
                      <w:rFonts w:hint="default" w:ascii="Times New Roman" w:hAnsi="Times New Roman" w:cs="Times New Roman"/>
                    </w:rPr>
                  </w:pPr>
                  <w:r>
                    <w:rPr>
                      <w:rFonts w:hint="default" w:ascii="Times New Roman" w:hAnsi="Times New Roman" w:cs="Times New Roman"/>
                    </w:rPr>
                    <w:t>35.2</w:t>
                  </w:r>
                </w:p>
              </w:tc>
              <w:tc>
                <w:tcPr>
                  <w:tcW w:w="128" w:type="pct"/>
                  <w:shd w:val="clear" w:color="auto" w:fill="FFFFFF"/>
                  <w:tcMar>
                    <w:top w:w="0" w:type="dxa"/>
                    <w:left w:w="0" w:type="dxa"/>
                    <w:bottom w:w="0" w:type="dxa"/>
                    <w:right w:w="0" w:type="dxa"/>
                  </w:tcMar>
                  <w:vAlign w:val="center"/>
                </w:tcPr>
                <w:p w14:paraId="7495682E">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22CAB515">
                  <w:pPr>
                    <w:pStyle w:val="29"/>
                    <w:adjustRightInd w:val="0"/>
                    <w:snapToGrid w:val="0"/>
                    <w:rPr>
                      <w:rFonts w:hint="default" w:ascii="Times New Roman" w:hAnsi="Times New Roman" w:cs="Times New Roman"/>
                    </w:rPr>
                  </w:pPr>
                  <w:r>
                    <w:rPr>
                      <w:rFonts w:hint="default" w:ascii="Times New Roman" w:hAnsi="Times New Roman" w:cs="Times New Roman"/>
                    </w:rPr>
                    <w:t>10.0</w:t>
                  </w:r>
                </w:p>
              </w:tc>
              <w:tc>
                <w:tcPr>
                  <w:tcW w:w="176" w:type="pct"/>
                  <w:shd w:val="clear" w:color="auto" w:fill="FFFFFF"/>
                  <w:tcMar>
                    <w:top w:w="0" w:type="dxa"/>
                    <w:left w:w="0" w:type="dxa"/>
                    <w:bottom w:w="0" w:type="dxa"/>
                    <w:right w:w="0" w:type="dxa"/>
                  </w:tcMar>
                  <w:vAlign w:val="center"/>
                </w:tcPr>
                <w:p w14:paraId="5591B095">
                  <w:pPr>
                    <w:pStyle w:val="29"/>
                    <w:adjustRightInd w:val="0"/>
                    <w:snapToGrid w:val="0"/>
                    <w:rPr>
                      <w:rFonts w:hint="default" w:ascii="Times New Roman" w:hAnsi="Times New Roman" w:cs="Times New Roman"/>
                    </w:rPr>
                  </w:pPr>
                  <w:r>
                    <w:rPr>
                      <w:rFonts w:hint="default" w:ascii="Times New Roman" w:hAnsi="Times New Roman" w:cs="Times New Roman"/>
                    </w:rPr>
                    <w:t>25.2</w:t>
                  </w:r>
                </w:p>
              </w:tc>
              <w:tc>
                <w:tcPr>
                  <w:tcW w:w="176" w:type="pct"/>
                  <w:shd w:val="clear" w:color="auto" w:fill="FFFFFF"/>
                  <w:tcMar>
                    <w:top w:w="0" w:type="dxa"/>
                    <w:left w:w="0" w:type="dxa"/>
                    <w:bottom w:w="0" w:type="dxa"/>
                    <w:right w:w="0" w:type="dxa"/>
                  </w:tcMar>
                  <w:vAlign w:val="center"/>
                </w:tcPr>
                <w:p w14:paraId="513028AF">
                  <w:pPr>
                    <w:pStyle w:val="29"/>
                    <w:adjustRightInd w:val="0"/>
                    <w:snapToGrid w:val="0"/>
                    <w:rPr>
                      <w:rFonts w:hint="default" w:ascii="Times New Roman" w:hAnsi="Times New Roman" w:cs="Times New Roman"/>
                    </w:rPr>
                  </w:pPr>
                  <w:r>
                    <w:rPr>
                      <w:rFonts w:hint="default" w:ascii="Times New Roman" w:hAnsi="Times New Roman" w:cs="Times New Roman"/>
                    </w:rPr>
                    <w:t>10.5</w:t>
                  </w:r>
                </w:p>
              </w:tc>
              <w:tc>
                <w:tcPr>
                  <w:tcW w:w="186" w:type="pct"/>
                  <w:shd w:val="clear" w:color="auto" w:fill="FFFFFF"/>
                  <w:tcMar>
                    <w:top w:w="0" w:type="dxa"/>
                    <w:left w:w="0" w:type="dxa"/>
                    <w:bottom w:w="0" w:type="dxa"/>
                    <w:right w:w="0" w:type="dxa"/>
                  </w:tcMar>
                  <w:vAlign w:val="center"/>
                </w:tcPr>
                <w:p w14:paraId="3F959246">
                  <w:pPr>
                    <w:pStyle w:val="29"/>
                    <w:adjustRightInd w:val="0"/>
                    <w:snapToGrid w:val="0"/>
                    <w:rPr>
                      <w:rFonts w:hint="default" w:ascii="Times New Roman" w:hAnsi="Times New Roman" w:cs="Times New Roman"/>
                    </w:rPr>
                  </w:pPr>
                  <w:r>
                    <w:rPr>
                      <w:rFonts w:hint="default" w:ascii="Times New Roman" w:hAnsi="Times New Roman" w:cs="Times New Roman"/>
                    </w:rPr>
                    <w:t>26.1</w:t>
                  </w:r>
                </w:p>
              </w:tc>
              <w:tc>
                <w:tcPr>
                  <w:tcW w:w="174" w:type="pct"/>
                  <w:shd w:val="clear" w:color="auto" w:fill="FFFFFF"/>
                  <w:tcMar>
                    <w:top w:w="0" w:type="dxa"/>
                    <w:left w:w="0" w:type="dxa"/>
                    <w:bottom w:w="0" w:type="dxa"/>
                    <w:right w:w="0" w:type="dxa"/>
                  </w:tcMar>
                  <w:vAlign w:val="center"/>
                </w:tcPr>
                <w:p w14:paraId="681952F5">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2E905E71">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7383DBEE">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37" w:type="pct"/>
                  <w:shd w:val="clear" w:color="auto" w:fill="FFFFFF"/>
                  <w:tcMar>
                    <w:top w:w="0" w:type="dxa"/>
                    <w:left w:w="0" w:type="dxa"/>
                    <w:bottom w:w="0" w:type="dxa"/>
                    <w:right w:w="0" w:type="dxa"/>
                  </w:tcMar>
                  <w:vAlign w:val="center"/>
                </w:tcPr>
                <w:p w14:paraId="24993339">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236" w:type="pct"/>
                  <w:shd w:val="clear" w:color="auto" w:fill="FFFFFF"/>
                  <w:tcMar>
                    <w:top w:w="0" w:type="dxa"/>
                    <w:left w:w="0" w:type="dxa"/>
                    <w:bottom w:w="0" w:type="dxa"/>
                    <w:right w:w="0" w:type="dxa"/>
                  </w:tcMar>
                  <w:vAlign w:val="center"/>
                </w:tcPr>
                <w:p w14:paraId="244ECBA1">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7DE6A29F">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13F9A46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6B23BF07">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55646CA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08A9E984">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86" w:type="pct"/>
                  <w:shd w:val="clear" w:color="auto" w:fill="FFFFFF"/>
                  <w:tcMar>
                    <w:top w:w="0" w:type="dxa"/>
                    <w:left w:w="0" w:type="dxa"/>
                    <w:bottom w:w="0" w:type="dxa"/>
                    <w:right w:w="0" w:type="dxa"/>
                  </w:tcMar>
                  <w:vAlign w:val="center"/>
                </w:tcPr>
                <w:p w14:paraId="7970170F">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81" w:type="pct"/>
                  <w:shd w:val="clear" w:color="auto" w:fill="FFFFFF"/>
                  <w:tcMar>
                    <w:top w:w="0" w:type="dxa"/>
                    <w:left w:w="0" w:type="dxa"/>
                    <w:bottom w:w="0" w:type="dxa"/>
                    <w:right w:w="0" w:type="dxa"/>
                  </w:tcMar>
                  <w:vAlign w:val="center"/>
                </w:tcPr>
                <w:p w14:paraId="5C319DCC">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76" w:type="pct"/>
                  <w:shd w:val="clear" w:color="auto" w:fill="FFFFFF"/>
                  <w:tcMar>
                    <w:top w:w="0" w:type="dxa"/>
                    <w:left w:w="0" w:type="dxa"/>
                    <w:bottom w:w="0" w:type="dxa"/>
                    <w:right w:w="0" w:type="dxa"/>
                  </w:tcMar>
                  <w:vAlign w:val="center"/>
                </w:tcPr>
                <w:p w14:paraId="767F84FB">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261" w:type="pct"/>
                  <w:shd w:val="clear" w:color="auto" w:fill="FFFFFF"/>
                  <w:tcMar>
                    <w:top w:w="0" w:type="dxa"/>
                    <w:left w:w="0" w:type="dxa"/>
                    <w:bottom w:w="0" w:type="dxa"/>
                    <w:right w:w="0" w:type="dxa"/>
                  </w:tcMar>
                  <w:vAlign w:val="center"/>
                </w:tcPr>
                <w:p w14:paraId="151D8447">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4A786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441C67BD">
                  <w:pPr>
                    <w:pStyle w:val="29"/>
                    <w:adjustRightInd w:val="0"/>
                    <w:snapToGrid w:val="0"/>
                    <w:rPr>
                      <w:rFonts w:hint="default" w:ascii="Times New Roman" w:hAnsi="Times New Roman" w:cs="Times New Roman"/>
                    </w:rPr>
                  </w:pPr>
                  <w:r>
                    <w:rPr>
                      <w:rFonts w:hint="default" w:ascii="Times New Roman" w:hAnsi="Times New Roman" w:cs="Times New Roman"/>
                    </w:rPr>
                    <w:t>2</w:t>
                  </w:r>
                </w:p>
              </w:tc>
              <w:tc>
                <w:tcPr>
                  <w:tcW w:w="233" w:type="pct"/>
                  <w:vMerge w:val="continue"/>
                  <w:shd w:val="clear" w:color="auto" w:fill="FFFFFF"/>
                  <w:tcMar>
                    <w:top w:w="0" w:type="dxa"/>
                    <w:left w:w="0" w:type="dxa"/>
                    <w:bottom w:w="0" w:type="dxa"/>
                    <w:right w:w="0" w:type="dxa"/>
                  </w:tcMar>
                  <w:vAlign w:val="center"/>
                </w:tcPr>
                <w:p w14:paraId="10C4970E">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60E39BF2">
                  <w:pPr>
                    <w:pStyle w:val="29"/>
                    <w:adjustRightInd w:val="0"/>
                    <w:snapToGrid w:val="0"/>
                    <w:rPr>
                      <w:rFonts w:hint="default" w:ascii="Times New Roman" w:hAnsi="Times New Roman" w:cs="Times New Roman"/>
                    </w:rPr>
                  </w:pPr>
                  <w:r>
                    <w:rPr>
                      <w:rFonts w:hint="default" w:ascii="Times New Roman" w:hAnsi="Times New Roman" w:cs="Times New Roman"/>
                    </w:rPr>
                    <w:t>平压压痕切线机2</w:t>
                  </w:r>
                </w:p>
              </w:tc>
              <w:tc>
                <w:tcPr>
                  <w:tcW w:w="147" w:type="pct"/>
                  <w:shd w:val="clear" w:color="auto" w:fill="FFFFFF"/>
                  <w:tcMar>
                    <w:top w:w="0" w:type="dxa"/>
                    <w:left w:w="0" w:type="dxa"/>
                    <w:bottom w:w="0" w:type="dxa"/>
                    <w:right w:w="0" w:type="dxa"/>
                  </w:tcMar>
                  <w:vAlign w:val="center"/>
                </w:tcPr>
                <w:p w14:paraId="16E28508">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0B164FE3">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continue"/>
                  <w:shd w:val="clear" w:color="auto" w:fill="FFFFFF"/>
                  <w:tcMar>
                    <w:top w:w="0" w:type="dxa"/>
                    <w:left w:w="0" w:type="dxa"/>
                    <w:bottom w:w="0" w:type="dxa"/>
                    <w:right w:w="0" w:type="dxa"/>
                  </w:tcMar>
                  <w:vAlign w:val="center"/>
                </w:tcPr>
                <w:p w14:paraId="720371FB">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0938A512">
                  <w:pPr>
                    <w:pStyle w:val="29"/>
                    <w:adjustRightInd w:val="0"/>
                    <w:snapToGrid w:val="0"/>
                    <w:rPr>
                      <w:rFonts w:hint="default" w:ascii="Times New Roman" w:hAnsi="Times New Roman" w:cs="Times New Roman"/>
                    </w:rPr>
                  </w:pPr>
                  <w:r>
                    <w:rPr>
                      <w:rFonts w:hint="default" w:ascii="Times New Roman" w:hAnsi="Times New Roman" w:cs="Times New Roman"/>
                    </w:rPr>
                    <w:t>-83.3</w:t>
                  </w:r>
                </w:p>
              </w:tc>
              <w:tc>
                <w:tcPr>
                  <w:tcW w:w="143" w:type="pct"/>
                  <w:shd w:val="clear" w:color="auto" w:fill="FFFFFF"/>
                  <w:tcMar>
                    <w:top w:w="0" w:type="dxa"/>
                    <w:left w:w="0" w:type="dxa"/>
                    <w:bottom w:w="0" w:type="dxa"/>
                    <w:right w:w="0" w:type="dxa"/>
                  </w:tcMar>
                  <w:vAlign w:val="center"/>
                </w:tcPr>
                <w:p w14:paraId="5D2152D1">
                  <w:pPr>
                    <w:pStyle w:val="29"/>
                    <w:adjustRightInd w:val="0"/>
                    <w:snapToGrid w:val="0"/>
                    <w:rPr>
                      <w:rFonts w:hint="default" w:ascii="Times New Roman" w:hAnsi="Times New Roman" w:cs="Times New Roman"/>
                    </w:rPr>
                  </w:pPr>
                  <w:r>
                    <w:rPr>
                      <w:rFonts w:hint="default" w:ascii="Times New Roman" w:hAnsi="Times New Roman" w:cs="Times New Roman"/>
                    </w:rPr>
                    <w:t>46.7</w:t>
                  </w:r>
                </w:p>
              </w:tc>
              <w:tc>
                <w:tcPr>
                  <w:tcW w:w="128" w:type="pct"/>
                  <w:shd w:val="clear" w:color="auto" w:fill="FFFFFF"/>
                  <w:tcMar>
                    <w:top w:w="0" w:type="dxa"/>
                    <w:left w:w="0" w:type="dxa"/>
                    <w:bottom w:w="0" w:type="dxa"/>
                    <w:right w:w="0" w:type="dxa"/>
                  </w:tcMar>
                  <w:vAlign w:val="center"/>
                </w:tcPr>
                <w:p w14:paraId="62730D5E">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72D4A922">
                  <w:pPr>
                    <w:pStyle w:val="29"/>
                    <w:adjustRightInd w:val="0"/>
                    <w:snapToGrid w:val="0"/>
                    <w:rPr>
                      <w:rFonts w:hint="default" w:ascii="Times New Roman" w:hAnsi="Times New Roman" w:cs="Times New Roman"/>
                    </w:rPr>
                  </w:pPr>
                  <w:r>
                    <w:rPr>
                      <w:rFonts w:hint="default" w:ascii="Times New Roman" w:hAnsi="Times New Roman" w:cs="Times New Roman"/>
                    </w:rPr>
                    <w:t>224.9</w:t>
                  </w:r>
                </w:p>
              </w:tc>
              <w:tc>
                <w:tcPr>
                  <w:tcW w:w="176" w:type="pct"/>
                  <w:shd w:val="clear" w:color="auto" w:fill="FFFFFF"/>
                  <w:tcMar>
                    <w:top w:w="0" w:type="dxa"/>
                    <w:left w:w="0" w:type="dxa"/>
                    <w:bottom w:w="0" w:type="dxa"/>
                    <w:right w:w="0" w:type="dxa"/>
                  </w:tcMar>
                  <w:vAlign w:val="center"/>
                </w:tcPr>
                <w:p w14:paraId="63698352">
                  <w:pPr>
                    <w:pStyle w:val="29"/>
                    <w:adjustRightInd w:val="0"/>
                    <w:snapToGrid w:val="0"/>
                    <w:rPr>
                      <w:rFonts w:hint="default" w:ascii="Times New Roman" w:hAnsi="Times New Roman" w:cs="Times New Roman"/>
                    </w:rPr>
                  </w:pPr>
                  <w:r>
                    <w:rPr>
                      <w:rFonts w:hint="default" w:ascii="Times New Roman" w:hAnsi="Times New Roman" w:cs="Times New Roman"/>
                    </w:rPr>
                    <w:t>10.9</w:t>
                  </w:r>
                </w:p>
              </w:tc>
              <w:tc>
                <w:tcPr>
                  <w:tcW w:w="176" w:type="pct"/>
                  <w:shd w:val="clear" w:color="auto" w:fill="FFFFFF"/>
                  <w:tcMar>
                    <w:top w:w="0" w:type="dxa"/>
                    <w:left w:w="0" w:type="dxa"/>
                    <w:bottom w:w="0" w:type="dxa"/>
                    <w:right w:w="0" w:type="dxa"/>
                  </w:tcMar>
                  <w:vAlign w:val="center"/>
                </w:tcPr>
                <w:p w14:paraId="61DFD84C">
                  <w:pPr>
                    <w:pStyle w:val="29"/>
                    <w:adjustRightInd w:val="0"/>
                    <w:snapToGrid w:val="0"/>
                    <w:rPr>
                      <w:rFonts w:hint="default" w:ascii="Times New Roman" w:hAnsi="Times New Roman" w:cs="Times New Roman"/>
                    </w:rPr>
                  </w:pPr>
                  <w:r>
                    <w:rPr>
                      <w:rFonts w:hint="default" w:ascii="Times New Roman" w:hAnsi="Times New Roman" w:cs="Times New Roman"/>
                    </w:rPr>
                    <w:t>11.8</w:t>
                  </w:r>
                </w:p>
              </w:tc>
              <w:tc>
                <w:tcPr>
                  <w:tcW w:w="186" w:type="pct"/>
                  <w:shd w:val="clear" w:color="auto" w:fill="FFFFFF"/>
                  <w:tcMar>
                    <w:top w:w="0" w:type="dxa"/>
                    <w:left w:w="0" w:type="dxa"/>
                    <w:bottom w:w="0" w:type="dxa"/>
                    <w:right w:w="0" w:type="dxa"/>
                  </w:tcMar>
                  <w:vAlign w:val="center"/>
                </w:tcPr>
                <w:p w14:paraId="6379D0F2">
                  <w:pPr>
                    <w:pStyle w:val="29"/>
                    <w:adjustRightInd w:val="0"/>
                    <w:snapToGrid w:val="0"/>
                    <w:rPr>
                      <w:rFonts w:hint="default" w:ascii="Times New Roman" w:hAnsi="Times New Roman" w:cs="Times New Roman"/>
                    </w:rPr>
                  </w:pPr>
                  <w:r>
                    <w:rPr>
                      <w:rFonts w:hint="default" w:ascii="Times New Roman" w:hAnsi="Times New Roman" w:cs="Times New Roman"/>
                    </w:rPr>
                    <w:t>11.4</w:t>
                  </w:r>
                </w:p>
              </w:tc>
              <w:tc>
                <w:tcPr>
                  <w:tcW w:w="174" w:type="pct"/>
                  <w:shd w:val="clear" w:color="auto" w:fill="FFFFFF"/>
                  <w:tcMar>
                    <w:top w:w="0" w:type="dxa"/>
                    <w:left w:w="0" w:type="dxa"/>
                    <w:bottom w:w="0" w:type="dxa"/>
                    <w:right w:w="0" w:type="dxa"/>
                  </w:tcMar>
                  <w:vAlign w:val="center"/>
                </w:tcPr>
                <w:p w14:paraId="5351BEFC">
                  <w:pPr>
                    <w:pStyle w:val="29"/>
                    <w:adjustRightInd w:val="0"/>
                    <w:snapToGrid w:val="0"/>
                    <w:rPr>
                      <w:rFonts w:hint="default" w:ascii="Times New Roman" w:hAnsi="Times New Roman" w:cs="Times New Roman"/>
                    </w:rPr>
                  </w:pPr>
                  <w:r>
                    <w:rPr>
                      <w:rFonts w:hint="default" w:ascii="Times New Roman" w:hAnsi="Times New Roman" w:cs="Times New Roman"/>
                    </w:rPr>
                    <w:t>62.5</w:t>
                  </w:r>
                </w:p>
              </w:tc>
              <w:tc>
                <w:tcPr>
                  <w:tcW w:w="175" w:type="pct"/>
                  <w:shd w:val="clear" w:color="auto" w:fill="FFFFFF"/>
                  <w:tcMar>
                    <w:top w:w="0" w:type="dxa"/>
                    <w:left w:w="0" w:type="dxa"/>
                    <w:bottom w:w="0" w:type="dxa"/>
                    <w:right w:w="0" w:type="dxa"/>
                  </w:tcMar>
                  <w:vAlign w:val="center"/>
                </w:tcPr>
                <w:p w14:paraId="0218B90B">
                  <w:pPr>
                    <w:pStyle w:val="29"/>
                    <w:adjustRightInd w:val="0"/>
                    <w:snapToGrid w:val="0"/>
                    <w:rPr>
                      <w:rFonts w:hint="default" w:ascii="Times New Roman" w:hAnsi="Times New Roman" w:cs="Times New Roman"/>
                    </w:rPr>
                  </w:pPr>
                  <w:r>
                    <w:rPr>
                      <w:rFonts w:hint="default" w:ascii="Times New Roman" w:hAnsi="Times New Roman" w:cs="Times New Roman"/>
                    </w:rPr>
                    <w:t>62.7</w:t>
                  </w:r>
                </w:p>
              </w:tc>
              <w:tc>
                <w:tcPr>
                  <w:tcW w:w="175" w:type="pct"/>
                  <w:shd w:val="clear" w:color="auto" w:fill="FFFFFF"/>
                  <w:tcMar>
                    <w:top w:w="0" w:type="dxa"/>
                    <w:left w:w="0" w:type="dxa"/>
                    <w:bottom w:w="0" w:type="dxa"/>
                    <w:right w:w="0" w:type="dxa"/>
                  </w:tcMar>
                  <w:vAlign w:val="center"/>
                </w:tcPr>
                <w:p w14:paraId="097F9944">
                  <w:pPr>
                    <w:pStyle w:val="29"/>
                    <w:adjustRightInd w:val="0"/>
                    <w:snapToGrid w:val="0"/>
                    <w:rPr>
                      <w:rFonts w:hint="default" w:ascii="Times New Roman" w:hAnsi="Times New Roman" w:cs="Times New Roman"/>
                    </w:rPr>
                  </w:pPr>
                  <w:r>
                    <w:rPr>
                      <w:rFonts w:hint="default" w:ascii="Times New Roman" w:hAnsi="Times New Roman" w:cs="Times New Roman"/>
                    </w:rPr>
                    <w:t>62.6</w:t>
                  </w:r>
                </w:p>
              </w:tc>
              <w:tc>
                <w:tcPr>
                  <w:tcW w:w="137" w:type="pct"/>
                  <w:shd w:val="clear" w:color="auto" w:fill="FFFFFF"/>
                  <w:tcMar>
                    <w:top w:w="0" w:type="dxa"/>
                    <w:left w:w="0" w:type="dxa"/>
                    <w:bottom w:w="0" w:type="dxa"/>
                    <w:right w:w="0" w:type="dxa"/>
                  </w:tcMar>
                  <w:vAlign w:val="center"/>
                </w:tcPr>
                <w:p w14:paraId="7F277701">
                  <w:pPr>
                    <w:pStyle w:val="29"/>
                    <w:adjustRightInd w:val="0"/>
                    <w:snapToGrid w:val="0"/>
                    <w:rPr>
                      <w:rFonts w:hint="default" w:ascii="Times New Roman" w:hAnsi="Times New Roman" w:cs="Times New Roman"/>
                    </w:rPr>
                  </w:pPr>
                  <w:r>
                    <w:rPr>
                      <w:rFonts w:hint="default" w:ascii="Times New Roman" w:hAnsi="Times New Roman" w:cs="Times New Roman"/>
                    </w:rPr>
                    <w:t>62.6</w:t>
                  </w:r>
                </w:p>
              </w:tc>
              <w:tc>
                <w:tcPr>
                  <w:tcW w:w="236" w:type="pct"/>
                  <w:shd w:val="clear" w:color="auto" w:fill="FFFFFF"/>
                  <w:tcMar>
                    <w:top w:w="0" w:type="dxa"/>
                    <w:left w:w="0" w:type="dxa"/>
                    <w:bottom w:w="0" w:type="dxa"/>
                    <w:right w:w="0" w:type="dxa"/>
                  </w:tcMar>
                  <w:vAlign w:val="center"/>
                </w:tcPr>
                <w:p w14:paraId="280D6621">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2513C59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02904E9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52469D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10FD860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690A6239">
                  <w:pPr>
                    <w:pStyle w:val="29"/>
                    <w:adjustRightInd w:val="0"/>
                    <w:snapToGrid w:val="0"/>
                    <w:rPr>
                      <w:rFonts w:hint="default" w:ascii="Times New Roman" w:hAnsi="Times New Roman" w:cs="Times New Roman"/>
                    </w:rPr>
                  </w:pPr>
                  <w:r>
                    <w:rPr>
                      <w:rFonts w:hint="default" w:ascii="Times New Roman" w:hAnsi="Times New Roman" w:cs="Times New Roman"/>
                    </w:rPr>
                    <w:t>53.5</w:t>
                  </w:r>
                </w:p>
              </w:tc>
              <w:tc>
                <w:tcPr>
                  <w:tcW w:w="186" w:type="pct"/>
                  <w:shd w:val="clear" w:color="auto" w:fill="FFFFFF"/>
                  <w:tcMar>
                    <w:top w:w="0" w:type="dxa"/>
                    <w:left w:w="0" w:type="dxa"/>
                    <w:bottom w:w="0" w:type="dxa"/>
                    <w:right w:w="0" w:type="dxa"/>
                  </w:tcMar>
                  <w:vAlign w:val="center"/>
                </w:tcPr>
                <w:p w14:paraId="4E6715B3">
                  <w:pPr>
                    <w:pStyle w:val="29"/>
                    <w:adjustRightInd w:val="0"/>
                    <w:snapToGrid w:val="0"/>
                    <w:rPr>
                      <w:rFonts w:hint="default" w:ascii="Times New Roman" w:hAnsi="Times New Roman" w:cs="Times New Roman"/>
                    </w:rPr>
                  </w:pPr>
                  <w:r>
                    <w:rPr>
                      <w:rFonts w:hint="default" w:ascii="Times New Roman" w:hAnsi="Times New Roman" w:cs="Times New Roman"/>
                    </w:rPr>
                    <w:t>53.7</w:t>
                  </w:r>
                </w:p>
              </w:tc>
              <w:tc>
                <w:tcPr>
                  <w:tcW w:w="181" w:type="pct"/>
                  <w:shd w:val="clear" w:color="auto" w:fill="FFFFFF"/>
                  <w:tcMar>
                    <w:top w:w="0" w:type="dxa"/>
                    <w:left w:w="0" w:type="dxa"/>
                    <w:bottom w:w="0" w:type="dxa"/>
                    <w:right w:w="0" w:type="dxa"/>
                  </w:tcMar>
                  <w:vAlign w:val="center"/>
                </w:tcPr>
                <w:p w14:paraId="63B84A91">
                  <w:pPr>
                    <w:pStyle w:val="29"/>
                    <w:adjustRightInd w:val="0"/>
                    <w:snapToGrid w:val="0"/>
                    <w:rPr>
                      <w:rFonts w:hint="default" w:ascii="Times New Roman" w:hAnsi="Times New Roman" w:cs="Times New Roman"/>
                    </w:rPr>
                  </w:pPr>
                  <w:r>
                    <w:rPr>
                      <w:rFonts w:hint="default" w:ascii="Times New Roman" w:hAnsi="Times New Roman" w:cs="Times New Roman"/>
                    </w:rPr>
                    <w:t>53.6</w:t>
                  </w:r>
                </w:p>
              </w:tc>
              <w:tc>
                <w:tcPr>
                  <w:tcW w:w="176" w:type="pct"/>
                  <w:shd w:val="clear" w:color="auto" w:fill="FFFFFF"/>
                  <w:tcMar>
                    <w:top w:w="0" w:type="dxa"/>
                    <w:left w:w="0" w:type="dxa"/>
                    <w:bottom w:w="0" w:type="dxa"/>
                    <w:right w:w="0" w:type="dxa"/>
                  </w:tcMar>
                  <w:vAlign w:val="center"/>
                </w:tcPr>
                <w:p w14:paraId="30119503">
                  <w:pPr>
                    <w:pStyle w:val="29"/>
                    <w:adjustRightInd w:val="0"/>
                    <w:snapToGrid w:val="0"/>
                    <w:rPr>
                      <w:rFonts w:hint="default" w:ascii="Times New Roman" w:hAnsi="Times New Roman" w:cs="Times New Roman"/>
                    </w:rPr>
                  </w:pPr>
                  <w:r>
                    <w:rPr>
                      <w:rFonts w:hint="default" w:ascii="Times New Roman" w:hAnsi="Times New Roman" w:cs="Times New Roman"/>
                    </w:rPr>
                    <w:t>53.6</w:t>
                  </w:r>
                </w:p>
              </w:tc>
              <w:tc>
                <w:tcPr>
                  <w:tcW w:w="261" w:type="pct"/>
                  <w:shd w:val="clear" w:color="auto" w:fill="FFFFFF"/>
                  <w:tcMar>
                    <w:top w:w="0" w:type="dxa"/>
                    <w:left w:w="0" w:type="dxa"/>
                    <w:bottom w:w="0" w:type="dxa"/>
                    <w:right w:w="0" w:type="dxa"/>
                  </w:tcMar>
                  <w:vAlign w:val="center"/>
                </w:tcPr>
                <w:p w14:paraId="2D8E62FE">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1915B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083B2EB5">
                  <w:pPr>
                    <w:pStyle w:val="29"/>
                    <w:adjustRightInd w:val="0"/>
                    <w:snapToGrid w:val="0"/>
                    <w:rPr>
                      <w:rFonts w:hint="default" w:ascii="Times New Roman" w:hAnsi="Times New Roman" w:cs="Times New Roman"/>
                    </w:rPr>
                  </w:pPr>
                  <w:r>
                    <w:rPr>
                      <w:rFonts w:hint="default" w:ascii="Times New Roman" w:hAnsi="Times New Roman" w:cs="Times New Roman"/>
                    </w:rPr>
                    <w:t>3</w:t>
                  </w:r>
                </w:p>
              </w:tc>
              <w:tc>
                <w:tcPr>
                  <w:tcW w:w="233" w:type="pct"/>
                  <w:vMerge w:val="continue"/>
                  <w:shd w:val="clear" w:color="auto" w:fill="FFFFFF"/>
                  <w:tcMar>
                    <w:top w:w="0" w:type="dxa"/>
                    <w:left w:w="0" w:type="dxa"/>
                    <w:bottom w:w="0" w:type="dxa"/>
                    <w:right w:w="0" w:type="dxa"/>
                  </w:tcMar>
                  <w:vAlign w:val="center"/>
                </w:tcPr>
                <w:p w14:paraId="617B93A5">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5CDBFC21">
                  <w:pPr>
                    <w:pStyle w:val="29"/>
                    <w:adjustRightInd w:val="0"/>
                    <w:snapToGrid w:val="0"/>
                    <w:rPr>
                      <w:rFonts w:hint="default" w:ascii="Times New Roman" w:hAnsi="Times New Roman" w:cs="Times New Roman"/>
                    </w:rPr>
                  </w:pPr>
                  <w:r>
                    <w:rPr>
                      <w:rFonts w:hint="default" w:ascii="Times New Roman" w:hAnsi="Times New Roman" w:cs="Times New Roman"/>
                    </w:rPr>
                    <w:t>瓦楞纸板钉箱机</w:t>
                  </w:r>
                </w:p>
              </w:tc>
              <w:tc>
                <w:tcPr>
                  <w:tcW w:w="147" w:type="pct"/>
                  <w:shd w:val="clear" w:color="auto" w:fill="FFFFFF"/>
                  <w:tcMar>
                    <w:top w:w="0" w:type="dxa"/>
                    <w:left w:w="0" w:type="dxa"/>
                    <w:bottom w:w="0" w:type="dxa"/>
                    <w:right w:w="0" w:type="dxa"/>
                  </w:tcMar>
                  <w:vAlign w:val="center"/>
                </w:tcPr>
                <w:p w14:paraId="7E6459FF">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6ADD8DEF">
                  <w:pPr>
                    <w:pStyle w:val="29"/>
                    <w:adjustRightInd w:val="0"/>
                    <w:snapToGrid w:val="0"/>
                    <w:rPr>
                      <w:rFonts w:hint="default" w:ascii="Times New Roman" w:hAnsi="Times New Roman" w:cs="Times New Roman"/>
                    </w:rPr>
                  </w:pPr>
                  <w:r>
                    <w:rPr>
                      <w:rFonts w:hint="default" w:ascii="Times New Roman" w:hAnsi="Times New Roman" w:cs="Times New Roman"/>
                    </w:rPr>
                    <w:t>70</w:t>
                  </w:r>
                </w:p>
              </w:tc>
              <w:tc>
                <w:tcPr>
                  <w:tcW w:w="254" w:type="pct"/>
                  <w:vMerge w:val="continue"/>
                  <w:shd w:val="clear" w:color="auto" w:fill="FFFFFF"/>
                  <w:tcMar>
                    <w:top w:w="0" w:type="dxa"/>
                    <w:left w:w="0" w:type="dxa"/>
                    <w:bottom w:w="0" w:type="dxa"/>
                    <w:right w:w="0" w:type="dxa"/>
                  </w:tcMar>
                  <w:vAlign w:val="center"/>
                </w:tcPr>
                <w:p w14:paraId="509B053B">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66248891">
                  <w:pPr>
                    <w:pStyle w:val="29"/>
                    <w:adjustRightInd w:val="0"/>
                    <w:snapToGrid w:val="0"/>
                    <w:rPr>
                      <w:rFonts w:hint="default" w:ascii="Times New Roman" w:hAnsi="Times New Roman" w:cs="Times New Roman"/>
                    </w:rPr>
                  </w:pPr>
                  <w:r>
                    <w:rPr>
                      <w:rFonts w:hint="default" w:ascii="Times New Roman" w:hAnsi="Times New Roman" w:cs="Times New Roman"/>
                    </w:rPr>
                    <w:t>-60.8</w:t>
                  </w:r>
                </w:p>
              </w:tc>
              <w:tc>
                <w:tcPr>
                  <w:tcW w:w="143" w:type="pct"/>
                  <w:shd w:val="clear" w:color="auto" w:fill="FFFFFF"/>
                  <w:tcMar>
                    <w:top w:w="0" w:type="dxa"/>
                    <w:left w:w="0" w:type="dxa"/>
                    <w:bottom w:w="0" w:type="dxa"/>
                    <w:right w:w="0" w:type="dxa"/>
                  </w:tcMar>
                  <w:vAlign w:val="center"/>
                </w:tcPr>
                <w:p w14:paraId="2297FE3E">
                  <w:pPr>
                    <w:pStyle w:val="29"/>
                    <w:adjustRightInd w:val="0"/>
                    <w:snapToGrid w:val="0"/>
                    <w:rPr>
                      <w:rFonts w:hint="default" w:ascii="Times New Roman" w:hAnsi="Times New Roman" w:cs="Times New Roman"/>
                    </w:rPr>
                  </w:pPr>
                  <w:r>
                    <w:rPr>
                      <w:rFonts w:hint="default" w:ascii="Times New Roman" w:hAnsi="Times New Roman" w:cs="Times New Roman"/>
                    </w:rPr>
                    <w:t>46.2</w:t>
                  </w:r>
                </w:p>
              </w:tc>
              <w:tc>
                <w:tcPr>
                  <w:tcW w:w="128" w:type="pct"/>
                  <w:shd w:val="clear" w:color="auto" w:fill="FFFFFF"/>
                  <w:tcMar>
                    <w:top w:w="0" w:type="dxa"/>
                    <w:left w:w="0" w:type="dxa"/>
                    <w:bottom w:w="0" w:type="dxa"/>
                    <w:right w:w="0" w:type="dxa"/>
                  </w:tcMar>
                  <w:vAlign w:val="center"/>
                </w:tcPr>
                <w:p w14:paraId="3C0142A7">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1766C801">
                  <w:pPr>
                    <w:pStyle w:val="29"/>
                    <w:adjustRightInd w:val="0"/>
                    <w:snapToGrid w:val="0"/>
                    <w:rPr>
                      <w:rFonts w:hint="default" w:ascii="Times New Roman" w:hAnsi="Times New Roman" w:cs="Times New Roman"/>
                    </w:rPr>
                  </w:pPr>
                  <w:r>
                    <w:rPr>
                      <w:rFonts w:hint="default" w:ascii="Times New Roman" w:hAnsi="Times New Roman" w:cs="Times New Roman"/>
                    </w:rPr>
                    <w:t>31.6</w:t>
                  </w:r>
                </w:p>
              </w:tc>
              <w:tc>
                <w:tcPr>
                  <w:tcW w:w="176" w:type="pct"/>
                  <w:shd w:val="clear" w:color="auto" w:fill="FFFFFF"/>
                  <w:tcMar>
                    <w:top w:w="0" w:type="dxa"/>
                    <w:left w:w="0" w:type="dxa"/>
                    <w:bottom w:w="0" w:type="dxa"/>
                    <w:right w:w="0" w:type="dxa"/>
                  </w:tcMar>
                  <w:vAlign w:val="center"/>
                </w:tcPr>
                <w:p w14:paraId="5D137ED7">
                  <w:pPr>
                    <w:pStyle w:val="29"/>
                    <w:adjustRightInd w:val="0"/>
                    <w:snapToGrid w:val="0"/>
                    <w:rPr>
                      <w:rFonts w:hint="default" w:ascii="Times New Roman" w:hAnsi="Times New Roman" w:cs="Times New Roman"/>
                    </w:rPr>
                  </w:pPr>
                  <w:r>
                    <w:rPr>
                      <w:rFonts w:hint="default" w:ascii="Times New Roman" w:hAnsi="Times New Roman" w:cs="Times New Roman"/>
                    </w:rPr>
                    <w:t>47.4</w:t>
                  </w:r>
                </w:p>
              </w:tc>
              <w:tc>
                <w:tcPr>
                  <w:tcW w:w="176" w:type="pct"/>
                  <w:shd w:val="clear" w:color="auto" w:fill="FFFFFF"/>
                  <w:tcMar>
                    <w:top w:w="0" w:type="dxa"/>
                    <w:left w:w="0" w:type="dxa"/>
                    <w:bottom w:w="0" w:type="dxa"/>
                    <w:right w:w="0" w:type="dxa"/>
                  </w:tcMar>
                  <w:vAlign w:val="center"/>
                </w:tcPr>
                <w:p w14:paraId="4FF5EBF3">
                  <w:pPr>
                    <w:pStyle w:val="29"/>
                    <w:adjustRightInd w:val="0"/>
                    <w:snapToGrid w:val="0"/>
                    <w:rPr>
                      <w:rFonts w:hint="default" w:ascii="Times New Roman" w:hAnsi="Times New Roman" w:cs="Times New Roman"/>
                    </w:rPr>
                  </w:pPr>
                  <w:r>
                    <w:rPr>
                      <w:rFonts w:hint="default" w:ascii="Times New Roman" w:hAnsi="Times New Roman" w:cs="Times New Roman"/>
                    </w:rPr>
                    <w:t>32.1</w:t>
                  </w:r>
                </w:p>
              </w:tc>
              <w:tc>
                <w:tcPr>
                  <w:tcW w:w="186" w:type="pct"/>
                  <w:shd w:val="clear" w:color="auto" w:fill="FFFFFF"/>
                  <w:tcMar>
                    <w:top w:w="0" w:type="dxa"/>
                    <w:left w:w="0" w:type="dxa"/>
                    <w:bottom w:w="0" w:type="dxa"/>
                    <w:right w:w="0" w:type="dxa"/>
                  </w:tcMar>
                  <w:vAlign w:val="center"/>
                </w:tcPr>
                <w:p w14:paraId="2869AE0F">
                  <w:pPr>
                    <w:pStyle w:val="29"/>
                    <w:adjustRightInd w:val="0"/>
                    <w:snapToGrid w:val="0"/>
                    <w:rPr>
                      <w:rFonts w:hint="default" w:ascii="Times New Roman" w:hAnsi="Times New Roman" w:cs="Times New Roman"/>
                    </w:rPr>
                  </w:pPr>
                  <w:r>
                    <w:rPr>
                      <w:rFonts w:hint="default" w:ascii="Times New Roman" w:hAnsi="Times New Roman" w:cs="Times New Roman"/>
                    </w:rPr>
                    <w:t>3.9</w:t>
                  </w:r>
                </w:p>
              </w:tc>
              <w:tc>
                <w:tcPr>
                  <w:tcW w:w="174" w:type="pct"/>
                  <w:shd w:val="clear" w:color="auto" w:fill="FFFFFF"/>
                  <w:tcMar>
                    <w:top w:w="0" w:type="dxa"/>
                    <w:left w:w="0" w:type="dxa"/>
                    <w:bottom w:w="0" w:type="dxa"/>
                    <w:right w:w="0" w:type="dxa"/>
                  </w:tcMar>
                  <w:vAlign w:val="center"/>
                </w:tcPr>
                <w:p w14:paraId="794734AF">
                  <w:pPr>
                    <w:pStyle w:val="29"/>
                    <w:adjustRightInd w:val="0"/>
                    <w:snapToGrid w:val="0"/>
                    <w:rPr>
                      <w:rFonts w:hint="default" w:ascii="Times New Roman" w:hAnsi="Times New Roman" w:cs="Times New Roman"/>
                    </w:rPr>
                  </w:pPr>
                  <w:r>
                    <w:rPr>
                      <w:rFonts w:hint="default" w:ascii="Times New Roman" w:hAnsi="Times New Roman" w:cs="Times New Roman"/>
                    </w:rPr>
                    <w:t>59.1</w:t>
                  </w:r>
                </w:p>
              </w:tc>
              <w:tc>
                <w:tcPr>
                  <w:tcW w:w="175" w:type="pct"/>
                  <w:shd w:val="clear" w:color="auto" w:fill="FFFFFF"/>
                  <w:tcMar>
                    <w:top w:w="0" w:type="dxa"/>
                    <w:left w:w="0" w:type="dxa"/>
                    <w:bottom w:w="0" w:type="dxa"/>
                    <w:right w:w="0" w:type="dxa"/>
                  </w:tcMar>
                  <w:vAlign w:val="center"/>
                </w:tcPr>
                <w:p w14:paraId="3BBD2977">
                  <w:pPr>
                    <w:pStyle w:val="29"/>
                    <w:adjustRightInd w:val="0"/>
                    <w:snapToGrid w:val="0"/>
                    <w:rPr>
                      <w:rFonts w:hint="default" w:ascii="Times New Roman" w:hAnsi="Times New Roman" w:cs="Times New Roman"/>
                    </w:rPr>
                  </w:pPr>
                  <w:r>
                    <w:rPr>
                      <w:rFonts w:hint="default" w:ascii="Times New Roman" w:hAnsi="Times New Roman" w:cs="Times New Roman"/>
                    </w:rPr>
                    <w:t>59.1</w:t>
                  </w:r>
                </w:p>
              </w:tc>
              <w:tc>
                <w:tcPr>
                  <w:tcW w:w="175" w:type="pct"/>
                  <w:shd w:val="clear" w:color="auto" w:fill="FFFFFF"/>
                  <w:tcMar>
                    <w:top w:w="0" w:type="dxa"/>
                    <w:left w:w="0" w:type="dxa"/>
                    <w:bottom w:w="0" w:type="dxa"/>
                    <w:right w:w="0" w:type="dxa"/>
                  </w:tcMar>
                  <w:vAlign w:val="center"/>
                </w:tcPr>
                <w:p w14:paraId="62EC98DD">
                  <w:pPr>
                    <w:pStyle w:val="29"/>
                    <w:adjustRightInd w:val="0"/>
                    <w:snapToGrid w:val="0"/>
                    <w:rPr>
                      <w:rFonts w:hint="default" w:ascii="Times New Roman" w:hAnsi="Times New Roman" w:cs="Times New Roman"/>
                    </w:rPr>
                  </w:pPr>
                  <w:r>
                    <w:rPr>
                      <w:rFonts w:hint="default" w:ascii="Times New Roman" w:hAnsi="Times New Roman" w:cs="Times New Roman"/>
                    </w:rPr>
                    <w:t>59.1</w:t>
                  </w:r>
                </w:p>
              </w:tc>
              <w:tc>
                <w:tcPr>
                  <w:tcW w:w="137" w:type="pct"/>
                  <w:shd w:val="clear" w:color="auto" w:fill="FFFFFF"/>
                  <w:tcMar>
                    <w:top w:w="0" w:type="dxa"/>
                    <w:left w:w="0" w:type="dxa"/>
                    <w:bottom w:w="0" w:type="dxa"/>
                    <w:right w:w="0" w:type="dxa"/>
                  </w:tcMar>
                  <w:vAlign w:val="center"/>
                </w:tcPr>
                <w:p w14:paraId="29B13FF0">
                  <w:pPr>
                    <w:pStyle w:val="29"/>
                    <w:adjustRightInd w:val="0"/>
                    <w:snapToGrid w:val="0"/>
                    <w:rPr>
                      <w:rFonts w:hint="default" w:ascii="Times New Roman" w:hAnsi="Times New Roman" w:cs="Times New Roman"/>
                    </w:rPr>
                  </w:pPr>
                  <w:r>
                    <w:rPr>
                      <w:rFonts w:hint="default" w:ascii="Times New Roman" w:hAnsi="Times New Roman" w:cs="Times New Roman"/>
                    </w:rPr>
                    <w:t>59.4</w:t>
                  </w:r>
                </w:p>
              </w:tc>
              <w:tc>
                <w:tcPr>
                  <w:tcW w:w="236" w:type="pct"/>
                  <w:shd w:val="clear" w:color="auto" w:fill="FFFFFF"/>
                  <w:tcMar>
                    <w:top w:w="0" w:type="dxa"/>
                    <w:left w:w="0" w:type="dxa"/>
                    <w:bottom w:w="0" w:type="dxa"/>
                    <w:right w:w="0" w:type="dxa"/>
                  </w:tcMar>
                  <w:vAlign w:val="center"/>
                </w:tcPr>
                <w:p w14:paraId="0FEE9203">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4E643CEE">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7682470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EEAFBAD">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17C6280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27FADBC7">
                  <w:pPr>
                    <w:pStyle w:val="29"/>
                    <w:adjustRightInd w:val="0"/>
                    <w:snapToGrid w:val="0"/>
                    <w:rPr>
                      <w:rFonts w:hint="default" w:ascii="Times New Roman" w:hAnsi="Times New Roman" w:cs="Times New Roman"/>
                    </w:rPr>
                  </w:pPr>
                  <w:r>
                    <w:rPr>
                      <w:rFonts w:hint="default" w:ascii="Times New Roman" w:hAnsi="Times New Roman" w:cs="Times New Roman"/>
                    </w:rPr>
                    <w:t>50.1</w:t>
                  </w:r>
                </w:p>
              </w:tc>
              <w:tc>
                <w:tcPr>
                  <w:tcW w:w="186" w:type="pct"/>
                  <w:shd w:val="clear" w:color="auto" w:fill="FFFFFF"/>
                  <w:tcMar>
                    <w:top w:w="0" w:type="dxa"/>
                    <w:left w:w="0" w:type="dxa"/>
                    <w:bottom w:w="0" w:type="dxa"/>
                    <w:right w:w="0" w:type="dxa"/>
                  </w:tcMar>
                  <w:vAlign w:val="center"/>
                </w:tcPr>
                <w:p w14:paraId="5DCE3A75">
                  <w:pPr>
                    <w:pStyle w:val="29"/>
                    <w:adjustRightInd w:val="0"/>
                    <w:snapToGrid w:val="0"/>
                    <w:rPr>
                      <w:rFonts w:hint="default" w:ascii="Times New Roman" w:hAnsi="Times New Roman" w:cs="Times New Roman"/>
                    </w:rPr>
                  </w:pPr>
                  <w:r>
                    <w:rPr>
                      <w:rFonts w:hint="default" w:ascii="Times New Roman" w:hAnsi="Times New Roman" w:cs="Times New Roman"/>
                    </w:rPr>
                    <w:t>50.1</w:t>
                  </w:r>
                </w:p>
              </w:tc>
              <w:tc>
                <w:tcPr>
                  <w:tcW w:w="181" w:type="pct"/>
                  <w:shd w:val="clear" w:color="auto" w:fill="FFFFFF"/>
                  <w:tcMar>
                    <w:top w:w="0" w:type="dxa"/>
                    <w:left w:w="0" w:type="dxa"/>
                    <w:bottom w:w="0" w:type="dxa"/>
                    <w:right w:w="0" w:type="dxa"/>
                  </w:tcMar>
                  <w:vAlign w:val="center"/>
                </w:tcPr>
                <w:p w14:paraId="4BA57A30">
                  <w:pPr>
                    <w:pStyle w:val="29"/>
                    <w:adjustRightInd w:val="0"/>
                    <w:snapToGrid w:val="0"/>
                    <w:rPr>
                      <w:rFonts w:hint="default" w:ascii="Times New Roman" w:hAnsi="Times New Roman" w:cs="Times New Roman"/>
                    </w:rPr>
                  </w:pPr>
                  <w:r>
                    <w:rPr>
                      <w:rFonts w:hint="default" w:ascii="Times New Roman" w:hAnsi="Times New Roman" w:cs="Times New Roman"/>
                    </w:rPr>
                    <w:t>50.1</w:t>
                  </w:r>
                </w:p>
              </w:tc>
              <w:tc>
                <w:tcPr>
                  <w:tcW w:w="176" w:type="pct"/>
                  <w:shd w:val="clear" w:color="auto" w:fill="FFFFFF"/>
                  <w:tcMar>
                    <w:top w:w="0" w:type="dxa"/>
                    <w:left w:w="0" w:type="dxa"/>
                    <w:bottom w:w="0" w:type="dxa"/>
                    <w:right w:w="0" w:type="dxa"/>
                  </w:tcMar>
                  <w:vAlign w:val="center"/>
                </w:tcPr>
                <w:p w14:paraId="264D5B8E">
                  <w:pPr>
                    <w:pStyle w:val="29"/>
                    <w:adjustRightInd w:val="0"/>
                    <w:snapToGrid w:val="0"/>
                    <w:rPr>
                      <w:rFonts w:hint="default" w:ascii="Times New Roman" w:hAnsi="Times New Roman" w:cs="Times New Roman"/>
                    </w:rPr>
                  </w:pPr>
                  <w:r>
                    <w:rPr>
                      <w:rFonts w:hint="default" w:ascii="Times New Roman" w:hAnsi="Times New Roman" w:cs="Times New Roman"/>
                    </w:rPr>
                    <w:t>50.4</w:t>
                  </w:r>
                </w:p>
              </w:tc>
              <w:tc>
                <w:tcPr>
                  <w:tcW w:w="261" w:type="pct"/>
                  <w:shd w:val="clear" w:color="auto" w:fill="FFFFFF"/>
                  <w:tcMar>
                    <w:top w:w="0" w:type="dxa"/>
                    <w:left w:w="0" w:type="dxa"/>
                    <w:bottom w:w="0" w:type="dxa"/>
                    <w:right w:w="0" w:type="dxa"/>
                  </w:tcMar>
                  <w:vAlign w:val="center"/>
                </w:tcPr>
                <w:p w14:paraId="00BE2172">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64BDA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70395152">
                  <w:pPr>
                    <w:pStyle w:val="29"/>
                    <w:adjustRightInd w:val="0"/>
                    <w:snapToGrid w:val="0"/>
                    <w:rPr>
                      <w:rFonts w:hint="default" w:ascii="Times New Roman" w:hAnsi="Times New Roman" w:cs="Times New Roman"/>
                    </w:rPr>
                  </w:pPr>
                  <w:r>
                    <w:rPr>
                      <w:rFonts w:hint="default" w:ascii="Times New Roman" w:hAnsi="Times New Roman" w:cs="Times New Roman"/>
                    </w:rPr>
                    <w:t>4</w:t>
                  </w:r>
                </w:p>
              </w:tc>
              <w:tc>
                <w:tcPr>
                  <w:tcW w:w="233" w:type="pct"/>
                  <w:vMerge w:val="continue"/>
                  <w:shd w:val="clear" w:color="auto" w:fill="FFFFFF"/>
                  <w:tcMar>
                    <w:top w:w="0" w:type="dxa"/>
                    <w:left w:w="0" w:type="dxa"/>
                    <w:bottom w:w="0" w:type="dxa"/>
                    <w:right w:w="0" w:type="dxa"/>
                  </w:tcMar>
                  <w:vAlign w:val="center"/>
                </w:tcPr>
                <w:p w14:paraId="61F1B8AD">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1146AD13">
                  <w:pPr>
                    <w:pStyle w:val="29"/>
                    <w:adjustRightInd w:val="0"/>
                    <w:snapToGrid w:val="0"/>
                    <w:rPr>
                      <w:rFonts w:hint="default" w:ascii="Times New Roman" w:hAnsi="Times New Roman" w:cs="Times New Roman"/>
                    </w:rPr>
                  </w:pPr>
                  <w:r>
                    <w:rPr>
                      <w:rFonts w:hint="default" w:ascii="Times New Roman" w:hAnsi="Times New Roman" w:cs="Times New Roman"/>
                    </w:rPr>
                    <w:t>水墨印刷机</w:t>
                  </w:r>
                </w:p>
              </w:tc>
              <w:tc>
                <w:tcPr>
                  <w:tcW w:w="147" w:type="pct"/>
                  <w:shd w:val="clear" w:color="auto" w:fill="FFFFFF"/>
                  <w:tcMar>
                    <w:top w:w="0" w:type="dxa"/>
                    <w:left w:w="0" w:type="dxa"/>
                    <w:bottom w:w="0" w:type="dxa"/>
                    <w:right w:w="0" w:type="dxa"/>
                  </w:tcMar>
                  <w:vAlign w:val="center"/>
                </w:tcPr>
                <w:p w14:paraId="5F6A7EC7">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138E8012">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continue"/>
                  <w:shd w:val="clear" w:color="auto" w:fill="FFFFFF"/>
                  <w:tcMar>
                    <w:top w:w="0" w:type="dxa"/>
                    <w:left w:w="0" w:type="dxa"/>
                    <w:bottom w:w="0" w:type="dxa"/>
                    <w:right w:w="0" w:type="dxa"/>
                  </w:tcMar>
                  <w:vAlign w:val="center"/>
                </w:tcPr>
                <w:p w14:paraId="5CD3FBF8">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4B76333B">
                  <w:pPr>
                    <w:pStyle w:val="29"/>
                    <w:adjustRightInd w:val="0"/>
                    <w:snapToGrid w:val="0"/>
                    <w:rPr>
                      <w:rFonts w:hint="default" w:ascii="Times New Roman" w:hAnsi="Times New Roman" w:cs="Times New Roman"/>
                    </w:rPr>
                  </w:pPr>
                  <w:r>
                    <w:rPr>
                      <w:rFonts w:hint="default" w:ascii="Times New Roman" w:hAnsi="Times New Roman" w:cs="Times New Roman"/>
                    </w:rPr>
                    <w:t>-69.8</w:t>
                  </w:r>
                </w:p>
              </w:tc>
              <w:tc>
                <w:tcPr>
                  <w:tcW w:w="143" w:type="pct"/>
                  <w:shd w:val="clear" w:color="auto" w:fill="FFFFFF"/>
                  <w:tcMar>
                    <w:top w:w="0" w:type="dxa"/>
                    <w:left w:w="0" w:type="dxa"/>
                    <w:bottom w:w="0" w:type="dxa"/>
                    <w:right w:w="0" w:type="dxa"/>
                  </w:tcMar>
                  <w:vAlign w:val="center"/>
                </w:tcPr>
                <w:p w14:paraId="10984BFB">
                  <w:pPr>
                    <w:pStyle w:val="29"/>
                    <w:adjustRightInd w:val="0"/>
                    <w:snapToGrid w:val="0"/>
                    <w:rPr>
                      <w:rFonts w:hint="default" w:ascii="Times New Roman" w:hAnsi="Times New Roman" w:cs="Times New Roman"/>
                    </w:rPr>
                  </w:pPr>
                  <w:r>
                    <w:rPr>
                      <w:rFonts w:hint="default" w:ascii="Times New Roman" w:hAnsi="Times New Roman" w:cs="Times New Roman"/>
                    </w:rPr>
                    <w:t>49.7</w:t>
                  </w:r>
                </w:p>
              </w:tc>
              <w:tc>
                <w:tcPr>
                  <w:tcW w:w="128" w:type="pct"/>
                  <w:shd w:val="clear" w:color="auto" w:fill="FFFFFF"/>
                  <w:tcMar>
                    <w:top w:w="0" w:type="dxa"/>
                    <w:left w:w="0" w:type="dxa"/>
                    <w:bottom w:w="0" w:type="dxa"/>
                    <w:right w:w="0" w:type="dxa"/>
                  </w:tcMar>
                  <w:vAlign w:val="center"/>
                </w:tcPr>
                <w:p w14:paraId="3DA7A517">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63753314">
                  <w:pPr>
                    <w:pStyle w:val="29"/>
                    <w:adjustRightInd w:val="0"/>
                    <w:snapToGrid w:val="0"/>
                    <w:rPr>
                      <w:rFonts w:hint="default" w:ascii="Times New Roman" w:hAnsi="Times New Roman" w:cs="Times New Roman"/>
                    </w:rPr>
                  </w:pPr>
                  <w:r>
                    <w:rPr>
                      <w:rFonts w:hint="default" w:ascii="Times New Roman" w:hAnsi="Times New Roman" w:cs="Times New Roman"/>
                    </w:rPr>
                    <w:t>21.9</w:t>
                  </w:r>
                </w:p>
              </w:tc>
              <w:tc>
                <w:tcPr>
                  <w:tcW w:w="176" w:type="pct"/>
                  <w:shd w:val="clear" w:color="auto" w:fill="FFFFFF"/>
                  <w:tcMar>
                    <w:top w:w="0" w:type="dxa"/>
                    <w:left w:w="0" w:type="dxa"/>
                    <w:bottom w:w="0" w:type="dxa"/>
                    <w:right w:w="0" w:type="dxa"/>
                  </w:tcMar>
                  <w:vAlign w:val="center"/>
                </w:tcPr>
                <w:p w14:paraId="22356A4C">
                  <w:pPr>
                    <w:pStyle w:val="29"/>
                    <w:adjustRightInd w:val="0"/>
                    <w:snapToGrid w:val="0"/>
                    <w:rPr>
                      <w:rFonts w:hint="default" w:ascii="Times New Roman" w:hAnsi="Times New Roman" w:cs="Times New Roman"/>
                    </w:rPr>
                  </w:pPr>
                  <w:r>
                    <w:rPr>
                      <w:rFonts w:hint="default" w:ascii="Times New Roman" w:hAnsi="Times New Roman" w:cs="Times New Roman"/>
                    </w:rPr>
                    <w:t>47.3</w:t>
                  </w:r>
                </w:p>
              </w:tc>
              <w:tc>
                <w:tcPr>
                  <w:tcW w:w="176" w:type="pct"/>
                  <w:shd w:val="clear" w:color="auto" w:fill="FFFFFF"/>
                  <w:tcMar>
                    <w:top w:w="0" w:type="dxa"/>
                    <w:left w:w="0" w:type="dxa"/>
                    <w:bottom w:w="0" w:type="dxa"/>
                    <w:right w:w="0" w:type="dxa"/>
                  </w:tcMar>
                  <w:vAlign w:val="center"/>
                </w:tcPr>
                <w:p w14:paraId="763BABE4">
                  <w:pPr>
                    <w:pStyle w:val="29"/>
                    <w:adjustRightInd w:val="0"/>
                    <w:snapToGrid w:val="0"/>
                    <w:rPr>
                      <w:rFonts w:hint="default" w:ascii="Times New Roman" w:hAnsi="Times New Roman" w:cs="Times New Roman"/>
                    </w:rPr>
                  </w:pPr>
                  <w:r>
                    <w:rPr>
                      <w:rFonts w:hint="default" w:ascii="Times New Roman" w:hAnsi="Times New Roman" w:cs="Times New Roman"/>
                    </w:rPr>
                    <w:t>22.4</w:t>
                  </w:r>
                </w:p>
              </w:tc>
              <w:tc>
                <w:tcPr>
                  <w:tcW w:w="186" w:type="pct"/>
                  <w:shd w:val="clear" w:color="auto" w:fill="FFFFFF"/>
                  <w:tcMar>
                    <w:top w:w="0" w:type="dxa"/>
                    <w:left w:w="0" w:type="dxa"/>
                    <w:bottom w:w="0" w:type="dxa"/>
                    <w:right w:w="0" w:type="dxa"/>
                  </w:tcMar>
                  <w:vAlign w:val="center"/>
                </w:tcPr>
                <w:p w14:paraId="6A3E3233">
                  <w:pPr>
                    <w:pStyle w:val="29"/>
                    <w:adjustRightInd w:val="0"/>
                    <w:snapToGrid w:val="0"/>
                    <w:rPr>
                      <w:rFonts w:hint="default" w:ascii="Times New Roman" w:hAnsi="Times New Roman" w:cs="Times New Roman"/>
                    </w:rPr>
                  </w:pPr>
                  <w:r>
                    <w:rPr>
                      <w:rFonts w:hint="default" w:ascii="Times New Roman" w:hAnsi="Times New Roman" w:cs="Times New Roman"/>
                    </w:rPr>
                    <w:t>4.0</w:t>
                  </w:r>
                </w:p>
              </w:tc>
              <w:tc>
                <w:tcPr>
                  <w:tcW w:w="174" w:type="pct"/>
                  <w:shd w:val="clear" w:color="auto" w:fill="FFFFFF"/>
                  <w:tcMar>
                    <w:top w:w="0" w:type="dxa"/>
                    <w:left w:w="0" w:type="dxa"/>
                    <w:bottom w:w="0" w:type="dxa"/>
                    <w:right w:w="0" w:type="dxa"/>
                  </w:tcMar>
                  <w:vAlign w:val="center"/>
                </w:tcPr>
                <w:p w14:paraId="6F18CFC7">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25E7EBCC">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4D4DB72B">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37" w:type="pct"/>
                  <w:shd w:val="clear" w:color="auto" w:fill="FFFFFF"/>
                  <w:tcMar>
                    <w:top w:w="0" w:type="dxa"/>
                    <w:left w:w="0" w:type="dxa"/>
                    <w:bottom w:w="0" w:type="dxa"/>
                    <w:right w:w="0" w:type="dxa"/>
                  </w:tcMar>
                  <w:vAlign w:val="center"/>
                </w:tcPr>
                <w:p w14:paraId="3978C018">
                  <w:pPr>
                    <w:pStyle w:val="29"/>
                    <w:adjustRightInd w:val="0"/>
                    <w:snapToGrid w:val="0"/>
                    <w:rPr>
                      <w:rFonts w:hint="default" w:ascii="Times New Roman" w:hAnsi="Times New Roman" w:cs="Times New Roman"/>
                    </w:rPr>
                  </w:pPr>
                  <w:r>
                    <w:rPr>
                      <w:rFonts w:hint="default" w:ascii="Times New Roman" w:hAnsi="Times New Roman" w:cs="Times New Roman"/>
                    </w:rPr>
                    <w:t>69.4</w:t>
                  </w:r>
                </w:p>
              </w:tc>
              <w:tc>
                <w:tcPr>
                  <w:tcW w:w="236" w:type="pct"/>
                  <w:shd w:val="clear" w:color="auto" w:fill="FFFFFF"/>
                  <w:tcMar>
                    <w:top w:w="0" w:type="dxa"/>
                    <w:left w:w="0" w:type="dxa"/>
                    <w:bottom w:w="0" w:type="dxa"/>
                    <w:right w:w="0" w:type="dxa"/>
                  </w:tcMar>
                  <w:vAlign w:val="center"/>
                </w:tcPr>
                <w:p w14:paraId="686E198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62D654D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5380AAA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0A204CA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142A213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2F487CA4">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86" w:type="pct"/>
                  <w:shd w:val="clear" w:color="auto" w:fill="FFFFFF"/>
                  <w:tcMar>
                    <w:top w:w="0" w:type="dxa"/>
                    <w:left w:w="0" w:type="dxa"/>
                    <w:bottom w:w="0" w:type="dxa"/>
                    <w:right w:w="0" w:type="dxa"/>
                  </w:tcMar>
                  <w:vAlign w:val="center"/>
                </w:tcPr>
                <w:p w14:paraId="0AE274A0">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81" w:type="pct"/>
                  <w:shd w:val="clear" w:color="auto" w:fill="FFFFFF"/>
                  <w:tcMar>
                    <w:top w:w="0" w:type="dxa"/>
                    <w:left w:w="0" w:type="dxa"/>
                    <w:bottom w:w="0" w:type="dxa"/>
                    <w:right w:w="0" w:type="dxa"/>
                  </w:tcMar>
                  <w:vAlign w:val="center"/>
                </w:tcPr>
                <w:p w14:paraId="2CA0D7D2">
                  <w:pPr>
                    <w:pStyle w:val="29"/>
                    <w:adjustRightInd w:val="0"/>
                    <w:snapToGrid w:val="0"/>
                    <w:rPr>
                      <w:rFonts w:hint="default" w:ascii="Times New Roman" w:hAnsi="Times New Roman" w:cs="Times New Roman"/>
                    </w:rPr>
                  </w:pPr>
                  <w:r>
                    <w:rPr>
                      <w:rFonts w:hint="default" w:ascii="Times New Roman" w:hAnsi="Times New Roman" w:cs="Times New Roman"/>
                    </w:rPr>
                    <w:t>60.1</w:t>
                  </w:r>
                </w:p>
              </w:tc>
              <w:tc>
                <w:tcPr>
                  <w:tcW w:w="176" w:type="pct"/>
                  <w:shd w:val="clear" w:color="auto" w:fill="FFFFFF"/>
                  <w:tcMar>
                    <w:top w:w="0" w:type="dxa"/>
                    <w:left w:w="0" w:type="dxa"/>
                    <w:bottom w:w="0" w:type="dxa"/>
                    <w:right w:w="0" w:type="dxa"/>
                  </w:tcMar>
                  <w:vAlign w:val="center"/>
                </w:tcPr>
                <w:p w14:paraId="318467E2">
                  <w:pPr>
                    <w:pStyle w:val="29"/>
                    <w:adjustRightInd w:val="0"/>
                    <w:snapToGrid w:val="0"/>
                    <w:rPr>
                      <w:rFonts w:hint="default" w:ascii="Times New Roman" w:hAnsi="Times New Roman" w:cs="Times New Roman"/>
                    </w:rPr>
                  </w:pPr>
                  <w:r>
                    <w:rPr>
                      <w:rFonts w:hint="default" w:ascii="Times New Roman" w:hAnsi="Times New Roman" w:cs="Times New Roman"/>
                    </w:rPr>
                    <w:t>60.4</w:t>
                  </w:r>
                </w:p>
              </w:tc>
              <w:tc>
                <w:tcPr>
                  <w:tcW w:w="261" w:type="pct"/>
                  <w:shd w:val="clear" w:color="auto" w:fill="FFFFFF"/>
                  <w:tcMar>
                    <w:top w:w="0" w:type="dxa"/>
                    <w:left w:w="0" w:type="dxa"/>
                    <w:bottom w:w="0" w:type="dxa"/>
                    <w:right w:w="0" w:type="dxa"/>
                  </w:tcMar>
                  <w:vAlign w:val="center"/>
                </w:tcPr>
                <w:p w14:paraId="3F9225B7">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5BE26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5A5A370D">
                  <w:pPr>
                    <w:pStyle w:val="29"/>
                    <w:adjustRightInd w:val="0"/>
                    <w:snapToGrid w:val="0"/>
                    <w:rPr>
                      <w:rFonts w:hint="default" w:ascii="Times New Roman" w:hAnsi="Times New Roman" w:cs="Times New Roman"/>
                    </w:rPr>
                  </w:pPr>
                  <w:r>
                    <w:rPr>
                      <w:rFonts w:hint="default" w:ascii="Times New Roman" w:hAnsi="Times New Roman" w:cs="Times New Roman"/>
                    </w:rPr>
                    <w:t>5</w:t>
                  </w:r>
                </w:p>
              </w:tc>
              <w:tc>
                <w:tcPr>
                  <w:tcW w:w="233" w:type="pct"/>
                  <w:vMerge w:val="continue"/>
                  <w:shd w:val="clear" w:color="auto" w:fill="FFFFFF"/>
                  <w:tcMar>
                    <w:top w:w="0" w:type="dxa"/>
                    <w:left w:w="0" w:type="dxa"/>
                    <w:bottom w:w="0" w:type="dxa"/>
                    <w:right w:w="0" w:type="dxa"/>
                  </w:tcMar>
                  <w:vAlign w:val="center"/>
                </w:tcPr>
                <w:p w14:paraId="51FEC9CF">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3690ED1B">
                  <w:pPr>
                    <w:pStyle w:val="29"/>
                    <w:adjustRightInd w:val="0"/>
                    <w:snapToGrid w:val="0"/>
                    <w:rPr>
                      <w:rFonts w:hint="default" w:ascii="Times New Roman" w:hAnsi="Times New Roman" w:cs="Times New Roman"/>
                    </w:rPr>
                  </w:pPr>
                  <w:r>
                    <w:rPr>
                      <w:rFonts w:hint="default" w:ascii="Times New Roman" w:hAnsi="Times New Roman" w:cs="Times New Roman"/>
                    </w:rPr>
                    <w:t>自动打捆机1</w:t>
                  </w:r>
                </w:p>
              </w:tc>
              <w:tc>
                <w:tcPr>
                  <w:tcW w:w="147" w:type="pct"/>
                  <w:shd w:val="clear" w:color="auto" w:fill="FFFFFF"/>
                  <w:tcMar>
                    <w:top w:w="0" w:type="dxa"/>
                    <w:left w:w="0" w:type="dxa"/>
                    <w:bottom w:w="0" w:type="dxa"/>
                    <w:right w:w="0" w:type="dxa"/>
                  </w:tcMar>
                  <w:vAlign w:val="center"/>
                </w:tcPr>
                <w:p w14:paraId="70E4F5A7">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1AB10780">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1479687C">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10AA0C41">
                  <w:pPr>
                    <w:pStyle w:val="29"/>
                    <w:adjustRightInd w:val="0"/>
                    <w:snapToGrid w:val="0"/>
                    <w:rPr>
                      <w:rFonts w:hint="default" w:ascii="Times New Roman" w:hAnsi="Times New Roman" w:cs="Times New Roman"/>
                    </w:rPr>
                  </w:pPr>
                  <w:r>
                    <w:rPr>
                      <w:rFonts w:hint="default" w:ascii="Times New Roman" w:hAnsi="Times New Roman" w:cs="Times New Roman"/>
                    </w:rPr>
                    <w:t>-55.5</w:t>
                  </w:r>
                </w:p>
              </w:tc>
              <w:tc>
                <w:tcPr>
                  <w:tcW w:w="143" w:type="pct"/>
                  <w:shd w:val="clear" w:color="auto" w:fill="FFFFFF"/>
                  <w:tcMar>
                    <w:top w:w="0" w:type="dxa"/>
                    <w:left w:w="0" w:type="dxa"/>
                    <w:bottom w:w="0" w:type="dxa"/>
                    <w:right w:w="0" w:type="dxa"/>
                  </w:tcMar>
                  <w:vAlign w:val="center"/>
                </w:tcPr>
                <w:p w14:paraId="66A4DDB9">
                  <w:pPr>
                    <w:pStyle w:val="29"/>
                    <w:adjustRightInd w:val="0"/>
                    <w:snapToGrid w:val="0"/>
                    <w:rPr>
                      <w:rFonts w:hint="default" w:ascii="Times New Roman" w:hAnsi="Times New Roman" w:cs="Times New Roman"/>
                    </w:rPr>
                  </w:pPr>
                  <w:r>
                    <w:rPr>
                      <w:rFonts w:hint="default" w:ascii="Times New Roman" w:hAnsi="Times New Roman" w:cs="Times New Roman"/>
                    </w:rPr>
                    <w:t>43.5</w:t>
                  </w:r>
                </w:p>
              </w:tc>
              <w:tc>
                <w:tcPr>
                  <w:tcW w:w="128" w:type="pct"/>
                  <w:shd w:val="clear" w:color="auto" w:fill="FFFFFF"/>
                  <w:tcMar>
                    <w:top w:w="0" w:type="dxa"/>
                    <w:left w:w="0" w:type="dxa"/>
                    <w:bottom w:w="0" w:type="dxa"/>
                    <w:right w:w="0" w:type="dxa"/>
                  </w:tcMar>
                  <w:vAlign w:val="center"/>
                </w:tcPr>
                <w:p w14:paraId="5DDAE051">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30DC62A9">
                  <w:pPr>
                    <w:pStyle w:val="29"/>
                    <w:adjustRightInd w:val="0"/>
                    <w:snapToGrid w:val="0"/>
                    <w:rPr>
                      <w:rFonts w:hint="default" w:ascii="Times New Roman" w:hAnsi="Times New Roman" w:cs="Times New Roman"/>
                    </w:rPr>
                  </w:pPr>
                  <w:r>
                    <w:rPr>
                      <w:rFonts w:hint="default" w:ascii="Times New Roman" w:hAnsi="Times New Roman" w:cs="Times New Roman"/>
                    </w:rPr>
                    <w:t>37.5</w:t>
                  </w:r>
                </w:p>
              </w:tc>
              <w:tc>
                <w:tcPr>
                  <w:tcW w:w="176" w:type="pct"/>
                  <w:shd w:val="clear" w:color="auto" w:fill="FFFFFF"/>
                  <w:tcMar>
                    <w:top w:w="0" w:type="dxa"/>
                    <w:left w:w="0" w:type="dxa"/>
                    <w:bottom w:w="0" w:type="dxa"/>
                    <w:right w:w="0" w:type="dxa"/>
                  </w:tcMar>
                  <w:vAlign w:val="center"/>
                </w:tcPr>
                <w:p w14:paraId="11C1C211">
                  <w:pPr>
                    <w:pStyle w:val="29"/>
                    <w:adjustRightInd w:val="0"/>
                    <w:snapToGrid w:val="0"/>
                    <w:rPr>
                      <w:rFonts w:hint="default" w:ascii="Times New Roman" w:hAnsi="Times New Roman" w:cs="Times New Roman"/>
                    </w:rPr>
                  </w:pPr>
                  <w:r>
                    <w:rPr>
                      <w:rFonts w:hint="default" w:ascii="Times New Roman" w:hAnsi="Times New Roman" w:cs="Times New Roman"/>
                    </w:rPr>
                    <w:t>46.8</w:t>
                  </w:r>
                </w:p>
              </w:tc>
              <w:tc>
                <w:tcPr>
                  <w:tcW w:w="176" w:type="pct"/>
                  <w:shd w:val="clear" w:color="auto" w:fill="FFFFFF"/>
                  <w:tcMar>
                    <w:top w:w="0" w:type="dxa"/>
                    <w:left w:w="0" w:type="dxa"/>
                    <w:bottom w:w="0" w:type="dxa"/>
                    <w:right w:w="0" w:type="dxa"/>
                  </w:tcMar>
                  <w:vAlign w:val="center"/>
                </w:tcPr>
                <w:p w14:paraId="513EC364">
                  <w:pPr>
                    <w:pStyle w:val="29"/>
                    <w:adjustRightInd w:val="0"/>
                    <w:snapToGrid w:val="0"/>
                    <w:rPr>
                      <w:rFonts w:hint="default" w:ascii="Times New Roman" w:hAnsi="Times New Roman" w:cs="Times New Roman"/>
                    </w:rPr>
                  </w:pPr>
                  <w:r>
                    <w:rPr>
                      <w:rFonts w:hint="default" w:ascii="Times New Roman" w:hAnsi="Times New Roman" w:cs="Times New Roman"/>
                    </w:rPr>
                    <w:t>38.0</w:t>
                  </w:r>
                </w:p>
              </w:tc>
              <w:tc>
                <w:tcPr>
                  <w:tcW w:w="186" w:type="pct"/>
                  <w:shd w:val="clear" w:color="auto" w:fill="FFFFFF"/>
                  <w:tcMar>
                    <w:top w:w="0" w:type="dxa"/>
                    <w:left w:w="0" w:type="dxa"/>
                    <w:bottom w:w="0" w:type="dxa"/>
                    <w:right w:w="0" w:type="dxa"/>
                  </w:tcMar>
                  <w:vAlign w:val="center"/>
                </w:tcPr>
                <w:p w14:paraId="6FDABC86">
                  <w:pPr>
                    <w:pStyle w:val="29"/>
                    <w:adjustRightInd w:val="0"/>
                    <w:snapToGrid w:val="0"/>
                    <w:rPr>
                      <w:rFonts w:hint="default" w:ascii="Times New Roman" w:hAnsi="Times New Roman" w:cs="Times New Roman"/>
                    </w:rPr>
                  </w:pPr>
                  <w:r>
                    <w:rPr>
                      <w:rFonts w:hint="default" w:ascii="Times New Roman" w:hAnsi="Times New Roman" w:cs="Times New Roman"/>
                    </w:rPr>
                    <w:t>4.5</w:t>
                  </w:r>
                </w:p>
              </w:tc>
              <w:tc>
                <w:tcPr>
                  <w:tcW w:w="174" w:type="pct"/>
                  <w:shd w:val="clear" w:color="auto" w:fill="FFFFFF"/>
                  <w:tcMar>
                    <w:top w:w="0" w:type="dxa"/>
                    <w:left w:w="0" w:type="dxa"/>
                    <w:bottom w:w="0" w:type="dxa"/>
                    <w:right w:w="0" w:type="dxa"/>
                  </w:tcMar>
                  <w:vAlign w:val="center"/>
                </w:tcPr>
                <w:p w14:paraId="357F61C8">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75" w:type="pct"/>
                  <w:shd w:val="clear" w:color="auto" w:fill="FFFFFF"/>
                  <w:tcMar>
                    <w:top w:w="0" w:type="dxa"/>
                    <w:left w:w="0" w:type="dxa"/>
                    <w:bottom w:w="0" w:type="dxa"/>
                    <w:right w:w="0" w:type="dxa"/>
                  </w:tcMar>
                  <w:vAlign w:val="center"/>
                </w:tcPr>
                <w:p w14:paraId="72D70E4B">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75" w:type="pct"/>
                  <w:shd w:val="clear" w:color="auto" w:fill="FFFFFF"/>
                  <w:tcMar>
                    <w:top w:w="0" w:type="dxa"/>
                    <w:left w:w="0" w:type="dxa"/>
                    <w:bottom w:w="0" w:type="dxa"/>
                    <w:right w:w="0" w:type="dxa"/>
                  </w:tcMar>
                  <w:vAlign w:val="center"/>
                </w:tcPr>
                <w:p w14:paraId="3F4C4EE1">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37" w:type="pct"/>
                  <w:shd w:val="clear" w:color="auto" w:fill="FFFFFF"/>
                  <w:tcMar>
                    <w:top w:w="0" w:type="dxa"/>
                    <w:left w:w="0" w:type="dxa"/>
                    <w:bottom w:w="0" w:type="dxa"/>
                    <w:right w:w="0" w:type="dxa"/>
                  </w:tcMar>
                  <w:vAlign w:val="center"/>
                </w:tcPr>
                <w:p w14:paraId="6D7ADC7C">
                  <w:pPr>
                    <w:pStyle w:val="29"/>
                    <w:adjustRightInd w:val="0"/>
                    <w:snapToGrid w:val="0"/>
                    <w:rPr>
                      <w:rFonts w:hint="default" w:ascii="Times New Roman" w:hAnsi="Times New Roman" w:cs="Times New Roman"/>
                    </w:rPr>
                  </w:pPr>
                  <w:r>
                    <w:rPr>
                      <w:rFonts w:hint="default" w:ascii="Times New Roman" w:hAnsi="Times New Roman" w:cs="Times New Roman"/>
                    </w:rPr>
                    <w:t>64.3</w:t>
                  </w:r>
                </w:p>
              </w:tc>
              <w:tc>
                <w:tcPr>
                  <w:tcW w:w="236" w:type="pct"/>
                  <w:shd w:val="clear" w:color="auto" w:fill="FFFFFF"/>
                  <w:tcMar>
                    <w:top w:w="0" w:type="dxa"/>
                    <w:left w:w="0" w:type="dxa"/>
                    <w:bottom w:w="0" w:type="dxa"/>
                    <w:right w:w="0" w:type="dxa"/>
                  </w:tcMar>
                  <w:vAlign w:val="center"/>
                </w:tcPr>
                <w:p w14:paraId="1D697D95">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73036C6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6562C33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8E83BD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204CBB0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AAF515C">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6" w:type="pct"/>
                  <w:shd w:val="clear" w:color="auto" w:fill="FFFFFF"/>
                  <w:tcMar>
                    <w:top w:w="0" w:type="dxa"/>
                    <w:left w:w="0" w:type="dxa"/>
                    <w:bottom w:w="0" w:type="dxa"/>
                    <w:right w:w="0" w:type="dxa"/>
                  </w:tcMar>
                  <w:vAlign w:val="center"/>
                </w:tcPr>
                <w:p w14:paraId="72D10625">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1" w:type="pct"/>
                  <w:shd w:val="clear" w:color="auto" w:fill="FFFFFF"/>
                  <w:tcMar>
                    <w:top w:w="0" w:type="dxa"/>
                    <w:left w:w="0" w:type="dxa"/>
                    <w:bottom w:w="0" w:type="dxa"/>
                    <w:right w:w="0" w:type="dxa"/>
                  </w:tcMar>
                  <w:vAlign w:val="center"/>
                </w:tcPr>
                <w:p w14:paraId="57E59D78">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76" w:type="pct"/>
                  <w:shd w:val="clear" w:color="auto" w:fill="FFFFFF"/>
                  <w:tcMar>
                    <w:top w:w="0" w:type="dxa"/>
                    <w:left w:w="0" w:type="dxa"/>
                    <w:bottom w:w="0" w:type="dxa"/>
                    <w:right w:w="0" w:type="dxa"/>
                  </w:tcMar>
                  <w:vAlign w:val="center"/>
                </w:tcPr>
                <w:p w14:paraId="1ED6F151">
                  <w:pPr>
                    <w:pStyle w:val="29"/>
                    <w:adjustRightInd w:val="0"/>
                    <w:snapToGrid w:val="0"/>
                    <w:rPr>
                      <w:rFonts w:hint="default" w:ascii="Times New Roman" w:hAnsi="Times New Roman" w:cs="Times New Roman"/>
                    </w:rPr>
                  </w:pPr>
                  <w:r>
                    <w:rPr>
                      <w:rFonts w:hint="default" w:ascii="Times New Roman" w:hAnsi="Times New Roman" w:cs="Times New Roman"/>
                    </w:rPr>
                    <w:t>55.3</w:t>
                  </w:r>
                </w:p>
              </w:tc>
              <w:tc>
                <w:tcPr>
                  <w:tcW w:w="261" w:type="pct"/>
                  <w:shd w:val="clear" w:color="auto" w:fill="FFFFFF"/>
                  <w:tcMar>
                    <w:top w:w="0" w:type="dxa"/>
                    <w:left w:w="0" w:type="dxa"/>
                    <w:bottom w:w="0" w:type="dxa"/>
                    <w:right w:w="0" w:type="dxa"/>
                  </w:tcMar>
                  <w:vAlign w:val="center"/>
                </w:tcPr>
                <w:p w14:paraId="36F47968">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62EEF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16C23EDE">
                  <w:pPr>
                    <w:pStyle w:val="29"/>
                    <w:adjustRightInd w:val="0"/>
                    <w:snapToGrid w:val="0"/>
                    <w:rPr>
                      <w:rFonts w:hint="default" w:ascii="Times New Roman" w:hAnsi="Times New Roman" w:cs="Times New Roman"/>
                    </w:rPr>
                  </w:pPr>
                  <w:r>
                    <w:rPr>
                      <w:rFonts w:hint="default" w:ascii="Times New Roman" w:hAnsi="Times New Roman" w:cs="Times New Roman"/>
                    </w:rPr>
                    <w:t>6</w:t>
                  </w:r>
                </w:p>
              </w:tc>
              <w:tc>
                <w:tcPr>
                  <w:tcW w:w="233" w:type="pct"/>
                  <w:vMerge w:val="continue"/>
                  <w:shd w:val="clear" w:color="auto" w:fill="FFFFFF"/>
                  <w:tcMar>
                    <w:top w:w="0" w:type="dxa"/>
                    <w:left w:w="0" w:type="dxa"/>
                    <w:bottom w:w="0" w:type="dxa"/>
                    <w:right w:w="0" w:type="dxa"/>
                  </w:tcMar>
                  <w:vAlign w:val="center"/>
                </w:tcPr>
                <w:p w14:paraId="34F2914F">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58BD4230">
                  <w:pPr>
                    <w:pStyle w:val="29"/>
                    <w:adjustRightInd w:val="0"/>
                    <w:snapToGrid w:val="0"/>
                    <w:rPr>
                      <w:rFonts w:hint="default" w:ascii="Times New Roman" w:hAnsi="Times New Roman" w:cs="Times New Roman"/>
                    </w:rPr>
                  </w:pPr>
                  <w:r>
                    <w:rPr>
                      <w:rFonts w:hint="default" w:ascii="Times New Roman" w:hAnsi="Times New Roman" w:cs="Times New Roman"/>
                    </w:rPr>
                    <w:t>自动打捆机2</w:t>
                  </w:r>
                </w:p>
              </w:tc>
              <w:tc>
                <w:tcPr>
                  <w:tcW w:w="147" w:type="pct"/>
                  <w:shd w:val="clear" w:color="auto" w:fill="FFFFFF"/>
                  <w:tcMar>
                    <w:top w:w="0" w:type="dxa"/>
                    <w:left w:w="0" w:type="dxa"/>
                    <w:bottom w:w="0" w:type="dxa"/>
                    <w:right w:w="0" w:type="dxa"/>
                  </w:tcMar>
                  <w:vAlign w:val="center"/>
                </w:tcPr>
                <w:p w14:paraId="6FA11802">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1222E623">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FE38549">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367D20AE">
                  <w:pPr>
                    <w:pStyle w:val="29"/>
                    <w:adjustRightInd w:val="0"/>
                    <w:snapToGrid w:val="0"/>
                    <w:rPr>
                      <w:rFonts w:hint="default" w:ascii="Times New Roman" w:hAnsi="Times New Roman" w:cs="Times New Roman"/>
                    </w:rPr>
                  </w:pPr>
                  <w:r>
                    <w:rPr>
                      <w:rFonts w:hint="default" w:ascii="Times New Roman" w:hAnsi="Times New Roman" w:cs="Times New Roman"/>
                    </w:rPr>
                    <w:t>-49.3</w:t>
                  </w:r>
                </w:p>
              </w:tc>
              <w:tc>
                <w:tcPr>
                  <w:tcW w:w="143" w:type="pct"/>
                  <w:shd w:val="clear" w:color="auto" w:fill="FFFFFF"/>
                  <w:tcMar>
                    <w:top w:w="0" w:type="dxa"/>
                    <w:left w:w="0" w:type="dxa"/>
                    <w:bottom w:w="0" w:type="dxa"/>
                    <w:right w:w="0" w:type="dxa"/>
                  </w:tcMar>
                  <w:vAlign w:val="center"/>
                </w:tcPr>
                <w:p w14:paraId="795B80E9">
                  <w:pPr>
                    <w:pStyle w:val="29"/>
                    <w:adjustRightInd w:val="0"/>
                    <w:snapToGrid w:val="0"/>
                    <w:rPr>
                      <w:rFonts w:hint="default" w:ascii="Times New Roman" w:hAnsi="Times New Roman" w:cs="Times New Roman"/>
                    </w:rPr>
                  </w:pPr>
                  <w:r>
                    <w:rPr>
                      <w:rFonts w:hint="default" w:ascii="Times New Roman" w:hAnsi="Times New Roman" w:cs="Times New Roman"/>
                    </w:rPr>
                    <w:t>41</w:t>
                  </w:r>
                </w:p>
              </w:tc>
              <w:tc>
                <w:tcPr>
                  <w:tcW w:w="128" w:type="pct"/>
                  <w:shd w:val="clear" w:color="auto" w:fill="FFFFFF"/>
                  <w:tcMar>
                    <w:top w:w="0" w:type="dxa"/>
                    <w:left w:w="0" w:type="dxa"/>
                    <w:bottom w:w="0" w:type="dxa"/>
                    <w:right w:w="0" w:type="dxa"/>
                  </w:tcMar>
                  <w:vAlign w:val="center"/>
                </w:tcPr>
                <w:p w14:paraId="466D525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6AFCE2CB">
                  <w:pPr>
                    <w:pStyle w:val="29"/>
                    <w:adjustRightInd w:val="0"/>
                    <w:snapToGrid w:val="0"/>
                    <w:rPr>
                      <w:rFonts w:hint="default" w:ascii="Times New Roman" w:hAnsi="Times New Roman" w:cs="Times New Roman"/>
                    </w:rPr>
                  </w:pPr>
                  <w:r>
                    <w:rPr>
                      <w:rFonts w:hint="default" w:ascii="Times New Roman" w:hAnsi="Times New Roman" w:cs="Times New Roman"/>
                    </w:rPr>
                    <w:t>44.2</w:t>
                  </w:r>
                </w:p>
              </w:tc>
              <w:tc>
                <w:tcPr>
                  <w:tcW w:w="176" w:type="pct"/>
                  <w:shd w:val="clear" w:color="auto" w:fill="FFFFFF"/>
                  <w:tcMar>
                    <w:top w:w="0" w:type="dxa"/>
                    <w:left w:w="0" w:type="dxa"/>
                    <w:bottom w:w="0" w:type="dxa"/>
                    <w:right w:w="0" w:type="dxa"/>
                  </w:tcMar>
                  <w:vAlign w:val="center"/>
                </w:tcPr>
                <w:p w14:paraId="02956403">
                  <w:pPr>
                    <w:pStyle w:val="29"/>
                    <w:adjustRightInd w:val="0"/>
                    <w:snapToGrid w:val="0"/>
                    <w:rPr>
                      <w:rFonts w:hint="default" w:ascii="Times New Roman" w:hAnsi="Times New Roman" w:cs="Times New Roman"/>
                    </w:rPr>
                  </w:pPr>
                  <w:r>
                    <w:rPr>
                      <w:rFonts w:hint="default" w:ascii="Times New Roman" w:hAnsi="Times New Roman" w:cs="Times New Roman"/>
                    </w:rPr>
                    <w:t>46.8</w:t>
                  </w:r>
                </w:p>
              </w:tc>
              <w:tc>
                <w:tcPr>
                  <w:tcW w:w="176" w:type="pct"/>
                  <w:shd w:val="clear" w:color="auto" w:fill="FFFFFF"/>
                  <w:tcMar>
                    <w:top w:w="0" w:type="dxa"/>
                    <w:left w:w="0" w:type="dxa"/>
                    <w:bottom w:w="0" w:type="dxa"/>
                    <w:right w:w="0" w:type="dxa"/>
                  </w:tcMar>
                  <w:vAlign w:val="center"/>
                </w:tcPr>
                <w:p w14:paraId="382A67AF">
                  <w:pPr>
                    <w:pStyle w:val="29"/>
                    <w:adjustRightInd w:val="0"/>
                    <w:snapToGrid w:val="0"/>
                    <w:rPr>
                      <w:rFonts w:hint="default" w:ascii="Times New Roman" w:hAnsi="Times New Roman" w:cs="Times New Roman"/>
                    </w:rPr>
                  </w:pPr>
                  <w:r>
                    <w:rPr>
                      <w:rFonts w:hint="default" w:ascii="Times New Roman" w:hAnsi="Times New Roman" w:cs="Times New Roman"/>
                    </w:rPr>
                    <w:t>44.7</w:t>
                  </w:r>
                </w:p>
              </w:tc>
              <w:tc>
                <w:tcPr>
                  <w:tcW w:w="186" w:type="pct"/>
                  <w:shd w:val="clear" w:color="auto" w:fill="FFFFFF"/>
                  <w:tcMar>
                    <w:top w:w="0" w:type="dxa"/>
                    <w:left w:w="0" w:type="dxa"/>
                    <w:bottom w:w="0" w:type="dxa"/>
                    <w:right w:w="0" w:type="dxa"/>
                  </w:tcMar>
                  <w:vAlign w:val="center"/>
                </w:tcPr>
                <w:p w14:paraId="4DD87EF1">
                  <w:pPr>
                    <w:pStyle w:val="29"/>
                    <w:adjustRightInd w:val="0"/>
                    <w:snapToGrid w:val="0"/>
                    <w:rPr>
                      <w:rFonts w:hint="default" w:ascii="Times New Roman" w:hAnsi="Times New Roman" w:cs="Times New Roman"/>
                    </w:rPr>
                  </w:pPr>
                  <w:r>
                    <w:rPr>
                      <w:rFonts w:hint="default" w:ascii="Times New Roman" w:hAnsi="Times New Roman" w:cs="Times New Roman"/>
                    </w:rPr>
                    <w:t>4.5</w:t>
                  </w:r>
                </w:p>
              </w:tc>
              <w:tc>
                <w:tcPr>
                  <w:tcW w:w="174" w:type="pct"/>
                  <w:shd w:val="clear" w:color="auto" w:fill="FFFFFF"/>
                  <w:tcMar>
                    <w:top w:w="0" w:type="dxa"/>
                    <w:left w:w="0" w:type="dxa"/>
                    <w:bottom w:w="0" w:type="dxa"/>
                    <w:right w:w="0" w:type="dxa"/>
                  </w:tcMar>
                  <w:vAlign w:val="center"/>
                </w:tcPr>
                <w:p w14:paraId="058AB048">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75" w:type="pct"/>
                  <w:shd w:val="clear" w:color="auto" w:fill="FFFFFF"/>
                  <w:tcMar>
                    <w:top w:w="0" w:type="dxa"/>
                    <w:left w:w="0" w:type="dxa"/>
                    <w:bottom w:w="0" w:type="dxa"/>
                    <w:right w:w="0" w:type="dxa"/>
                  </w:tcMar>
                  <w:vAlign w:val="center"/>
                </w:tcPr>
                <w:p w14:paraId="34996DA2">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75" w:type="pct"/>
                  <w:shd w:val="clear" w:color="auto" w:fill="FFFFFF"/>
                  <w:tcMar>
                    <w:top w:w="0" w:type="dxa"/>
                    <w:left w:w="0" w:type="dxa"/>
                    <w:bottom w:w="0" w:type="dxa"/>
                    <w:right w:w="0" w:type="dxa"/>
                  </w:tcMar>
                  <w:vAlign w:val="center"/>
                </w:tcPr>
                <w:p w14:paraId="7D0FB185">
                  <w:pPr>
                    <w:pStyle w:val="29"/>
                    <w:adjustRightInd w:val="0"/>
                    <w:snapToGrid w:val="0"/>
                    <w:rPr>
                      <w:rFonts w:hint="default" w:ascii="Times New Roman" w:hAnsi="Times New Roman" w:cs="Times New Roman"/>
                    </w:rPr>
                  </w:pPr>
                  <w:r>
                    <w:rPr>
                      <w:rFonts w:hint="default" w:ascii="Times New Roman" w:hAnsi="Times New Roman" w:cs="Times New Roman"/>
                    </w:rPr>
                    <w:t>64.1</w:t>
                  </w:r>
                </w:p>
              </w:tc>
              <w:tc>
                <w:tcPr>
                  <w:tcW w:w="137" w:type="pct"/>
                  <w:shd w:val="clear" w:color="auto" w:fill="FFFFFF"/>
                  <w:tcMar>
                    <w:top w:w="0" w:type="dxa"/>
                    <w:left w:w="0" w:type="dxa"/>
                    <w:bottom w:w="0" w:type="dxa"/>
                    <w:right w:w="0" w:type="dxa"/>
                  </w:tcMar>
                  <w:vAlign w:val="center"/>
                </w:tcPr>
                <w:p w14:paraId="5E1A3B11">
                  <w:pPr>
                    <w:pStyle w:val="29"/>
                    <w:adjustRightInd w:val="0"/>
                    <w:snapToGrid w:val="0"/>
                    <w:rPr>
                      <w:rFonts w:hint="default" w:ascii="Times New Roman" w:hAnsi="Times New Roman" w:cs="Times New Roman"/>
                    </w:rPr>
                  </w:pPr>
                  <w:r>
                    <w:rPr>
                      <w:rFonts w:hint="default" w:ascii="Times New Roman" w:hAnsi="Times New Roman" w:cs="Times New Roman"/>
                    </w:rPr>
                    <w:t>64.3</w:t>
                  </w:r>
                </w:p>
              </w:tc>
              <w:tc>
                <w:tcPr>
                  <w:tcW w:w="236" w:type="pct"/>
                  <w:shd w:val="clear" w:color="auto" w:fill="FFFFFF"/>
                  <w:tcMar>
                    <w:top w:w="0" w:type="dxa"/>
                    <w:left w:w="0" w:type="dxa"/>
                    <w:bottom w:w="0" w:type="dxa"/>
                    <w:right w:w="0" w:type="dxa"/>
                  </w:tcMar>
                  <w:vAlign w:val="center"/>
                </w:tcPr>
                <w:p w14:paraId="2F58EFD7">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01F5DDD5">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504BD5DF">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0858AD4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4CFC181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7E342282">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6" w:type="pct"/>
                  <w:shd w:val="clear" w:color="auto" w:fill="FFFFFF"/>
                  <w:tcMar>
                    <w:top w:w="0" w:type="dxa"/>
                    <w:left w:w="0" w:type="dxa"/>
                    <w:bottom w:w="0" w:type="dxa"/>
                    <w:right w:w="0" w:type="dxa"/>
                  </w:tcMar>
                  <w:vAlign w:val="center"/>
                </w:tcPr>
                <w:p w14:paraId="311CC95E">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1" w:type="pct"/>
                  <w:shd w:val="clear" w:color="auto" w:fill="FFFFFF"/>
                  <w:tcMar>
                    <w:top w:w="0" w:type="dxa"/>
                    <w:left w:w="0" w:type="dxa"/>
                    <w:bottom w:w="0" w:type="dxa"/>
                    <w:right w:w="0" w:type="dxa"/>
                  </w:tcMar>
                  <w:vAlign w:val="center"/>
                </w:tcPr>
                <w:p w14:paraId="3865E39B">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76" w:type="pct"/>
                  <w:shd w:val="clear" w:color="auto" w:fill="FFFFFF"/>
                  <w:tcMar>
                    <w:top w:w="0" w:type="dxa"/>
                    <w:left w:w="0" w:type="dxa"/>
                    <w:bottom w:w="0" w:type="dxa"/>
                    <w:right w:w="0" w:type="dxa"/>
                  </w:tcMar>
                  <w:vAlign w:val="center"/>
                </w:tcPr>
                <w:p w14:paraId="37D97D96">
                  <w:pPr>
                    <w:pStyle w:val="29"/>
                    <w:adjustRightInd w:val="0"/>
                    <w:snapToGrid w:val="0"/>
                    <w:rPr>
                      <w:rFonts w:hint="default" w:ascii="Times New Roman" w:hAnsi="Times New Roman" w:cs="Times New Roman"/>
                    </w:rPr>
                  </w:pPr>
                  <w:r>
                    <w:rPr>
                      <w:rFonts w:hint="default" w:ascii="Times New Roman" w:hAnsi="Times New Roman" w:cs="Times New Roman"/>
                    </w:rPr>
                    <w:t>55.3</w:t>
                  </w:r>
                </w:p>
              </w:tc>
              <w:tc>
                <w:tcPr>
                  <w:tcW w:w="261" w:type="pct"/>
                  <w:shd w:val="clear" w:color="auto" w:fill="FFFFFF"/>
                  <w:tcMar>
                    <w:top w:w="0" w:type="dxa"/>
                    <w:left w:w="0" w:type="dxa"/>
                    <w:bottom w:w="0" w:type="dxa"/>
                    <w:right w:w="0" w:type="dxa"/>
                  </w:tcMar>
                  <w:vAlign w:val="center"/>
                </w:tcPr>
                <w:p w14:paraId="2DB3B9E3">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2F6B5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057FEEA5">
                  <w:pPr>
                    <w:pStyle w:val="29"/>
                    <w:adjustRightInd w:val="0"/>
                    <w:snapToGrid w:val="0"/>
                    <w:rPr>
                      <w:rFonts w:hint="default" w:ascii="Times New Roman" w:hAnsi="Times New Roman" w:cs="Times New Roman"/>
                    </w:rPr>
                  </w:pPr>
                  <w:r>
                    <w:rPr>
                      <w:rFonts w:hint="default" w:ascii="Times New Roman" w:hAnsi="Times New Roman" w:cs="Times New Roman"/>
                    </w:rPr>
                    <w:t>7</w:t>
                  </w:r>
                </w:p>
              </w:tc>
              <w:tc>
                <w:tcPr>
                  <w:tcW w:w="233" w:type="pct"/>
                  <w:vMerge w:val="continue"/>
                  <w:shd w:val="clear" w:color="auto" w:fill="FFFFFF"/>
                  <w:tcMar>
                    <w:top w:w="0" w:type="dxa"/>
                    <w:left w:w="0" w:type="dxa"/>
                    <w:bottom w:w="0" w:type="dxa"/>
                    <w:right w:w="0" w:type="dxa"/>
                  </w:tcMar>
                  <w:vAlign w:val="center"/>
                </w:tcPr>
                <w:p w14:paraId="17F2ECF0">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5D78611E">
                  <w:pPr>
                    <w:pStyle w:val="29"/>
                    <w:adjustRightInd w:val="0"/>
                    <w:snapToGrid w:val="0"/>
                    <w:rPr>
                      <w:rFonts w:hint="default" w:ascii="Times New Roman" w:hAnsi="Times New Roman" w:cs="Times New Roman"/>
                    </w:rPr>
                  </w:pPr>
                  <w:r>
                    <w:rPr>
                      <w:rFonts w:hint="default" w:ascii="Times New Roman" w:hAnsi="Times New Roman" w:cs="Times New Roman"/>
                    </w:rPr>
                    <w:t>自动打捆机3</w:t>
                  </w:r>
                </w:p>
              </w:tc>
              <w:tc>
                <w:tcPr>
                  <w:tcW w:w="147" w:type="pct"/>
                  <w:shd w:val="clear" w:color="auto" w:fill="FFFFFF"/>
                  <w:tcMar>
                    <w:top w:w="0" w:type="dxa"/>
                    <w:left w:w="0" w:type="dxa"/>
                    <w:bottom w:w="0" w:type="dxa"/>
                    <w:right w:w="0" w:type="dxa"/>
                  </w:tcMar>
                  <w:vAlign w:val="center"/>
                </w:tcPr>
                <w:p w14:paraId="6E32A2FF">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27A40E71">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BCADDFD">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10B3240E">
                  <w:pPr>
                    <w:pStyle w:val="29"/>
                    <w:adjustRightInd w:val="0"/>
                    <w:snapToGrid w:val="0"/>
                    <w:rPr>
                      <w:rFonts w:hint="default" w:ascii="Times New Roman" w:hAnsi="Times New Roman" w:cs="Times New Roman"/>
                    </w:rPr>
                  </w:pPr>
                  <w:r>
                    <w:rPr>
                      <w:rFonts w:hint="default" w:ascii="Times New Roman" w:hAnsi="Times New Roman" w:cs="Times New Roman"/>
                    </w:rPr>
                    <w:t>-42.8</w:t>
                  </w:r>
                </w:p>
              </w:tc>
              <w:tc>
                <w:tcPr>
                  <w:tcW w:w="143" w:type="pct"/>
                  <w:shd w:val="clear" w:color="auto" w:fill="FFFFFF"/>
                  <w:tcMar>
                    <w:top w:w="0" w:type="dxa"/>
                    <w:left w:w="0" w:type="dxa"/>
                    <w:bottom w:w="0" w:type="dxa"/>
                    <w:right w:w="0" w:type="dxa"/>
                  </w:tcMar>
                  <w:vAlign w:val="center"/>
                </w:tcPr>
                <w:p w14:paraId="437AEB34">
                  <w:pPr>
                    <w:pStyle w:val="29"/>
                    <w:adjustRightInd w:val="0"/>
                    <w:snapToGrid w:val="0"/>
                    <w:rPr>
                      <w:rFonts w:hint="default" w:ascii="Times New Roman" w:hAnsi="Times New Roman" w:cs="Times New Roman"/>
                    </w:rPr>
                  </w:pPr>
                  <w:r>
                    <w:rPr>
                      <w:rFonts w:hint="default" w:ascii="Times New Roman" w:hAnsi="Times New Roman" w:cs="Times New Roman"/>
                    </w:rPr>
                    <w:t>38.3</w:t>
                  </w:r>
                </w:p>
              </w:tc>
              <w:tc>
                <w:tcPr>
                  <w:tcW w:w="128" w:type="pct"/>
                  <w:shd w:val="clear" w:color="auto" w:fill="FFFFFF"/>
                  <w:tcMar>
                    <w:top w:w="0" w:type="dxa"/>
                    <w:left w:w="0" w:type="dxa"/>
                    <w:bottom w:w="0" w:type="dxa"/>
                    <w:right w:w="0" w:type="dxa"/>
                  </w:tcMar>
                  <w:vAlign w:val="center"/>
                </w:tcPr>
                <w:p w14:paraId="5D9DF39E">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0F97EA6A">
                  <w:pPr>
                    <w:pStyle w:val="29"/>
                    <w:adjustRightInd w:val="0"/>
                    <w:snapToGrid w:val="0"/>
                    <w:rPr>
                      <w:rFonts w:hint="default" w:ascii="Times New Roman" w:hAnsi="Times New Roman" w:cs="Times New Roman"/>
                    </w:rPr>
                  </w:pPr>
                  <w:r>
                    <w:rPr>
                      <w:rFonts w:hint="default" w:ascii="Times New Roman" w:hAnsi="Times New Roman" w:cs="Times New Roman"/>
                    </w:rPr>
                    <w:t>54.7</w:t>
                  </w:r>
                </w:p>
              </w:tc>
              <w:tc>
                <w:tcPr>
                  <w:tcW w:w="176" w:type="pct"/>
                  <w:shd w:val="clear" w:color="auto" w:fill="FFFFFF"/>
                  <w:tcMar>
                    <w:top w:w="0" w:type="dxa"/>
                    <w:left w:w="0" w:type="dxa"/>
                    <w:bottom w:w="0" w:type="dxa"/>
                    <w:right w:w="0" w:type="dxa"/>
                  </w:tcMar>
                  <w:vAlign w:val="center"/>
                </w:tcPr>
                <w:p w14:paraId="52089B34">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6" w:type="pct"/>
                  <w:shd w:val="clear" w:color="auto" w:fill="FFFFFF"/>
                  <w:tcMar>
                    <w:top w:w="0" w:type="dxa"/>
                    <w:left w:w="0" w:type="dxa"/>
                    <w:bottom w:w="0" w:type="dxa"/>
                    <w:right w:w="0" w:type="dxa"/>
                  </w:tcMar>
                  <w:vAlign w:val="center"/>
                </w:tcPr>
                <w:p w14:paraId="2F370AA9">
                  <w:pPr>
                    <w:pStyle w:val="29"/>
                    <w:adjustRightInd w:val="0"/>
                    <w:snapToGrid w:val="0"/>
                    <w:rPr>
                      <w:rFonts w:hint="default" w:ascii="Times New Roman" w:hAnsi="Times New Roman" w:cs="Times New Roman"/>
                    </w:rPr>
                  </w:pPr>
                  <w:r>
                    <w:rPr>
                      <w:rFonts w:hint="default" w:ascii="Times New Roman" w:hAnsi="Times New Roman" w:cs="Times New Roman"/>
                    </w:rPr>
                    <w:t>56.0</w:t>
                  </w:r>
                </w:p>
              </w:tc>
              <w:tc>
                <w:tcPr>
                  <w:tcW w:w="186" w:type="pct"/>
                  <w:shd w:val="clear" w:color="auto" w:fill="FFFFFF"/>
                  <w:tcMar>
                    <w:top w:w="0" w:type="dxa"/>
                    <w:left w:w="0" w:type="dxa"/>
                    <w:bottom w:w="0" w:type="dxa"/>
                    <w:right w:w="0" w:type="dxa"/>
                  </w:tcMar>
                  <w:vAlign w:val="center"/>
                </w:tcPr>
                <w:p w14:paraId="6DA0B707">
                  <w:pPr>
                    <w:pStyle w:val="29"/>
                    <w:adjustRightInd w:val="0"/>
                    <w:snapToGrid w:val="0"/>
                    <w:rPr>
                      <w:rFonts w:hint="default" w:ascii="Times New Roman" w:hAnsi="Times New Roman" w:cs="Times New Roman"/>
                    </w:rPr>
                  </w:pPr>
                  <w:r>
                    <w:rPr>
                      <w:rFonts w:hint="default" w:ascii="Times New Roman" w:hAnsi="Times New Roman" w:cs="Times New Roman"/>
                    </w:rPr>
                    <w:t>44.7</w:t>
                  </w:r>
                </w:p>
              </w:tc>
              <w:tc>
                <w:tcPr>
                  <w:tcW w:w="174" w:type="pct"/>
                  <w:shd w:val="clear" w:color="auto" w:fill="FFFFFF"/>
                  <w:tcMar>
                    <w:top w:w="0" w:type="dxa"/>
                    <w:left w:w="0" w:type="dxa"/>
                    <w:bottom w:w="0" w:type="dxa"/>
                    <w:right w:w="0" w:type="dxa"/>
                  </w:tcMar>
                  <w:vAlign w:val="center"/>
                </w:tcPr>
                <w:p w14:paraId="499A8C3E">
                  <w:pPr>
                    <w:pStyle w:val="29"/>
                    <w:adjustRightInd w:val="0"/>
                    <w:snapToGrid w:val="0"/>
                    <w:rPr>
                      <w:rFonts w:hint="default" w:ascii="Times New Roman" w:hAnsi="Times New Roman" w:cs="Times New Roman"/>
                    </w:rPr>
                  </w:pPr>
                  <w:r>
                    <w:rPr>
                      <w:rFonts w:hint="default" w:ascii="Times New Roman" w:hAnsi="Times New Roman" w:cs="Times New Roman"/>
                    </w:rPr>
                    <w:t>60.8</w:t>
                  </w:r>
                </w:p>
              </w:tc>
              <w:tc>
                <w:tcPr>
                  <w:tcW w:w="175" w:type="pct"/>
                  <w:shd w:val="clear" w:color="auto" w:fill="FFFFFF"/>
                  <w:tcMar>
                    <w:top w:w="0" w:type="dxa"/>
                    <w:left w:w="0" w:type="dxa"/>
                    <w:bottom w:w="0" w:type="dxa"/>
                    <w:right w:w="0" w:type="dxa"/>
                  </w:tcMar>
                  <w:vAlign w:val="center"/>
                </w:tcPr>
                <w:p w14:paraId="4902F460">
                  <w:pPr>
                    <w:pStyle w:val="29"/>
                    <w:adjustRightInd w:val="0"/>
                    <w:snapToGrid w:val="0"/>
                    <w:rPr>
                      <w:rFonts w:hint="default" w:ascii="Times New Roman" w:hAnsi="Times New Roman" w:cs="Times New Roman"/>
                    </w:rPr>
                  </w:pPr>
                  <w:r>
                    <w:rPr>
                      <w:rFonts w:hint="default" w:ascii="Times New Roman" w:hAnsi="Times New Roman" w:cs="Times New Roman"/>
                    </w:rPr>
                    <w:t>60.8</w:t>
                  </w:r>
                </w:p>
              </w:tc>
              <w:tc>
                <w:tcPr>
                  <w:tcW w:w="175" w:type="pct"/>
                  <w:shd w:val="clear" w:color="auto" w:fill="FFFFFF"/>
                  <w:tcMar>
                    <w:top w:w="0" w:type="dxa"/>
                    <w:left w:w="0" w:type="dxa"/>
                    <w:bottom w:w="0" w:type="dxa"/>
                    <w:right w:w="0" w:type="dxa"/>
                  </w:tcMar>
                  <w:vAlign w:val="center"/>
                </w:tcPr>
                <w:p w14:paraId="1165D627">
                  <w:pPr>
                    <w:pStyle w:val="29"/>
                    <w:adjustRightInd w:val="0"/>
                    <w:snapToGrid w:val="0"/>
                    <w:rPr>
                      <w:rFonts w:hint="default" w:ascii="Times New Roman" w:hAnsi="Times New Roman" w:cs="Times New Roman"/>
                    </w:rPr>
                  </w:pPr>
                  <w:r>
                    <w:rPr>
                      <w:rFonts w:hint="default" w:ascii="Times New Roman" w:hAnsi="Times New Roman" w:cs="Times New Roman"/>
                    </w:rPr>
                    <w:t>60.8</w:t>
                  </w:r>
                </w:p>
              </w:tc>
              <w:tc>
                <w:tcPr>
                  <w:tcW w:w="137" w:type="pct"/>
                  <w:shd w:val="clear" w:color="auto" w:fill="FFFFFF"/>
                  <w:tcMar>
                    <w:top w:w="0" w:type="dxa"/>
                    <w:left w:w="0" w:type="dxa"/>
                    <w:bottom w:w="0" w:type="dxa"/>
                    <w:right w:w="0" w:type="dxa"/>
                  </w:tcMar>
                  <w:vAlign w:val="center"/>
                </w:tcPr>
                <w:p w14:paraId="0AD55064">
                  <w:pPr>
                    <w:pStyle w:val="29"/>
                    <w:adjustRightInd w:val="0"/>
                    <w:snapToGrid w:val="0"/>
                    <w:rPr>
                      <w:rFonts w:hint="default" w:ascii="Times New Roman" w:hAnsi="Times New Roman" w:cs="Times New Roman"/>
                    </w:rPr>
                  </w:pPr>
                  <w:r>
                    <w:rPr>
                      <w:rFonts w:hint="default" w:ascii="Times New Roman" w:hAnsi="Times New Roman" w:cs="Times New Roman"/>
                    </w:rPr>
                    <w:t>60.8</w:t>
                  </w:r>
                </w:p>
              </w:tc>
              <w:tc>
                <w:tcPr>
                  <w:tcW w:w="236" w:type="pct"/>
                  <w:shd w:val="clear" w:color="auto" w:fill="FFFFFF"/>
                  <w:tcMar>
                    <w:top w:w="0" w:type="dxa"/>
                    <w:left w:w="0" w:type="dxa"/>
                    <w:bottom w:w="0" w:type="dxa"/>
                    <w:right w:w="0" w:type="dxa"/>
                  </w:tcMar>
                  <w:vAlign w:val="center"/>
                </w:tcPr>
                <w:p w14:paraId="3479C4FA">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3E866A9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45B3C612">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CC2889E">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6DFFD45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0A81D743">
                  <w:pPr>
                    <w:pStyle w:val="29"/>
                    <w:adjustRightInd w:val="0"/>
                    <w:snapToGrid w:val="0"/>
                    <w:rPr>
                      <w:rFonts w:hint="default" w:ascii="Times New Roman" w:hAnsi="Times New Roman" w:cs="Times New Roman"/>
                    </w:rPr>
                  </w:pPr>
                  <w:r>
                    <w:rPr>
                      <w:rFonts w:hint="default" w:ascii="Times New Roman" w:hAnsi="Times New Roman" w:cs="Times New Roman"/>
                    </w:rPr>
                    <w:t>51.8</w:t>
                  </w:r>
                </w:p>
              </w:tc>
              <w:tc>
                <w:tcPr>
                  <w:tcW w:w="186" w:type="pct"/>
                  <w:shd w:val="clear" w:color="auto" w:fill="FFFFFF"/>
                  <w:tcMar>
                    <w:top w:w="0" w:type="dxa"/>
                    <w:left w:w="0" w:type="dxa"/>
                    <w:bottom w:w="0" w:type="dxa"/>
                    <w:right w:w="0" w:type="dxa"/>
                  </w:tcMar>
                  <w:vAlign w:val="center"/>
                </w:tcPr>
                <w:p w14:paraId="322BEE19">
                  <w:pPr>
                    <w:pStyle w:val="29"/>
                    <w:adjustRightInd w:val="0"/>
                    <w:snapToGrid w:val="0"/>
                    <w:rPr>
                      <w:rFonts w:hint="default" w:ascii="Times New Roman" w:hAnsi="Times New Roman" w:cs="Times New Roman"/>
                    </w:rPr>
                  </w:pPr>
                  <w:r>
                    <w:rPr>
                      <w:rFonts w:hint="default" w:ascii="Times New Roman" w:hAnsi="Times New Roman" w:cs="Times New Roman"/>
                    </w:rPr>
                    <w:t>51.8</w:t>
                  </w:r>
                </w:p>
              </w:tc>
              <w:tc>
                <w:tcPr>
                  <w:tcW w:w="181" w:type="pct"/>
                  <w:shd w:val="clear" w:color="auto" w:fill="FFFFFF"/>
                  <w:tcMar>
                    <w:top w:w="0" w:type="dxa"/>
                    <w:left w:w="0" w:type="dxa"/>
                    <w:bottom w:w="0" w:type="dxa"/>
                    <w:right w:w="0" w:type="dxa"/>
                  </w:tcMar>
                  <w:vAlign w:val="center"/>
                </w:tcPr>
                <w:p w14:paraId="5A59F6DE">
                  <w:pPr>
                    <w:pStyle w:val="29"/>
                    <w:adjustRightInd w:val="0"/>
                    <w:snapToGrid w:val="0"/>
                    <w:rPr>
                      <w:rFonts w:hint="default" w:ascii="Times New Roman" w:hAnsi="Times New Roman" w:cs="Times New Roman"/>
                    </w:rPr>
                  </w:pPr>
                  <w:r>
                    <w:rPr>
                      <w:rFonts w:hint="default" w:ascii="Times New Roman" w:hAnsi="Times New Roman" w:cs="Times New Roman"/>
                    </w:rPr>
                    <w:t>51.8</w:t>
                  </w:r>
                </w:p>
              </w:tc>
              <w:tc>
                <w:tcPr>
                  <w:tcW w:w="176" w:type="pct"/>
                  <w:shd w:val="clear" w:color="auto" w:fill="FFFFFF"/>
                  <w:tcMar>
                    <w:top w:w="0" w:type="dxa"/>
                    <w:left w:w="0" w:type="dxa"/>
                    <w:bottom w:w="0" w:type="dxa"/>
                    <w:right w:w="0" w:type="dxa"/>
                  </w:tcMar>
                  <w:vAlign w:val="center"/>
                </w:tcPr>
                <w:p w14:paraId="48608EEB">
                  <w:pPr>
                    <w:pStyle w:val="29"/>
                    <w:adjustRightInd w:val="0"/>
                    <w:snapToGrid w:val="0"/>
                    <w:rPr>
                      <w:rFonts w:hint="default" w:ascii="Times New Roman" w:hAnsi="Times New Roman" w:cs="Times New Roman"/>
                    </w:rPr>
                  </w:pPr>
                  <w:r>
                    <w:rPr>
                      <w:rFonts w:hint="default" w:ascii="Times New Roman" w:hAnsi="Times New Roman" w:cs="Times New Roman"/>
                    </w:rPr>
                    <w:t>51.8</w:t>
                  </w:r>
                </w:p>
              </w:tc>
              <w:tc>
                <w:tcPr>
                  <w:tcW w:w="261" w:type="pct"/>
                  <w:shd w:val="clear" w:color="auto" w:fill="FFFFFF"/>
                  <w:tcMar>
                    <w:top w:w="0" w:type="dxa"/>
                    <w:left w:w="0" w:type="dxa"/>
                    <w:bottom w:w="0" w:type="dxa"/>
                    <w:right w:w="0" w:type="dxa"/>
                  </w:tcMar>
                  <w:vAlign w:val="center"/>
                </w:tcPr>
                <w:p w14:paraId="3B57B945">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26DC1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43AD63EC">
                  <w:pPr>
                    <w:pStyle w:val="29"/>
                    <w:adjustRightInd w:val="0"/>
                    <w:snapToGrid w:val="0"/>
                    <w:rPr>
                      <w:rFonts w:hint="default" w:ascii="Times New Roman" w:hAnsi="Times New Roman" w:cs="Times New Roman"/>
                    </w:rPr>
                  </w:pPr>
                  <w:r>
                    <w:rPr>
                      <w:rFonts w:hint="default" w:ascii="Times New Roman" w:hAnsi="Times New Roman" w:cs="Times New Roman"/>
                    </w:rPr>
                    <w:t>8</w:t>
                  </w:r>
                </w:p>
              </w:tc>
              <w:tc>
                <w:tcPr>
                  <w:tcW w:w="233" w:type="pct"/>
                  <w:vMerge w:val="continue"/>
                  <w:shd w:val="clear" w:color="auto" w:fill="FFFFFF"/>
                  <w:tcMar>
                    <w:top w:w="0" w:type="dxa"/>
                    <w:left w:w="0" w:type="dxa"/>
                    <w:bottom w:w="0" w:type="dxa"/>
                    <w:right w:w="0" w:type="dxa"/>
                  </w:tcMar>
                  <w:vAlign w:val="center"/>
                </w:tcPr>
                <w:p w14:paraId="6DDF3085">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26554BB7">
                  <w:pPr>
                    <w:pStyle w:val="29"/>
                    <w:adjustRightInd w:val="0"/>
                    <w:snapToGrid w:val="0"/>
                    <w:rPr>
                      <w:rFonts w:hint="default" w:ascii="Times New Roman" w:hAnsi="Times New Roman" w:cs="Times New Roman"/>
                    </w:rPr>
                  </w:pPr>
                  <w:r>
                    <w:rPr>
                      <w:rFonts w:hint="default" w:ascii="Times New Roman" w:hAnsi="Times New Roman" w:cs="Times New Roman"/>
                    </w:rPr>
                    <w:t>纵切机1</w:t>
                  </w:r>
                </w:p>
              </w:tc>
              <w:tc>
                <w:tcPr>
                  <w:tcW w:w="147" w:type="pct"/>
                  <w:shd w:val="clear" w:color="auto" w:fill="FFFFFF"/>
                  <w:tcMar>
                    <w:top w:w="0" w:type="dxa"/>
                    <w:left w:w="0" w:type="dxa"/>
                    <w:bottom w:w="0" w:type="dxa"/>
                    <w:right w:w="0" w:type="dxa"/>
                  </w:tcMar>
                  <w:vAlign w:val="center"/>
                </w:tcPr>
                <w:p w14:paraId="31466673">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74D521BE">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2F7C594E">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507AD2BC">
                  <w:pPr>
                    <w:pStyle w:val="29"/>
                    <w:adjustRightInd w:val="0"/>
                    <w:snapToGrid w:val="0"/>
                    <w:rPr>
                      <w:rFonts w:hint="default" w:ascii="Times New Roman" w:hAnsi="Times New Roman" w:cs="Times New Roman"/>
                    </w:rPr>
                  </w:pPr>
                  <w:r>
                    <w:rPr>
                      <w:rFonts w:hint="default" w:ascii="Times New Roman" w:hAnsi="Times New Roman" w:cs="Times New Roman"/>
                    </w:rPr>
                    <w:t>90.1</w:t>
                  </w:r>
                </w:p>
              </w:tc>
              <w:tc>
                <w:tcPr>
                  <w:tcW w:w="143" w:type="pct"/>
                  <w:shd w:val="clear" w:color="auto" w:fill="FFFFFF"/>
                  <w:tcMar>
                    <w:top w:w="0" w:type="dxa"/>
                    <w:left w:w="0" w:type="dxa"/>
                    <w:bottom w:w="0" w:type="dxa"/>
                    <w:right w:w="0" w:type="dxa"/>
                  </w:tcMar>
                  <w:vAlign w:val="center"/>
                </w:tcPr>
                <w:p w14:paraId="12F3687E">
                  <w:pPr>
                    <w:pStyle w:val="29"/>
                    <w:adjustRightInd w:val="0"/>
                    <w:snapToGrid w:val="0"/>
                    <w:rPr>
                      <w:rFonts w:hint="default" w:ascii="Times New Roman" w:hAnsi="Times New Roman" w:cs="Times New Roman"/>
                    </w:rPr>
                  </w:pPr>
                  <w:r>
                    <w:rPr>
                      <w:rFonts w:hint="default" w:ascii="Times New Roman" w:hAnsi="Times New Roman" w:cs="Times New Roman"/>
                    </w:rPr>
                    <w:t>-51.1</w:t>
                  </w:r>
                </w:p>
              </w:tc>
              <w:tc>
                <w:tcPr>
                  <w:tcW w:w="128" w:type="pct"/>
                  <w:shd w:val="clear" w:color="auto" w:fill="FFFFFF"/>
                  <w:tcMar>
                    <w:top w:w="0" w:type="dxa"/>
                    <w:left w:w="0" w:type="dxa"/>
                    <w:bottom w:w="0" w:type="dxa"/>
                    <w:right w:w="0" w:type="dxa"/>
                  </w:tcMar>
                  <w:vAlign w:val="center"/>
                </w:tcPr>
                <w:p w14:paraId="1EFC565C">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5189BDD2">
                  <w:pPr>
                    <w:pStyle w:val="29"/>
                    <w:adjustRightInd w:val="0"/>
                    <w:snapToGrid w:val="0"/>
                    <w:rPr>
                      <w:rFonts w:hint="default" w:ascii="Times New Roman" w:hAnsi="Times New Roman" w:cs="Times New Roman"/>
                    </w:rPr>
                  </w:pPr>
                  <w:r>
                    <w:rPr>
                      <w:rFonts w:hint="default" w:ascii="Times New Roman" w:hAnsi="Times New Roman" w:cs="Times New Roman"/>
                    </w:rPr>
                    <w:t>10.6</w:t>
                  </w:r>
                </w:p>
              </w:tc>
              <w:tc>
                <w:tcPr>
                  <w:tcW w:w="176" w:type="pct"/>
                  <w:shd w:val="clear" w:color="auto" w:fill="FFFFFF"/>
                  <w:tcMar>
                    <w:top w:w="0" w:type="dxa"/>
                    <w:left w:w="0" w:type="dxa"/>
                    <w:bottom w:w="0" w:type="dxa"/>
                    <w:right w:w="0" w:type="dxa"/>
                  </w:tcMar>
                  <w:vAlign w:val="center"/>
                </w:tcPr>
                <w:p w14:paraId="2C43F62F">
                  <w:pPr>
                    <w:pStyle w:val="29"/>
                    <w:adjustRightInd w:val="0"/>
                    <w:snapToGrid w:val="0"/>
                    <w:rPr>
                      <w:rFonts w:hint="default" w:ascii="Times New Roman" w:hAnsi="Times New Roman" w:cs="Times New Roman"/>
                    </w:rPr>
                  </w:pPr>
                  <w:r>
                    <w:rPr>
                      <w:rFonts w:hint="default" w:ascii="Times New Roman" w:hAnsi="Times New Roman" w:cs="Times New Roman"/>
                    </w:rPr>
                    <w:t>7.6</w:t>
                  </w:r>
                </w:p>
              </w:tc>
              <w:tc>
                <w:tcPr>
                  <w:tcW w:w="176" w:type="pct"/>
                  <w:shd w:val="clear" w:color="auto" w:fill="FFFFFF"/>
                  <w:tcMar>
                    <w:top w:w="0" w:type="dxa"/>
                    <w:left w:w="0" w:type="dxa"/>
                    <w:bottom w:w="0" w:type="dxa"/>
                    <w:right w:w="0" w:type="dxa"/>
                  </w:tcMar>
                  <w:vAlign w:val="center"/>
                </w:tcPr>
                <w:p w14:paraId="46483B32">
                  <w:pPr>
                    <w:pStyle w:val="29"/>
                    <w:adjustRightInd w:val="0"/>
                    <w:snapToGrid w:val="0"/>
                    <w:rPr>
                      <w:rFonts w:hint="default" w:ascii="Times New Roman" w:hAnsi="Times New Roman" w:cs="Times New Roman"/>
                    </w:rPr>
                  </w:pPr>
                  <w:r>
                    <w:rPr>
                      <w:rFonts w:hint="default" w:ascii="Times New Roman" w:hAnsi="Times New Roman" w:cs="Times New Roman"/>
                    </w:rPr>
                    <w:t>10.0</w:t>
                  </w:r>
                </w:p>
              </w:tc>
              <w:tc>
                <w:tcPr>
                  <w:tcW w:w="186" w:type="pct"/>
                  <w:shd w:val="clear" w:color="auto" w:fill="FFFFFF"/>
                  <w:tcMar>
                    <w:top w:w="0" w:type="dxa"/>
                    <w:left w:w="0" w:type="dxa"/>
                    <w:bottom w:w="0" w:type="dxa"/>
                    <w:right w:w="0" w:type="dxa"/>
                  </w:tcMar>
                  <w:vAlign w:val="center"/>
                </w:tcPr>
                <w:p w14:paraId="5C13CA00">
                  <w:pPr>
                    <w:pStyle w:val="29"/>
                    <w:adjustRightInd w:val="0"/>
                    <w:snapToGrid w:val="0"/>
                    <w:rPr>
                      <w:rFonts w:hint="default" w:ascii="Times New Roman" w:hAnsi="Times New Roman" w:cs="Times New Roman"/>
                    </w:rPr>
                  </w:pPr>
                  <w:r>
                    <w:rPr>
                      <w:rFonts w:hint="default" w:ascii="Times New Roman" w:hAnsi="Times New Roman" w:cs="Times New Roman"/>
                    </w:rPr>
                    <w:t>38.1</w:t>
                  </w:r>
                </w:p>
              </w:tc>
              <w:tc>
                <w:tcPr>
                  <w:tcW w:w="174" w:type="pct"/>
                  <w:shd w:val="clear" w:color="auto" w:fill="FFFFFF"/>
                  <w:tcMar>
                    <w:top w:w="0" w:type="dxa"/>
                    <w:left w:w="0" w:type="dxa"/>
                    <w:bottom w:w="0" w:type="dxa"/>
                    <w:right w:w="0" w:type="dxa"/>
                  </w:tcMar>
                  <w:vAlign w:val="center"/>
                </w:tcPr>
                <w:p w14:paraId="7E393DDC">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75" w:type="pct"/>
                  <w:shd w:val="clear" w:color="auto" w:fill="FFFFFF"/>
                  <w:tcMar>
                    <w:top w:w="0" w:type="dxa"/>
                    <w:left w:w="0" w:type="dxa"/>
                    <w:bottom w:w="0" w:type="dxa"/>
                    <w:right w:w="0" w:type="dxa"/>
                  </w:tcMar>
                  <w:vAlign w:val="center"/>
                </w:tcPr>
                <w:p w14:paraId="75071548">
                  <w:pPr>
                    <w:pStyle w:val="29"/>
                    <w:adjustRightInd w:val="0"/>
                    <w:snapToGrid w:val="0"/>
                    <w:rPr>
                      <w:rFonts w:hint="default" w:ascii="Times New Roman" w:hAnsi="Times New Roman" w:cs="Times New Roman"/>
                    </w:rPr>
                  </w:pPr>
                  <w:r>
                    <w:rPr>
                      <w:rFonts w:hint="default" w:ascii="Times New Roman" w:hAnsi="Times New Roman" w:cs="Times New Roman"/>
                    </w:rPr>
                    <w:t>64.7</w:t>
                  </w:r>
                </w:p>
              </w:tc>
              <w:tc>
                <w:tcPr>
                  <w:tcW w:w="175" w:type="pct"/>
                  <w:shd w:val="clear" w:color="auto" w:fill="FFFFFF"/>
                  <w:tcMar>
                    <w:top w:w="0" w:type="dxa"/>
                    <w:left w:w="0" w:type="dxa"/>
                    <w:bottom w:w="0" w:type="dxa"/>
                    <w:right w:w="0" w:type="dxa"/>
                  </w:tcMar>
                  <w:vAlign w:val="center"/>
                </w:tcPr>
                <w:p w14:paraId="2BC86ECF">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37" w:type="pct"/>
                  <w:shd w:val="clear" w:color="auto" w:fill="FFFFFF"/>
                  <w:tcMar>
                    <w:top w:w="0" w:type="dxa"/>
                    <w:left w:w="0" w:type="dxa"/>
                    <w:bottom w:w="0" w:type="dxa"/>
                    <w:right w:w="0" w:type="dxa"/>
                  </w:tcMar>
                  <w:vAlign w:val="center"/>
                </w:tcPr>
                <w:p w14:paraId="434FB438">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236" w:type="pct"/>
                  <w:shd w:val="clear" w:color="auto" w:fill="FFFFFF"/>
                  <w:tcMar>
                    <w:top w:w="0" w:type="dxa"/>
                    <w:left w:w="0" w:type="dxa"/>
                    <w:bottom w:w="0" w:type="dxa"/>
                    <w:right w:w="0" w:type="dxa"/>
                  </w:tcMar>
                  <w:vAlign w:val="center"/>
                </w:tcPr>
                <w:p w14:paraId="63C1AAF3">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17C8079E">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6FD8FBF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247C63D">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468D0E5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2C6B1284">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86" w:type="pct"/>
                  <w:shd w:val="clear" w:color="auto" w:fill="FFFFFF"/>
                  <w:tcMar>
                    <w:top w:w="0" w:type="dxa"/>
                    <w:left w:w="0" w:type="dxa"/>
                    <w:bottom w:w="0" w:type="dxa"/>
                    <w:right w:w="0" w:type="dxa"/>
                  </w:tcMar>
                  <w:vAlign w:val="center"/>
                </w:tcPr>
                <w:p w14:paraId="22B22AAC">
                  <w:pPr>
                    <w:pStyle w:val="29"/>
                    <w:adjustRightInd w:val="0"/>
                    <w:snapToGrid w:val="0"/>
                    <w:rPr>
                      <w:rFonts w:hint="default" w:ascii="Times New Roman" w:hAnsi="Times New Roman" w:cs="Times New Roman"/>
                    </w:rPr>
                  </w:pPr>
                  <w:r>
                    <w:rPr>
                      <w:rFonts w:hint="default" w:ascii="Times New Roman" w:hAnsi="Times New Roman" w:cs="Times New Roman"/>
                    </w:rPr>
                    <w:t>55.7</w:t>
                  </w:r>
                </w:p>
              </w:tc>
              <w:tc>
                <w:tcPr>
                  <w:tcW w:w="181" w:type="pct"/>
                  <w:shd w:val="clear" w:color="auto" w:fill="FFFFFF"/>
                  <w:tcMar>
                    <w:top w:w="0" w:type="dxa"/>
                    <w:left w:w="0" w:type="dxa"/>
                    <w:bottom w:w="0" w:type="dxa"/>
                    <w:right w:w="0" w:type="dxa"/>
                  </w:tcMar>
                  <w:vAlign w:val="center"/>
                </w:tcPr>
                <w:p w14:paraId="281BBE5C">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76" w:type="pct"/>
                  <w:shd w:val="clear" w:color="auto" w:fill="FFFFFF"/>
                  <w:tcMar>
                    <w:top w:w="0" w:type="dxa"/>
                    <w:left w:w="0" w:type="dxa"/>
                    <w:bottom w:w="0" w:type="dxa"/>
                    <w:right w:w="0" w:type="dxa"/>
                  </w:tcMar>
                  <w:vAlign w:val="center"/>
                </w:tcPr>
                <w:p w14:paraId="4B6299E6">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261" w:type="pct"/>
                  <w:shd w:val="clear" w:color="auto" w:fill="FFFFFF"/>
                  <w:tcMar>
                    <w:top w:w="0" w:type="dxa"/>
                    <w:left w:w="0" w:type="dxa"/>
                    <w:bottom w:w="0" w:type="dxa"/>
                    <w:right w:w="0" w:type="dxa"/>
                  </w:tcMar>
                  <w:vAlign w:val="center"/>
                </w:tcPr>
                <w:p w14:paraId="20B6FB87">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4EE23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6573A857">
                  <w:pPr>
                    <w:pStyle w:val="29"/>
                    <w:adjustRightInd w:val="0"/>
                    <w:snapToGrid w:val="0"/>
                    <w:rPr>
                      <w:rFonts w:hint="default" w:ascii="Times New Roman" w:hAnsi="Times New Roman" w:cs="Times New Roman"/>
                    </w:rPr>
                  </w:pPr>
                  <w:r>
                    <w:rPr>
                      <w:rFonts w:hint="default" w:ascii="Times New Roman" w:hAnsi="Times New Roman" w:cs="Times New Roman"/>
                    </w:rPr>
                    <w:t>9</w:t>
                  </w:r>
                </w:p>
              </w:tc>
              <w:tc>
                <w:tcPr>
                  <w:tcW w:w="233" w:type="pct"/>
                  <w:vMerge w:val="continue"/>
                  <w:shd w:val="clear" w:color="auto" w:fill="FFFFFF"/>
                  <w:tcMar>
                    <w:top w:w="0" w:type="dxa"/>
                    <w:left w:w="0" w:type="dxa"/>
                    <w:bottom w:w="0" w:type="dxa"/>
                    <w:right w:w="0" w:type="dxa"/>
                  </w:tcMar>
                  <w:vAlign w:val="center"/>
                </w:tcPr>
                <w:p w14:paraId="210DFCC1">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30A64836">
                  <w:pPr>
                    <w:pStyle w:val="29"/>
                    <w:adjustRightInd w:val="0"/>
                    <w:snapToGrid w:val="0"/>
                    <w:rPr>
                      <w:rFonts w:hint="default" w:ascii="Times New Roman" w:hAnsi="Times New Roman" w:cs="Times New Roman"/>
                    </w:rPr>
                  </w:pPr>
                  <w:r>
                    <w:rPr>
                      <w:rFonts w:hint="default" w:ascii="Times New Roman" w:hAnsi="Times New Roman" w:cs="Times New Roman"/>
                    </w:rPr>
                    <w:t>纵切机2</w:t>
                  </w:r>
                </w:p>
              </w:tc>
              <w:tc>
                <w:tcPr>
                  <w:tcW w:w="147" w:type="pct"/>
                  <w:shd w:val="clear" w:color="auto" w:fill="FFFFFF"/>
                  <w:tcMar>
                    <w:top w:w="0" w:type="dxa"/>
                    <w:left w:w="0" w:type="dxa"/>
                    <w:bottom w:w="0" w:type="dxa"/>
                    <w:right w:w="0" w:type="dxa"/>
                  </w:tcMar>
                  <w:vAlign w:val="center"/>
                </w:tcPr>
                <w:p w14:paraId="762D201F">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3C3643AB">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08CEBB16">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7DEBE4CC">
                  <w:pPr>
                    <w:pStyle w:val="29"/>
                    <w:adjustRightInd w:val="0"/>
                    <w:snapToGrid w:val="0"/>
                    <w:rPr>
                      <w:rFonts w:hint="default" w:ascii="Times New Roman" w:hAnsi="Times New Roman" w:cs="Times New Roman"/>
                    </w:rPr>
                  </w:pPr>
                  <w:r>
                    <w:rPr>
                      <w:rFonts w:hint="default" w:ascii="Times New Roman" w:hAnsi="Times New Roman" w:cs="Times New Roman"/>
                    </w:rPr>
                    <w:t>91.5</w:t>
                  </w:r>
                </w:p>
              </w:tc>
              <w:tc>
                <w:tcPr>
                  <w:tcW w:w="143" w:type="pct"/>
                  <w:shd w:val="clear" w:color="auto" w:fill="FFFFFF"/>
                  <w:tcMar>
                    <w:top w:w="0" w:type="dxa"/>
                    <w:left w:w="0" w:type="dxa"/>
                    <w:bottom w:w="0" w:type="dxa"/>
                    <w:right w:w="0" w:type="dxa"/>
                  </w:tcMar>
                  <w:vAlign w:val="center"/>
                </w:tcPr>
                <w:p w14:paraId="5DB573F2">
                  <w:pPr>
                    <w:pStyle w:val="29"/>
                    <w:adjustRightInd w:val="0"/>
                    <w:snapToGrid w:val="0"/>
                    <w:rPr>
                      <w:rFonts w:hint="default" w:ascii="Times New Roman" w:hAnsi="Times New Roman" w:cs="Times New Roman"/>
                    </w:rPr>
                  </w:pPr>
                  <w:r>
                    <w:rPr>
                      <w:rFonts w:hint="default" w:ascii="Times New Roman" w:hAnsi="Times New Roman" w:cs="Times New Roman"/>
                    </w:rPr>
                    <w:t>-48.7</w:t>
                  </w:r>
                </w:p>
              </w:tc>
              <w:tc>
                <w:tcPr>
                  <w:tcW w:w="128" w:type="pct"/>
                  <w:shd w:val="clear" w:color="auto" w:fill="FFFFFF"/>
                  <w:tcMar>
                    <w:top w:w="0" w:type="dxa"/>
                    <w:left w:w="0" w:type="dxa"/>
                    <w:bottom w:w="0" w:type="dxa"/>
                    <w:right w:w="0" w:type="dxa"/>
                  </w:tcMar>
                  <w:vAlign w:val="center"/>
                </w:tcPr>
                <w:p w14:paraId="152E0546">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218D19A9">
                  <w:pPr>
                    <w:pStyle w:val="29"/>
                    <w:adjustRightInd w:val="0"/>
                    <w:snapToGrid w:val="0"/>
                    <w:rPr>
                      <w:rFonts w:hint="default" w:ascii="Times New Roman" w:hAnsi="Times New Roman" w:cs="Times New Roman"/>
                    </w:rPr>
                  </w:pPr>
                  <w:r>
                    <w:rPr>
                      <w:rFonts w:hint="default" w:ascii="Times New Roman" w:hAnsi="Times New Roman" w:cs="Times New Roman"/>
                    </w:rPr>
                    <w:t>10.7</w:t>
                  </w:r>
                </w:p>
              </w:tc>
              <w:tc>
                <w:tcPr>
                  <w:tcW w:w="176" w:type="pct"/>
                  <w:shd w:val="clear" w:color="auto" w:fill="FFFFFF"/>
                  <w:tcMar>
                    <w:top w:w="0" w:type="dxa"/>
                    <w:left w:w="0" w:type="dxa"/>
                    <w:bottom w:w="0" w:type="dxa"/>
                    <w:right w:w="0" w:type="dxa"/>
                  </w:tcMar>
                  <w:vAlign w:val="center"/>
                </w:tcPr>
                <w:p w14:paraId="3D1E29F5">
                  <w:pPr>
                    <w:pStyle w:val="29"/>
                    <w:adjustRightInd w:val="0"/>
                    <w:snapToGrid w:val="0"/>
                    <w:rPr>
                      <w:rFonts w:hint="default" w:ascii="Times New Roman" w:hAnsi="Times New Roman" w:cs="Times New Roman"/>
                    </w:rPr>
                  </w:pPr>
                  <w:r>
                    <w:rPr>
                      <w:rFonts w:hint="default" w:ascii="Times New Roman" w:hAnsi="Times New Roman" w:cs="Times New Roman"/>
                    </w:rPr>
                    <w:t>9.6</w:t>
                  </w:r>
                </w:p>
              </w:tc>
              <w:tc>
                <w:tcPr>
                  <w:tcW w:w="176" w:type="pct"/>
                  <w:shd w:val="clear" w:color="auto" w:fill="FFFFFF"/>
                  <w:tcMar>
                    <w:top w:w="0" w:type="dxa"/>
                    <w:left w:w="0" w:type="dxa"/>
                    <w:bottom w:w="0" w:type="dxa"/>
                    <w:right w:w="0" w:type="dxa"/>
                  </w:tcMar>
                  <w:vAlign w:val="center"/>
                </w:tcPr>
                <w:p w14:paraId="493C735F">
                  <w:pPr>
                    <w:pStyle w:val="29"/>
                    <w:adjustRightInd w:val="0"/>
                    <w:snapToGrid w:val="0"/>
                    <w:rPr>
                      <w:rFonts w:hint="default" w:ascii="Times New Roman" w:hAnsi="Times New Roman" w:cs="Times New Roman"/>
                    </w:rPr>
                  </w:pPr>
                  <w:r>
                    <w:rPr>
                      <w:rFonts w:hint="default" w:ascii="Times New Roman" w:hAnsi="Times New Roman" w:cs="Times New Roman"/>
                    </w:rPr>
                    <w:t>115.4</w:t>
                  </w:r>
                </w:p>
              </w:tc>
              <w:tc>
                <w:tcPr>
                  <w:tcW w:w="186" w:type="pct"/>
                  <w:shd w:val="clear" w:color="auto" w:fill="FFFFFF"/>
                  <w:tcMar>
                    <w:top w:w="0" w:type="dxa"/>
                    <w:left w:w="0" w:type="dxa"/>
                    <w:bottom w:w="0" w:type="dxa"/>
                    <w:right w:w="0" w:type="dxa"/>
                  </w:tcMar>
                  <w:vAlign w:val="center"/>
                </w:tcPr>
                <w:p w14:paraId="2F22D569">
                  <w:pPr>
                    <w:pStyle w:val="29"/>
                    <w:adjustRightInd w:val="0"/>
                    <w:snapToGrid w:val="0"/>
                    <w:rPr>
                      <w:rFonts w:hint="default" w:ascii="Times New Roman" w:hAnsi="Times New Roman" w:cs="Times New Roman"/>
                    </w:rPr>
                  </w:pPr>
                  <w:r>
                    <w:rPr>
                      <w:rFonts w:hint="default" w:ascii="Times New Roman" w:hAnsi="Times New Roman" w:cs="Times New Roman"/>
                    </w:rPr>
                    <w:t>9.1</w:t>
                  </w:r>
                </w:p>
              </w:tc>
              <w:tc>
                <w:tcPr>
                  <w:tcW w:w="174" w:type="pct"/>
                  <w:shd w:val="clear" w:color="auto" w:fill="FFFFFF"/>
                  <w:tcMar>
                    <w:top w:w="0" w:type="dxa"/>
                    <w:left w:w="0" w:type="dxa"/>
                    <w:bottom w:w="0" w:type="dxa"/>
                    <w:right w:w="0" w:type="dxa"/>
                  </w:tcMar>
                  <w:vAlign w:val="center"/>
                </w:tcPr>
                <w:p w14:paraId="6661E513">
                  <w:pPr>
                    <w:pStyle w:val="29"/>
                    <w:adjustRightInd w:val="0"/>
                    <w:snapToGrid w:val="0"/>
                    <w:rPr>
                      <w:rFonts w:hint="default" w:ascii="Times New Roman" w:hAnsi="Times New Roman" w:cs="Times New Roman"/>
                    </w:rPr>
                  </w:pPr>
                  <w:r>
                    <w:rPr>
                      <w:rFonts w:hint="default" w:ascii="Times New Roman" w:hAnsi="Times New Roman" w:cs="Times New Roman"/>
                    </w:rPr>
                    <w:t>60.3</w:t>
                  </w:r>
                </w:p>
              </w:tc>
              <w:tc>
                <w:tcPr>
                  <w:tcW w:w="175" w:type="pct"/>
                  <w:shd w:val="clear" w:color="auto" w:fill="FFFFFF"/>
                  <w:tcMar>
                    <w:top w:w="0" w:type="dxa"/>
                    <w:left w:w="0" w:type="dxa"/>
                    <w:bottom w:w="0" w:type="dxa"/>
                    <w:right w:w="0" w:type="dxa"/>
                  </w:tcMar>
                  <w:vAlign w:val="center"/>
                </w:tcPr>
                <w:p w14:paraId="549DF220">
                  <w:pPr>
                    <w:pStyle w:val="29"/>
                    <w:adjustRightInd w:val="0"/>
                    <w:snapToGrid w:val="0"/>
                    <w:rPr>
                      <w:rFonts w:hint="default" w:ascii="Times New Roman" w:hAnsi="Times New Roman" w:cs="Times New Roman"/>
                    </w:rPr>
                  </w:pPr>
                  <w:r>
                    <w:rPr>
                      <w:rFonts w:hint="default" w:ascii="Times New Roman" w:hAnsi="Times New Roman" w:cs="Times New Roman"/>
                    </w:rPr>
                    <w:t>60.3</w:t>
                  </w:r>
                </w:p>
              </w:tc>
              <w:tc>
                <w:tcPr>
                  <w:tcW w:w="175" w:type="pct"/>
                  <w:shd w:val="clear" w:color="auto" w:fill="FFFFFF"/>
                  <w:tcMar>
                    <w:top w:w="0" w:type="dxa"/>
                    <w:left w:w="0" w:type="dxa"/>
                    <w:bottom w:w="0" w:type="dxa"/>
                    <w:right w:w="0" w:type="dxa"/>
                  </w:tcMar>
                  <w:vAlign w:val="center"/>
                </w:tcPr>
                <w:p w14:paraId="4A5EA8DD">
                  <w:pPr>
                    <w:pStyle w:val="29"/>
                    <w:adjustRightInd w:val="0"/>
                    <w:snapToGrid w:val="0"/>
                    <w:rPr>
                      <w:rFonts w:hint="default" w:ascii="Times New Roman" w:hAnsi="Times New Roman" w:cs="Times New Roman"/>
                    </w:rPr>
                  </w:pPr>
                  <w:r>
                    <w:rPr>
                      <w:rFonts w:hint="default" w:ascii="Times New Roman" w:hAnsi="Times New Roman" w:cs="Times New Roman"/>
                    </w:rPr>
                    <w:t>60.2</w:t>
                  </w:r>
                </w:p>
              </w:tc>
              <w:tc>
                <w:tcPr>
                  <w:tcW w:w="137" w:type="pct"/>
                  <w:shd w:val="clear" w:color="auto" w:fill="FFFFFF"/>
                  <w:tcMar>
                    <w:top w:w="0" w:type="dxa"/>
                    <w:left w:w="0" w:type="dxa"/>
                    <w:bottom w:w="0" w:type="dxa"/>
                    <w:right w:w="0" w:type="dxa"/>
                  </w:tcMar>
                  <w:vAlign w:val="center"/>
                </w:tcPr>
                <w:p w14:paraId="2C810E10">
                  <w:pPr>
                    <w:pStyle w:val="29"/>
                    <w:adjustRightInd w:val="0"/>
                    <w:snapToGrid w:val="0"/>
                    <w:rPr>
                      <w:rFonts w:hint="default" w:ascii="Times New Roman" w:hAnsi="Times New Roman" w:cs="Times New Roman"/>
                    </w:rPr>
                  </w:pPr>
                  <w:r>
                    <w:rPr>
                      <w:rFonts w:hint="default" w:ascii="Times New Roman" w:hAnsi="Times New Roman" w:cs="Times New Roman"/>
                    </w:rPr>
                    <w:t>60.4</w:t>
                  </w:r>
                </w:p>
              </w:tc>
              <w:tc>
                <w:tcPr>
                  <w:tcW w:w="236" w:type="pct"/>
                  <w:shd w:val="clear" w:color="auto" w:fill="FFFFFF"/>
                  <w:tcMar>
                    <w:top w:w="0" w:type="dxa"/>
                    <w:left w:w="0" w:type="dxa"/>
                    <w:bottom w:w="0" w:type="dxa"/>
                    <w:right w:w="0" w:type="dxa"/>
                  </w:tcMar>
                  <w:vAlign w:val="center"/>
                </w:tcPr>
                <w:p w14:paraId="6E05453D">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5B3E35A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7C9D8203">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4191A35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0B33994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558BB80B">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6" w:type="pct"/>
                  <w:shd w:val="clear" w:color="auto" w:fill="FFFFFF"/>
                  <w:tcMar>
                    <w:top w:w="0" w:type="dxa"/>
                    <w:left w:w="0" w:type="dxa"/>
                    <w:bottom w:w="0" w:type="dxa"/>
                    <w:right w:w="0" w:type="dxa"/>
                  </w:tcMar>
                  <w:vAlign w:val="center"/>
                </w:tcPr>
                <w:p w14:paraId="6C205EE0">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1" w:type="pct"/>
                  <w:shd w:val="clear" w:color="auto" w:fill="FFFFFF"/>
                  <w:tcMar>
                    <w:top w:w="0" w:type="dxa"/>
                    <w:left w:w="0" w:type="dxa"/>
                    <w:bottom w:w="0" w:type="dxa"/>
                    <w:right w:w="0" w:type="dxa"/>
                  </w:tcMar>
                  <w:vAlign w:val="center"/>
                </w:tcPr>
                <w:p w14:paraId="30E4B242">
                  <w:pPr>
                    <w:pStyle w:val="29"/>
                    <w:adjustRightInd w:val="0"/>
                    <w:snapToGrid w:val="0"/>
                    <w:rPr>
                      <w:rFonts w:hint="default" w:ascii="Times New Roman" w:hAnsi="Times New Roman" w:cs="Times New Roman"/>
                    </w:rPr>
                  </w:pPr>
                  <w:r>
                    <w:rPr>
                      <w:rFonts w:hint="default" w:ascii="Times New Roman" w:hAnsi="Times New Roman" w:cs="Times New Roman"/>
                    </w:rPr>
                    <w:t>51.2</w:t>
                  </w:r>
                </w:p>
              </w:tc>
              <w:tc>
                <w:tcPr>
                  <w:tcW w:w="176" w:type="pct"/>
                  <w:shd w:val="clear" w:color="auto" w:fill="FFFFFF"/>
                  <w:tcMar>
                    <w:top w:w="0" w:type="dxa"/>
                    <w:left w:w="0" w:type="dxa"/>
                    <w:bottom w:w="0" w:type="dxa"/>
                    <w:right w:w="0" w:type="dxa"/>
                  </w:tcMar>
                  <w:vAlign w:val="center"/>
                </w:tcPr>
                <w:p w14:paraId="5097639E">
                  <w:pPr>
                    <w:pStyle w:val="29"/>
                    <w:adjustRightInd w:val="0"/>
                    <w:snapToGrid w:val="0"/>
                    <w:rPr>
                      <w:rFonts w:hint="default" w:ascii="Times New Roman" w:hAnsi="Times New Roman" w:cs="Times New Roman"/>
                    </w:rPr>
                  </w:pPr>
                  <w:r>
                    <w:rPr>
                      <w:rFonts w:hint="default" w:ascii="Times New Roman" w:hAnsi="Times New Roman" w:cs="Times New Roman"/>
                    </w:rPr>
                    <w:t>51.4</w:t>
                  </w:r>
                </w:p>
              </w:tc>
              <w:tc>
                <w:tcPr>
                  <w:tcW w:w="261" w:type="pct"/>
                  <w:shd w:val="clear" w:color="auto" w:fill="FFFFFF"/>
                  <w:tcMar>
                    <w:top w:w="0" w:type="dxa"/>
                    <w:left w:w="0" w:type="dxa"/>
                    <w:bottom w:w="0" w:type="dxa"/>
                    <w:right w:w="0" w:type="dxa"/>
                  </w:tcMar>
                  <w:vAlign w:val="center"/>
                </w:tcPr>
                <w:p w14:paraId="5AD595D7">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2F0ED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56CEFF54">
                  <w:pPr>
                    <w:pStyle w:val="29"/>
                    <w:adjustRightInd w:val="0"/>
                    <w:snapToGrid w:val="0"/>
                    <w:rPr>
                      <w:rFonts w:hint="default" w:ascii="Times New Roman" w:hAnsi="Times New Roman" w:cs="Times New Roman"/>
                    </w:rPr>
                  </w:pPr>
                  <w:r>
                    <w:rPr>
                      <w:rFonts w:hint="default" w:ascii="Times New Roman" w:hAnsi="Times New Roman" w:cs="Times New Roman"/>
                    </w:rPr>
                    <w:t>10</w:t>
                  </w:r>
                </w:p>
              </w:tc>
              <w:tc>
                <w:tcPr>
                  <w:tcW w:w="233" w:type="pct"/>
                  <w:vMerge w:val="continue"/>
                  <w:shd w:val="clear" w:color="auto" w:fill="FFFFFF"/>
                  <w:tcMar>
                    <w:top w:w="0" w:type="dxa"/>
                    <w:left w:w="0" w:type="dxa"/>
                    <w:bottom w:w="0" w:type="dxa"/>
                    <w:right w:w="0" w:type="dxa"/>
                  </w:tcMar>
                  <w:vAlign w:val="center"/>
                </w:tcPr>
                <w:p w14:paraId="5E260AA9">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7473EABB">
                  <w:pPr>
                    <w:pStyle w:val="29"/>
                    <w:adjustRightInd w:val="0"/>
                    <w:snapToGrid w:val="0"/>
                    <w:rPr>
                      <w:rFonts w:hint="default" w:ascii="Times New Roman" w:hAnsi="Times New Roman" w:cs="Times New Roman"/>
                    </w:rPr>
                  </w:pPr>
                  <w:r>
                    <w:rPr>
                      <w:rFonts w:hint="default" w:ascii="Times New Roman" w:hAnsi="Times New Roman" w:cs="Times New Roman"/>
                    </w:rPr>
                    <w:t>横切机</w:t>
                  </w:r>
                </w:p>
              </w:tc>
              <w:tc>
                <w:tcPr>
                  <w:tcW w:w="147" w:type="pct"/>
                  <w:shd w:val="clear" w:color="auto" w:fill="FFFFFF"/>
                  <w:tcMar>
                    <w:top w:w="0" w:type="dxa"/>
                    <w:left w:w="0" w:type="dxa"/>
                    <w:bottom w:w="0" w:type="dxa"/>
                    <w:right w:w="0" w:type="dxa"/>
                  </w:tcMar>
                  <w:vAlign w:val="center"/>
                </w:tcPr>
                <w:p w14:paraId="1E00F302">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25775CEF">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6F35020E">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5F9CCCFE">
                  <w:pPr>
                    <w:pStyle w:val="29"/>
                    <w:adjustRightInd w:val="0"/>
                    <w:snapToGrid w:val="0"/>
                    <w:rPr>
                      <w:rFonts w:hint="default" w:ascii="Times New Roman" w:hAnsi="Times New Roman" w:cs="Times New Roman"/>
                    </w:rPr>
                  </w:pPr>
                  <w:r>
                    <w:rPr>
                      <w:rFonts w:hint="default" w:ascii="Times New Roman" w:hAnsi="Times New Roman" w:cs="Times New Roman"/>
                    </w:rPr>
                    <w:t>87.2</w:t>
                  </w:r>
                </w:p>
              </w:tc>
              <w:tc>
                <w:tcPr>
                  <w:tcW w:w="143" w:type="pct"/>
                  <w:shd w:val="clear" w:color="auto" w:fill="FFFFFF"/>
                  <w:tcMar>
                    <w:top w:w="0" w:type="dxa"/>
                    <w:left w:w="0" w:type="dxa"/>
                    <w:bottom w:w="0" w:type="dxa"/>
                    <w:right w:w="0" w:type="dxa"/>
                  </w:tcMar>
                  <w:vAlign w:val="center"/>
                </w:tcPr>
                <w:p w14:paraId="1D711A7F">
                  <w:pPr>
                    <w:pStyle w:val="29"/>
                    <w:adjustRightInd w:val="0"/>
                    <w:snapToGrid w:val="0"/>
                    <w:rPr>
                      <w:rFonts w:hint="default" w:ascii="Times New Roman" w:hAnsi="Times New Roman" w:cs="Times New Roman"/>
                    </w:rPr>
                  </w:pPr>
                  <w:r>
                    <w:rPr>
                      <w:rFonts w:hint="default" w:ascii="Times New Roman" w:hAnsi="Times New Roman" w:cs="Times New Roman"/>
                    </w:rPr>
                    <w:t>-47.9</w:t>
                  </w:r>
                </w:p>
              </w:tc>
              <w:tc>
                <w:tcPr>
                  <w:tcW w:w="128" w:type="pct"/>
                  <w:shd w:val="clear" w:color="auto" w:fill="FFFFFF"/>
                  <w:tcMar>
                    <w:top w:w="0" w:type="dxa"/>
                    <w:left w:w="0" w:type="dxa"/>
                    <w:bottom w:w="0" w:type="dxa"/>
                    <w:right w:w="0" w:type="dxa"/>
                  </w:tcMar>
                  <w:vAlign w:val="center"/>
                </w:tcPr>
                <w:p w14:paraId="1712350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308944E8">
                  <w:pPr>
                    <w:pStyle w:val="29"/>
                    <w:adjustRightInd w:val="0"/>
                    <w:snapToGrid w:val="0"/>
                    <w:rPr>
                      <w:rFonts w:hint="default" w:ascii="Times New Roman" w:hAnsi="Times New Roman" w:cs="Times New Roman"/>
                    </w:rPr>
                  </w:pPr>
                  <w:r>
                    <w:rPr>
                      <w:rFonts w:hint="default" w:ascii="Times New Roman" w:hAnsi="Times New Roman" w:cs="Times New Roman"/>
                    </w:rPr>
                    <w:t>14.5</w:t>
                  </w:r>
                </w:p>
              </w:tc>
              <w:tc>
                <w:tcPr>
                  <w:tcW w:w="176" w:type="pct"/>
                  <w:shd w:val="clear" w:color="auto" w:fill="FFFFFF"/>
                  <w:tcMar>
                    <w:top w:w="0" w:type="dxa"/>
                    <w:left w:w="0" w:type="dxa"/>
                    <w:bottom w:w="0" w:type="dxa"/>
                    <w:right w:w="0" w:type="dxa"/>
                  </w:tcMar>
                  <w:vAlign w:val="center"/>
                </w:tcPr>
                <w:p w14:paraId="1D253952">
                  <w:pPr>
                    <w:pStyle w:val="29"/>
                    <w:adjustRightInd w:val="0"/>
                    <w:snapToGrid w:val="0"/>
                    <w:rPr>
                      <w:rFonts w:hint="default" w:ascii="Times New Roman" w:hAnsi="Times New Roman" w:cs="Times New Roman"/>
                    </w:rPr>
                  </w:pPr>
                  <w:r>
                    <w:rPr>
                      <w:rFonts w:hint="default" w:ascii="Times New Roman" w:hAnsi="Times New Roman" w:cs="Times New Roman"/>
                    </w:rPr>
                    <w:t>9.6</w:t>
                  </w:r>
                </w:p>
              </w:tc>
              <w:tc>
                <w:tcPr>
                  <w:tcW w:w="176" w:type="pct"/>
                  <w:shd w:val="clear" w:color="auto" w:fill="FFFFFF"/>
                  <w:tcMar>
                    <w:top w:w="0" w:type="dxa"/>
                    <w:left w:w="0" w:type="dxa"/>
                    <w:bottom w:w="0" w:type="dxa"/>
                    <w:right w:w="0" w:type="dxa"/>
                  </w:tcMar>
                  <w:vAlign w:val="center"/>
                </w:tcPr>
                <w:p w14:paraId="3814CBBE">
                  <w:pPr>
                    <w:pStyle w:val="29"/>
                    <w:adjustRightInd w:val="0"/>
                    <w:snapToGrid w:val="0"/>
                    <w:rPr>
                      <w:rFonts w:hint="default" w:ascii="Times New Roman" w:hAnsi="Times New Roman" w:cs="Times New Roman"/>
                    </w:rPr>
                  </w:pPr>
                  <w:r>
                    <w:rPr>
                      <w:rFonts w:hint="default" w:ascii="Times New Roman" w:hAnsi="Times New Roman" w:cs="Times New Roman"/>
                    </w:rPr>
                    <w:t>14.0</w:t>
                  </w:r>
                </w:p>
              </w:tc>
              <w:tc>
                <w:tcPr>
                  <w:tcW w:w="186" w:type="pct"/>
                  <w:shd w:val="clear" w:color="auto" w:fill="FFFFFF"/>
                  <w:tcMar>
                    <w:top w:w="0" w:type="dxa"/>
                    <w:left w:w="0" w:type="dxa"/>
                    <w:bottom w:w="0" w:type="dxa"/>
                    <w:right w:w="0" w:type="dxa"/>
                  </w:tcMar>
                  <w:vAlign w:val="center"/>
                </w:tcPr>
                <w:p w14:paraId="10D90068">
                  <w:pPr>
                    <w:pStyle w:val="29"/>
                    <w:adjustRightInd w:val="0"/>
                    <w:snapToGrid w:val="0"/>
                    <w:rPr>
                      <w:rFonts w:hint="default" w:ascii="Times New Roman" w:hAnsi="Times New Roman" w:cs="Times New Roman"/>
                    </w:rPr>
                  </w:pPr>
                  <w:r>
                    <w:rPr>
                      <w:rFonts w:hint="default" w:ascii="Times New Roman" w:hAnsi="Times New Roman" w:cs="Times New Roman"/>
                    </w:rPr>
                    <w:t>36.1</w:t>
                  </w:r>
                </w:p>
              </w:tc>
              <w:tc>
                <w:tcPr>
                  <w:tcW w:w="174" w:type="pct"/>
                  <w:shd w:val="clear" w:color="auto" w:fill="FFFFFF"/>
                  <w:tcMar>
                    <w:top w:w="0" w:type="dxa"/>
                    <w:left w:w="0" w:type="dxa"/>
                    <w:bottom w:w="0" w:type="dxa"/>
                    <w:right w:w="0" w:type="dxa"/>
                  </w:tcMar>
                  <w:vAlign w:val="center"/>
                </w:tcPr>
                <w:p w14:paraId="6FF15B16">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75" w:type="pct"/>
                  <w:shd w:val="clear" w:color="auto" w:fill="FFFFFF"/>
                  <w:tcMar>
                    <w:top w:w="0" w:type="dxa"/>
                    <w:left w:w="0" w:type="dxa"/>
                    <w:bottom w:w="0" w:type="dxa"/>
                    <w:right w:w="0" w:type="dxa"/>
                  </w:tcMar>
                  <w:vAlign w:val="center"/>
                </w:tcPr>
                <w:p w14:paraId="19405BDF">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75" w:type="pct"/>
                  <w:shd w:val="clear" w:color="auto" w:fill="FFFFFF"/>
                  <w:tcMar>
                    <w:top w:w="0" w:type="dxa"/>
                    <w:left w:w="0" w:type="dxa"/>
                    <w:bottom w:w="0" w:type="dxa"/>
                    <w:right w:w="0" w:type="dxa"/>
                  </w:tcMar>
                  <w:vAlign w:val="center"/>
                </w:tcPr>
                <w:p w14:paraId="55113DAC">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37" w:type="pct"/>
                  <w:shd w:val="clear" w:color="auto" w:fill="FFFFFF"/>
                  <w:tcMar>
                    <w:top w:w="0" w:type="dxa"/>
                    <w:left w:w="0" w:type="dxa"/>
                    <w:bottom w:w="0" w:type="dxa"/>
                    <w:right w:w="0" w:type="dxa"/>
                  </w:tcMar>
                  <w:vAlign w:val="center"/>
                </w:tcPr>
                <w:p w14:paraId="1177CA27">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236" w:type="pct"/>
                  <w:shd w:val="clear" w:color="auto" w:fill="FFFFFF"/>
                  <w:tcMar>
                    <w:top w:w="0" w:type="dxa"/>
                    <w:left w:w="0" w:type="dxa"/>
                    <w:bottom w:w="0" w:type="dxa"/>
                    <w:right w:w="0" w:type="dxa"/>
                  </w:tcMar>
                  <w:vAlign w:val="center"/>
                </w:tcPr>
                <w:p w14:paraId="3B92E567">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0D7772D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3A7D747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9E9518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06E92AD2">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A1C6320">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86" w:type="pct"/>
                  <w:shd w:val="clear" w:color="auto" w:fill="FFFFFF"/>
                  <w:tcMar>
                    <w:top w:w="0" w:type="dxa"/>
                    <w:left w:w="0" w:type="dxa"/>
                    <w:bottom w:w="0" w:type="dxa"/>
                    <w:right w:w="0" w:type="dxa"/>
                  </w:tcMar>
                  <w:vAlign w:val="center"/>
                </w:tcPr>
                <w:p w14:paraId="6E139C3D">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81" w:type="pct"/>
                  <w:shd w:val="clear" w:color="auto" w:fill="FFFFFF"/>
                  <w:tcMar>
                    <w:top w:w="0" w:type="dxa"/>
                    <w:left w:w="0" w:type="dxa"/>
                    <w:bottom w:w="0" w:type="dxa"/>
                    <w:right w:w="0" w:type="dxa"/>
                  </w:tcMar>
                  <w:vAlign w:val="center"/>
                </w:tcPr>
                <w:p w14:paraId="015DB34B">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76" w:type="pct"/>
                  <w:shd w:val="clear" w:color="auto" w:fill="FFFFFF"/>
                  <w:tcMar>
                    <w:top w:w="0" w:type="dxa"/>
                    <w:left w:w="0" w:type="dxa"/>
                    <w:bottom w:w="0" w:type="dxa"/>
                    <w:right w:w="0" w:type="dxa"/>
                  </w:tcMar>
                  <w:vAlign w:val="center"/>
                </w:tcPr>
                <w:p w14:paraId="02B403B7">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261" w:type="pct"/>
                  <w:shd w:val="clear" w:color="auto" w:fill="FFFFFF"/>
                  <w:tcMar>
                    <w:top w:w="0" w:type="dxa"/>
                    <w:left w:w="0" w:type="dxa"/>
                    <w:bottom w:w="0" w:type="dxa"/>
                    <w:right w:w="0" w:type="dxa"/>
                  </w:tcMar>
                  <w:vAlign w:val="center"/>
                </w:tcPr>
                <w:p w14:paraId="4EFF3130">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6DF24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681FDFD6">
                  <w:pPr>
                    <w:pStyle w:val="29"/>
                    <w:adjustRightInd w:val="0"/>
                    <w:snapToGrid w:val="0"/>
                    <w:rPr>
                      <w:rFonts w:hint="default" w:ascii="Times New Roman" w:hAnsi="Times New Roman" w:cs="Times New Roman"/>
                    </w:rPr>
                  </w:pPr>
                  <w:r>
                    <w:rPr>
                      <w:rFonts w:hint="default" w:ascii="Times New Roman" w:hAnsi="Times New Roman" w:cs="Times New Roman"/>
                    </w:rPr>
                    <w:t>11</w:t>
                  </w:r>
                </w:p>
              </w:tc>
              <w:tc>
                <w:tcPr>
                  <w:tcW w:w="233" w:type="pct"/>
                  <w:vMerge w:val="continue"/>
                  <w:shd w:val="clear" w:color="auto" w:fill="FFFFFF"/>
                  <w:tcMar>
                    <w:top w:w="0" w:type="dxa"/>
                    <w:left w:w="0" w:type="dxa"/>
                    <w:bottom w:w="0" w:type="dxa"/>
                    <w:right w:w="0" w:type="dxa"/>
                  </w:tcMar>
                  <w:vAlign w:val="center"/>
                </w:tcPr>
                <w:p w14:paraId="29DB0CA1">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538047F1">
                  <w:pPr>
                    <w:pStyle w:val="29"/>
                    <w:adjustRightInd w:val="0"/>
                    <w:snapToGrid w:val="0"/>
                    <w:rPr>
                      <w:rFonts w:hint="default" w:ascii="Times New Roman" w:hAnsi="Times New Roman" w:cs="Times New Roman"/>
                    </w:rPr>
                  </w:pPr>
                  <w:r>
                    <w:rPr>
                      <w:rFonts w:hint="default" w:ascii="Times New Roman" w:hAnsi="Times New Roman" w:cs="Times New Roman"/>
                    </w:rPr>
                    <w:t>复合机</w:t>
                  </w:r>
                </w:p>
              </w:tc>
              <w:tc>
                <w:tcPr>
                  <w:tcW w:w="147" w:type="pct"/>
                  <w:shd w:val="clear" w:color="auto" w:fill="FFFFFF"/>
                  <w:tcMar>
                    <w:top w:w="0" w:type="dxa"/>
                    <w:left w:w="0" w:type="dxa"/>
                    <w:bottom w:w="0" w:type="dxa"/>
                    <w:right w:w="0" w:type="dxa"/>
                  </w:tcMar>
                  <w:vAlign w:val="center"/>
                </w:tcPr>
                <w:p w14:paraId="7B54BF04">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7D30EDD1">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9206462">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4AB7EE60">
                  <w:pPr>
                    <w:pStyle w:val="29"/>
                    <w:adjustRightInd w:val="0"/>
                    <w:snapToGrid w:val="0"/>
                    <w:rPr>
                      <w:rFonts w:hint="default" w:ascii="Times New Roman" w:hAnsi="Times New Roman" w:cs="Times New Roman"/>
                    </w:rPr>
                  </w:pPr>
                  <w:r>
                    <w:rPr>
                      <w:rFonts w:hint="default" w:ascii="Times New Roman" w:hAnsi="Times New Roman" w:cs="Times New Roman"/>
                    </w:rPr>
                    <w:t>81.2</w:t>
                  </w:r>
                </w:p>
              </w:tc>
              <w:tc>
                <w:tcPr>
                  <w:tcW w:w="143" w:type="pct"/>
                  <w:shd w:val="clear" w:color="auto" w:fill="FFFFFF"/>
                  <w:tcMar>
                    <w:top w:w="0" w:type="dxa"/>
                    <w:left w:w="0" w:type="dxa"/>
                    <w:bottom w:w="0" w:type="dxa"/>
                    <w:right w:w="0" w:type="dxa"/>
                  </w:tcMar>
                  <w:vAlign w:val="center"/>
                </w:tcPr>
                <w:p w14:paraId="0D40AC80">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28" w:type="pct"/>
                  <w:shd w:val="clear" w:color="auto" w:fill="FFFFFF"/>
                  <w:tcMar>
                    <w:top w:w="0" w:type="dxa"/>
                    <w:left w:w="0" w:type="dxa"/>
                    <w:bottom w:w="0" w:type="dxa"/>
                    <w:right w:w="0" w:type="dxa"/>
                  </w:tcMar>
                  <w:vAlign w:val="center"/>
                </w:tcPr>
                <w:p w14:paraId="052652E4">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2A46A4A2">
                  <w:pPr>
                    <w:pStyle w:val="29"/>
                    <w:adjustRightInd w:val="0"/>
                    <w:snapToGrid w:val="0"/>
                    <w:rPr>
                      <w:rFonts w:hint="default" w:ascii="Times New Roman" w:hAnsi="Times New Roman" w:cs="Times New Roman"/>
                    </w:rPr>
                  </w:pPr>
                  <w:r>
                    <w:rPr>
                      <w:rFonts w:hint="default" w:ascii="Times New Roman" w:hAnsi="Times New Roman" w:cs="Times New Roman"/>
                    </w:rPr>
                    <w:t>21.1</w:t>
                  </w:r>
                </w:p>
              </w:tc>
              <w:tc>
                <w:tcPr>
                  <w:tcW w:w="176" w:type="pct"/>
                  <w:shd w:val="clear" w:color="auto" w:fill="FFFFFF"/>
                  <w:tcMar>
                    <w:top w:w="0" w:type="dxa"/>
                    <w:left w:w="0" w:type="dxa"/>
                    <w:bottom w:w="0" w:type="dxa"/>
                    <w:right w:w="0" w:type="dxa"/>
                  </w:tcMar>
                  <w:vAlign w:val="center"/>
                </w:tcPr>
                <w:p w14:paraId="7326B058">
                  <w:pPr>
                    <w:pStyle w:val="29"/>
                    <w:adjustRightInd w:val="0"/>
                    <w:snapToGrid w:val="0"/>
                    <w:rPr>
                      <w:rFonts w:hint="default" w:ascii="Times New Roman" w:hAnsi="Times New Roman" w:cs="Times New Roman"/>
                    </w:rPr>
                  </w:pPr>
                  <w:r>
                    <w:rPr>
                      <w:rFonts w:hint="default" w:ascii="Times New Roman" w:hAnsi="Times New Roman" w:cs="Times New Roman"/>
                    </w:rPr>
                    <w:t>9.9</w:t>
                  </w:r>
                </w:p>
              </w:tc>
              <w:tc>
                <w:tcPr>
                  <w:tcW w:w="176" w:type="pct"/>
                  <w:shd w:val="clear" w:color="auto" w:fill="FFFFFF"/>
                  <w:tcMar>
                    <w:top w:w="0" w:type="dxa"/>
                    <w:left w:w="0" w:type="dxa"/>
                    <w:bottom w:w="0" w:type="dxa"/>
                    <w:right w:w="0" w:type="dxa"/>
                  </w:tcMar>
                  <w:vAlign w:val="center"/>
                </w:tcPr>
                <w:p w14:paraId="2E48037A">
                  <w:pPr>
                    <w:pStyle w:val="29"/>
                    <w:adjustRightInd w:val="0"/>
                    <w:snapToGrid w:val="0"/>
                    <w:rPr>
                      <w:rFonts w:hint="default" w:ascii="Times New Roman" w:hAnsi="Times New Roman" w:cs="Times New Roman"/>
                    </w:rPr>
                  </w:pPr>
                  <w:r>
                    <w:rPr>
                      <w:rFonts w:hint="default" w:ascii="Times New Roman" w:hAnsi="Times New Roman" w:cs="Times New Roman"/>
                    </w:rPr>
                    <w:t>20.5</w:t>
                  </w:r>
                </w:p>
              </w:tc>
              <w:tc>
                <w:tcPr>
                  <w:tcW w:w="186" w:type="pct"/>
                  <w:shd w:val="clear" w:color="auto" w:fill="FFFFFF"/>
                  <w:tcMar>
                    <w:top w:w="0" w:type="dxa"/>
                    <w:left w:w="0" w:type="dxa"/>
                    <w:bottom w:w="0" w:type="dxa"/>
                    <w:right w:w="0" w:type="dxa"/>
                  </w:tcMar>
                  <w:vAlign w:val="center"/>
                </w:tcPr>
                <w:p w14:paraId="1BBA1B31">
                  <w:pPr>
                    <w:pStyle w:val="29"/>
                    <w:adjustRightInd w:val="0"/>
                    <w:snapToGrid w:val="0"/>
                    <w:rPr>
                      <w:rFonts w:hint="default" w:ascii="Times New Roman" w:hAnsi="Times New Roman" w:cs="Times New Roman"/>
                    </w:rPr>
                  </w:pPr>
                  <w:r>
                    <w:rPr>
                      <w:rFonts w:hint="default" w:ascii="Times New Roman" w:hAnsi="Times New Roman" w:cs="Times New Roman"/>
                    </w:rPr>
                    <w:t>35.8</w:t>
                  </w:r>
                </w:p>
              </w:tc>
              <w:tc>
                <w:tcPr>
                  <w:tcW w:w="174" w:type="pct"/>
                  <w:shd w:val="clear" w:color="auto" w:fill="FFFFFF"/>
                  <w:tcMar>
                    <w:top w:w="0" w:type="dxa"/>
                    <w:left w:w="0" w:type="dxa"/>
                    <w:bottom w:w="0" w:type="dxa"/>
                    <w:right w:w="0" w:type="dxa"/>
                  </w:tcMar>
                  <w:vAlign w:val="center"/>
                </w:tcPr>
                <w:p w14:paraId="4DB1DF4C">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75" w:type="pct"/>
                  <w:shd w:val="clear" w:color="auto" w:fill="FFFFFF"/>
                  <w:tcMar>
                    <w:top w:w="0" w:type="dxa"/>
                    <w:left w:w="0" w:type="dxa"/>
                    <w:bottom w:w="0" w:type="dxa"/>
                    <w:right w:w="0" w:type="dxa"/>
                  </w:tcMar>
                  <w:vAlign w:val="center"/>
                </w:tcPr>
                <w:p w14:paraId="3BD03ECD">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75" w:type="pct"/>
                  <w:shd w:val="clear" w:color="auto" w:fill="FFFFFF"/>
                  <w:tcMar>
                    <w:top w:w="0" w:type="dxa"/>
                    <w:left w:w="0" w:type="dxa"/>
                    <w:bottom w:w="0" w:type="dxa"/>
                    <w:right w:w="0" w:type="dxa"/>
                  </w:tcMar>
                  <w:vAlign w:val="center"/>
                </w:tcPr>
                <w:p w14:paraId="3F06104B">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137" w:type="pct"/>
                  <w:shd w:val="clear" w:color="auto" w:fill="FFFFFF"/>
                  <w:tcMar>
                    <w:top w:w="0" w:type="dxa"/>
                    <w:left w:w="0" w:type="dxa"/>
                    <w:bottom w:w="0" w:type="dxa"/>
                    <w:right w:w="0" w:type="dxa"/>
                  </w:tcMar>
                  <w:vAlign w:val="center"/>
                </w:tcPr>
                <w:p w14:paraId="66ABF492">
                  <w:pPr>
                    <w:pStyle w:val="29"/>
                    <w:adjustRightInd w:val="0"/>
                    <w:snapToGrid w:val="0"/>
                    <w:rPr>
                      <w:rFonts w:hint="default" w:ascii="Times New Roman" w:hAnsi="Times New Roman" w:cs="Times New Roman"/>
                    </w:rPr>
                  </w:pPr>
                  <w:r>
                    <w:rPr>
                      <w:rFonts w:hint="default" w:ascii="Times New Roman" w:hAnsi="Times New Roman" w:cs="Times New Roman"/>
                    </w:rPr>
                    <w:t>64.6</w:t>
                  </w:r>
                </w:p>
              </w:tc>
              <w:tc>
                <w:tcPr>
                  <w:tcW w:w="236" w:type="pct"/>
                  <w:shd w:val="clear" w:color="auto" w:fill="FFFFFF"/>
                  <w:tcMar>
                    <w:top w:w="0" w:type="dxa"/>
                    <w:left w:w="0" w:type="dxa"/>
                    <w:bottom w:w="0" w:type="dxa"/>
                    <w:right w:w="0" w:type="dxa"/>
                  </w:tcMar>
                  <w:vAlign w:val="center"/>
                </w:tcPr>
                <w:p w14:paraId="6DD27162">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3D54AF7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74DC539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43801FF3">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2556816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02AFE567">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86" w:type="pct"/>
                  <w:shd w:val="clear" w:color="auto" w:fill="FFFFFF"/>
                  <w:tcMar>
                    <w:top w:w="0" w:type="dxa"/>
                    <w:left w:w="0" w:type="dxa"/>
                    <w:bottom w:w="0" w:type="dxa"/>
                    <w:right w:w="0" w:type="dxa"/>
                  </w:tcMar>
                  <w:vAlign w:val="center"/>
                </w:tcPr>
                <w:p w14:paraId="310059BD">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81" w:type="pct"/>
                  <w:shd w:val="clear" w:color="auto" w:fill="FFFFFF"/>
                  <w:tcMar>
                    <w:top w:w="0" w:type="dxa"/>
                    <w:left w:w="0" w:type="dxa"/>
                    <w:bottom w:w="0" w:type="dxa"/>
                    <w:right w:w="0" w:type="dxa"/>
                  </w:tcMar>
                  <w:vAlign w:val="center"/>
                </w:tcPr>
                <w:p w14:paraId="757F7FC6">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176" w:type="pct"/>
                  <w:shd w:val="clear" w:color="auto" w:fill="FFFFFF"/>
                  <w:tcMar>
                    <w:top w:w="0" w:type="dxa"/>
                    <w:left w:w="0" w:type="dxa"/>
                    <w:bottom w:w="0" w:type="dxa"/>
                    <w:right w:w="0" w:type="dxa"/>
                  </w:tcMar>
                  <w:vAlign w:val="center"/>
                </w:tcPr>
                <w:p w14:paraId="3755D726">
                  <w:pPr>
                    <w:pStyle w:val="29"/>
                    <w:adjustRightInd w:val="0"/>
                    <w:snapToGrid w:val="0"/>
                    <w:rPr>
                      <w:rFonts w:hint="default" w:ascii="Times New Roman" w:hAnsi="Times New Roman" w:cs="Times New Roman"/>
                    </w:rPr>
                  </w:pPr>
                  <w:r>
                    <w:rPr>
                      <w:rFonts w:hint="default" w:ascii="Times New Roman" w:hAnsi="Times New Roman" w:cs="Times New Roman"/>
                    </w:rPr>
                    <w:t>55.6</w:t>
                  </w:r>
                </w:p>
              </w:tc>
              <w:tc>
                <w:tcPr>
                  <w:tcW w:w="261" w:type="pct"/>
                  <w:shd w:val="clear" w:color="auto" w:fill="FFFFFF"/>
                  <w:tcMar>
                    <w:top w:w="0" w:type="dxa"/>
                    <w:left w:w="0" w:type="dxa"/>
                    <w:bottom w:w="0" w:type="dxa"/>
                    <w:right w:w="0" w:type="dxa"/>
                  </w:tcMar>
                  <w:vAlign w:val="center"/>
                </w:tcPr>
                <w:p w14:paraId="732BAF55">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149FA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032530E5">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233" w:type="pct"/>
                  <w:vMerge w:val="continue"/>
                  <w:shd w:val="clear" w:color="auto" w:fill="FFFFFF"/>
                  <w:tcMar>
                    <w:top w:w="0" w:type="dxa"/>
                    <w:left w:w="0" w:type="dxa"/>
                    <w:bottom w:w="0" w:type="dxa"/>
                    <w:right w:w="0" w:type="dxa"/>
                  </w:tcMar>
                  <w:vAlign w:val="center"/>
                </w:tcPr>
                <w:p w14:paraId="44D17C29">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339508DD">
                  <w:pPr>
                    <w:pStyle w:val="29"/>
                    <w:adjustRightInd w:val="0"/>
                    <w:snapToGrid w:val="0"/>
                    <w:rPr>
                      <w:rFonts w:hint="default" w:ascii="Times New Roman" w:hAnsi="Times New Roman" w:cs="Times New Roman"/>
                    </w:rPr>
                  </w:pPr>
                  <w:r>
                    <w:rPr>
                      <w:rFonts w:hint="default" w:ascii="Times New Roman" w:hAnsi="Times New Roman" w:cs="Times New Roman"/>
                    </w:rPr>
                    <w:t>单面瓦楞机1</w:t>
                  </w:r>
                </w:p>
              </w:tc>
              <w:tc>
                <w:tcPr>
                  <w:tcW w:w="147" w:type="pct"/>
                  <w:shd w:val="clear" w:color="auto" w:fill="FFFFFF"/>
                  <w:tcMar>
                    <w:top w:w="0" w:type="dxa"/>
                    <w:left w:w="0" w:type="dxa"/>
                    <w:bottom w:w="0" w:type="dxa"/>
                    <w:right w:w="0" w:type="dxa"/>
                  </w:tcMar>
                  <w:vAlign w:val="center"/>
                </w:tcPr>
                <w:p w14:paraId="7781DA34">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4B9CE783">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continue"/>
                  <w:shd w:val="clear" w:color="auto" w:fill="FFFFFF"/>
                  <w:tcMar>
                    <w:top w:w="0" w:type="dxa"/>
                    <w:left w:w="0" w:type="dxa"/>
                    <w:bottom w:w="0" w:type="dxa"/>
                    <w:right w:w="0" w:type="dxa"/>
                  </w:tcMar>
                  <w:vAlign w:val="center"/>
                </w:tcPr>
                <w:p w14:paraId="5D6A78B6">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58A5BC13">
                  <w:pPr>
                    <w:pStyle w:val="29"/>
                    <w:adjustRightInd w:val="0"/>
                    <w:snapToGrid w:val="0"/>
                    <w:rPr>
                      <w:rFonts w:hint="default" w:ascii="Times New Roman" w:hAnsi="Times New Roman" w:cs="Times New Roman"/>
                    </w:rPr>
                  </w:pPr>
                  <w:r>
                    <w:rPr>
                      <w:rFonts w:hint="default" w:ascii="Times New Roman" w:hAnsi="Times New Roman" w:cs="Times New Roman"/>
                    </w:rPr>
                    <w:t>71.3</w:t>
                  </w:r>
                </w:p>
              </w:tc>
              <w:tc>
                <w:tcPr>
                  <w:tcW w:w="143" w:type="pct"/>
                  <w:shd w:val="clear" w:color="auto" w:fill="FFFFFF"/>
                  <w:tcMar>
                    <w:top w:w="0" w:type="dxa"/>
                    <w:left w:w="0" w:type="dxa"/>
                    <w:bottom w:w="0" w:type="dxa"/>
                    <w:right w:w="0" w:type="dxa"/>
                  </w:tcMar>
                  <w:vAlign w:val="center"/>
                </w:tcPr>
                <w:p w14:paraId="692D1C90">
                  <w:pPr>
                    <w:pStyle w:val="29"/>
                    <w:adjustRightInd w:val="0"/>
                    <w:snapToGrid w:val="0"/>
                    <w:rPr>
                      <w:rFonts w:hint="default" w:ascii="Times New Roman" w:hAnsi="Times New Roman" w:cs="Times New Roman"/>
                    </w:rPr>
                  </w:pPr>
                  <w:r>
                    <w:rPr>
                      <w:rFonts w:hint="default" w:ascii="Times New Roman" w:hAnsi="Times New Roman" w:cs="Times New Roman"/>
                    </w:rPr>
                    <w:t>-44</w:t>
                  </w:r>
                </w:p>
              </w:tc>
              <w:tc>
                <w:tcPr>
                  <w:tcW w:w="128" w:type="pct"/>
                  <w:shd w:val="clear" w:color="auto" w:fill="FFFFFF"/>
                  <w:tcMar>
                    <w:top w:w="0" w:type="dxa"/>
                    <w:left w:w="0" w:type="dxa"/>
                    <w:bottom w:w="0" w:type="dxa"/>
                    <w:right w:w="0" w:type="dxa"/>
                  </w:tcMar>
                  <w:vAlign w:val="center"/>
                </w:tcPr>
                <w:p w14:paraId="02AD9D3A">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59757689">
                  <w:pPr>
                    <w:pStyle w:val="29"/>
                    <w:adjustRightInd w:val="0"/>
                    <w:snapToGrid w:val="0"/>
                    <w:rPr>
                      <w:rFonts w:hint="default" w:ascii="Times New Roman" w:hAnsi="Times New Roman" w:cs="Times New Roman"/>
                    </w:rPr>
                  </w:pPr>
                  <w:r>
                    <w:rPr>
                      <w:rFonts w:hint="default" w:ascii="Times New Roman" w:hAnsi="Times New Roman" w:cs="Times New Roman"/>
                    </w:rPr>
                    <w:t>32.8</w:t>
                  </w:r>
                </w:p>
              </w:tc>
              <w:tc>
                <w:tcPr>
                  <w:tcW w:w="176" w:type="pct"/>
                  <w:shd w:val="clear" w:color="auto" w:fill="FFFFFF"/>
                  <w:tcMar>
                    <w:top w:w="0" w:type="dxa"/>
                    <w:left w:w="0" w:type="dxa"/>
                    <w:bottom w:w="0" w:type="dxa"/>
                    <w:right w:w="0" w:type="dxa"/>
                  </w:tcMar>
                  <w:vAlign w:val="center"/>
                </w:tcPr>
                <w:p w14:paraId="0A515605">
                  <w:pPr>
                    <w:pStyle w:val="29"/>
                    <w:adjustRightInd w:val="0"/>
                    <w:snapToGrid w:val="0"/>
                    <w:rPr>
                      <w:rFonts w:hint="default" w:ascii="Times New Roman" w:hAnsi="Times New Roman" w:cs="Times New Roman"/>
                    </w:rPr>
                  </w:pPr>
                  <w:r>
                    <w:rPr>
                      <w:rFonts w:hint="default" w:ascii="Times New Roman" w:hAnsi="Times New Roman" w:cs="Times New Roman"/>
                    </w:rPr>
                    <w:t>6.1</w:t>
                  </w:r>
                </w:p>
              </w:tc>
              <w:tc>
                <w:tcPr>
                  <w:tcW w:w="176" w:type="pct"/>
                  <w:shd w:val="clear" w:color="auto" w:fill="FFFFFF"/>
                  <w:tcMar>
                    <w:top w:w="0" w:type="dxa"/>
                    <w:left w:w="0" w:type="dxa"/>
                    <w:bottom w:w="0" w:type="dxa"/>
                    <w:right w:w="0" w:type="dxa"/>
                  </w:tcMar>
                  <w:vAlign w:val="center"/>
                </w:tcPr>
                <w:p w14:paraId="6D5DA5AD">
                  <w:pPr>
                    <w:pStyle w:val="29"/>
                    <w:adjustRightInd w:val="0"/>
                    <w:snapToGrid w:val="0"/>
                    <w:rPr>
                      <w:rFonts w:hint="default" w:ascii="Times New Roman" w:hAnsi="Times New Roman" w:cs="Times New Roman"/>
                    </w:rPr>
                  </w:pPr>
                  <w:r>
                    <w:rPr>
                      <w:rFonts w:hint="default" w:ascii="Times New Roman" w:hAnsi="Times New Roman" w:cs="Times New Roman"/>
                    </w:rPr>
                    <w:t>93.3</w:t>
                  </w:r>
                </w:p>
              </w:tc>
              <w:tc>
                <w:tcPr>
                  <w:tcW w:w="186" w:type="pct"/>
                  <w:shd w:val="clear" w:color="auto" w:fill="FFFFFF"/>
                  <w:tcMar>
                    <w:top w:w="0" w:type="dxa"/>
                    <w:left w:w="0" w:type="dxa"/>
                    <w:bottom w:w="0" w:type="dxa"/>
                    <w:right w:w="0" w:type="dxa"/>
                  </w:tcMar>
                  <w:vAlign w:val="center"/>
                </w:tcPr>
                <w:p w14:paraId="3CA9CFF7">
                  <w:pPr>
                    <w:pStyle w:val="29"/>
                    <w:adjustRightInd w:val="0"/>
                    <w:snapToGrid w:val="0"/>
                    <w:rPr>
                      <w:rFonts w:hint="default" w:ascii="Times New Roman" w:hAnsi="Times New Roman" w:cs="Times New Roman"/>
                    </w:rPr>
                  </w:pPr>
                  <w:r>
                    <w:rPr>
                      <w:rFonts w:hint="default" w:ascii="Times New Roman" w:hAnsi="Times New Roman" w:cs="Times New Roman"/>
                    </w:rPr>
                    <w:t>5.6</w:t>
                  </w:r>
                </w:p>
              </w:tc>
              <w:tc>
                <w:tcPr>
                  <w:tcW w:w="174" w:type="pct"/>
                  <w:shd w:val="clear" w:color="auto" w:fill="FFFFFF"/>
                  <w:tcMar>
                    <w:top w:w="0" w:type="dxa"/>
                    <w:left w:w="0" w:type="dxa"/>
                    <w:bottom w:w="0" w:type="dxa"/>
                    <w:right w:w="0" w:type="dxa"/>
                  </w:tcMar>
                  <w:vAlign w:val="center"/>
                </w:tcPr>
                <w:p w14:paraId="599C02C8">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75" w:type="pct"/>
                  <w:shd w:val="clear" w:color="auto" w:fill="FFFFFF"/>
                  <w:tcMar>
                    <w:top w:w="0" w:type="dxa"/>
                    <w:left w:w="0" w:type="dxa"/>
                    <w:bottom w:w="0" w:type="dxa"/>
                    <w:right w:w="0" w:type="dxa"/>
                  </w:tcMar>
                  <w:vAlign w:val="center"/>
                </w:tcPr>
                <w:p w14:paraId="51239A82">
                  <w:pPr>
                    <w:pStyle w:val="29"/>
                    <w:adjustRightInd w:val="0"/>
                    <w:snapToGrid w:val="0"/>
                    <w:rPr>
                      <w:rFonts w:hint="default" w:ascii="Times New Roman" w:hAnsi="Times New Roman" w:cs="Times New Roman"/>
                    </w:rPr>
                  </w:pPr>
                  <w:r>
                    <w:rPr>
                      <w:rFonts w:hint="default" w:ascii="Times New Roman" w:hAnsi="Times New Roman" w:cs="Times New Roman"/>
                    </w:rPr>
                    <w:t>65.5</w:t>
                  </w:r>
                </w:p>
              </w:tc>
              <w:tc>
                <w:tcPr>
                  <w:tcW w:w="175" w:type="pct"/>
                  <w:shd w:val="clear" w:color="auto" w:fill="FFFFFF"/>
                  <w:tcMar>
                    <w:top w:w="0" w:type="dxa"/>
                    <w:left w:w="0" w:type="dxa"/>
                    <w:bottom w:w="0" w:type="dxa"/>
                    <w:right w:w="0" w:type="dxa"/>
                  </w:tcMar>
                  <w:vAlign w:val="center"/>
                </w:tcPr>
                <w:p w14:paraId="5DEB3DA0">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37" w:type="pct"/>
                  <w:shd w:val="clear" w:color="auto" w:fill="FFFFFF"/>
                  <w:tcMar>
                    <w:top w:w="0" w:type="dxa"/>
                    <w:left w:w="0" w:type="dxa"/>
                    <w:bottom w:w="0" w:type="dxa"/>
                    <w:right w:w="0" w:type="dxa"/>
                  </w:tcMar>
                  <w:vAlign w:val="center"/>
                </w:tcPr>
                <w:p w14:paraId="24A7F925">
                  <w:pPr>
                    <w:pStyle w:val="29"/>
                    <w:adjustRightInd w:val="0"/>
                    <w:snapToGrid w:val="0"/>
                    <w:rPr>
                      <w:rFonts w:hint="default" w:ascii="Times New Roman" w:hAnsi="Times New Roman" w:cs="Times New Roman"/>
                    </w:rPr>
                  </w:pPr>
                  <w:r>
                    <w:rPr>
                      <w:rFonts w:hint="default" w:ascii="Times New Roman" w:hAnsi="Times New Roman" w:cs="Times New Roman"/>
                    </w:rPr>
                    <w:t>65.5</w:t>
                  </w:r>
                </w:p>
              </w:tc>
              <w:tc>
                <w:tcPr>
                  <w:tcW w:w="236" w:type="pct"/>
                  <w:shd w:val="clear" w:color="auto" w:fill="FFFFFF"/>
                  <w:tcMar>
                    <w:top w:w="0" w:type="dxa"/>
                    <w:left w:w="0" w:type="dxa"/>
                    <w:bottom w:w="0" w:type="dxa"/>
                    <w:right w:w="0" w:type="dxa"/>
                  </w:tcMar>
                  <w:vAlign w:val="center"/>
                </w:tcPr>
                <w:p w14:paraId="5B0DC7FF">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3ABE6D62">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36772A1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4964D8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6529357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78F4247C">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86" w:type="pct"/>
                  <w:shd w:val="clear" w:color="auto" w:fill="FFFFFF"/>
                  <w:tcMar>
                    <w:top w:w="0" w:type="dxa"/>
                    <w:left w:w="0" w:type="dxa"/>
                    <w:bottom w:w="0" w:type="dxa"/>
                    <w:right w:w="0" w:type="dxa"/>
                  </w:tcMar>
                  <w:vAlign w:val="center"/>
                </w:tcPr>
                <w:p w14:paraId="4928B397">
                  <w:pPr>
                    <w:pStyle w:val="29"/>
                    <w:adjustRightInd w:val="0"/>
                    <w:snapToGrid w:val="0"/>
                    <w:rPr>
                      <w:rFonts w:hint="default" w:ascii="Times New Roman" w:hAnsi="Times New Roman" w:cs="Times New Roman"/>
                    </w:rPr>
                  </w:pPr>
                  <w:r>
                    <w:rPr>
                      <w:rFonts w:hint="default" w:ascii="Times New Roman" w:hAnsi="Times New Roman" w:cs="Times New Roman"/>
                    </w:rPr>
                    <w:t>56.5</w:t>
                  </w:r>
                </w:p>
              </w:tc>
              <w:tc>
                <w:tcPr>
                  <w:tcW w:w="181" w:type="pct"/>
                  <w:shd w:val="clear" w:color="auto" w:fill="FFFFFF"/>
                  <w:tcMar>
                    <w:top w:w="0" w:type="dxa"/>
                    <w:left w:w="0" w:type="dxa"/>
                    <w:bottom w:w="0" w:type="dxa"/>
                    <w:right w:w="0" w:type="dxa"/>
                  </w:tcMar>
                  <w:vAlign w:val="center"/>
                </w:tcPr>
                <w:p w14:paraId="397E7C27">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76" w:type="pct"/>
                  <w:shd w:val="clear" w:color="auto" w:fill="FFFFFF"/>
                  <w:tcMar>
                    <w:top w:w="0" w:type="dxa"/>
                    <w:left w:w="0" w:type="dxa"/>
                    <w:bottom w:w="0" w:type="dxa"/>
                    <w:right w:w="0" w:type="dxa"/>
                  </w:tcMar>
                  <w:vAlign w:val="center"/>
                </w:tcPr>
                <w:p w14:paraId="446DA4E8">
                  <w:pPr>
                    <w:pStyle w:val="29"/>
                    <w:adjustRightInd w:val="0"/>
                    <w:snapToGrid w:val="0"/>
                    <w:rPr>
                      <w:rFonts w:hint="default" w:ascii="Times New Roman" w:hAnsi="Times New Roman" w:cs="Times New Roman"/>
                    </w:rPr>
                  </w:pPr>
                  <w:r>
                    <w:rPr>
                      <w:rFonts w:hint="default" w:ascii="Times New Roman" w:hAnsi="Times New Roman" w:cs="Times New Roman"/>
                    </w:rPr>
                    <w:t>56.5</w:t>
                  </w:r>
                </w:p>
              </w:tc>
              <w:tc>
                <w:tcPr>
                  <w:tcW w:w="261" w:type="pct"/>
                  <w:shd w:val="clear" w:color="auto" w:fill="FFFFFF"/>
                  <w:tcMar>
                    <w:top w:w="0" w:type="dxa"/>
                    <w:left w:w="0" w:type="dxa"/>
                    <w:bottom w:w="0" w:type="dxa"/>
                    <w:right w:w="0" w:type="dxa"/>
                  </w:tcMar>
                  <w:vAlign w:val="center"/>
                </w:tcPr>
                <w:p w14:paraId="3D5C2FB9">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28114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4B8C8DB6">
                  <w:pPr>
                    <w:pStyle w:val="29"/>
                    <w:adjustRightInd w:val="0"/>
                    <w:snapToGrid w:val="0"/>
                    <w:rPr>
                      <w:rFonts w:hint="default" w:ascii="Times New Roman" w:hAnsi="Times New Roman" w:cs="Times New Roman"/>
                    </w:rPr>
                  </w:pPr>
                  <w:r>
                    <w:rPr>
                      <w:rFonts w:hint="default" w:ascii="Times New Roman" w:hAnsi="Times New Roman" w:cs="Times New Roman"/>
                    </w:rPr>
                    <w:t>13</w:t>
                  </w:r>
                </w:p>
              </w:tc>
              <w:tc>
                <w:tcPr>
                  <w:tcW w:w="233" w:type="pct"/>
                  <w:vMerge w:val="continue"/>
                  <w:shd w:val="clear" w:color="auto" w:fill="FFFFFF"/>
                  <w:tcMar>
                    <w:top w:w="0" w:type="dxa"/>
                    <w:left w:w="0" w:type="dxa"/>
                    <w:bottom w:w="0" w:type="dxa"/>
                    <w:right w:w="0" w:type="dxa"/>
                  </w:tcMar>
                  <w:vAlign w:val="center"/>
                </w:tcPr>
                <w:p w14:paraId="6A2567B7">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3808C733">
                  <w:pPr>
                    <w:pStyle w:val="29"/>
                    <w:adjustRightInd w:val="0"/>
                    <w:snapToGrid w:val="0"/>
                    <w:rPr>
                      <w:rFonts w:hint="default" w:ascii="Times New Roman" w:hAnsi="Times New Roman" w:cs="Times New Roman"/>
                    </w:rPr>
                  </w:pPr>
                  <w:r>
                    <w:rPr>
                      <w:rFonts w:hint="default" w:ascii="Times New Roman" w:hAnsi="Times New Roman" w:cs="Times New Roman"/>
                    </w:rPr>
                    <w:t>单面瓦楞机2</w:t>
                  </w:r>
                </w:p>
              </w:tc>
              <w:tc>
                <w:tcPr>
                  <w:tcW w:w="147" w:type="pct"/>
                  <w:shd w:val="clear" w:color="auto" w:fill="FFFFFF"/>
                  <w:tcMar>
                    <w:top w:w="0" w:type="dxa"/>
                    <w:left w:w="0" w:type="dxa"/>
                    <w:bottom w:w="0" w:type="dxa"/>
                    <w:right w:w="0" w:type="dxa"/>
                  </w:tcMar>
                  <w:vAlign w:val="center"/>
                </w:tcPr>
                <w:p w14:paraId="43CEC2B3">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6E101854">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continue"/>
                  <w:shd w:val="clear" w:color="auto" w:fill="FFFFFF"/>
                  <w:tcMar>
                    <w:top w:w="0" w:type="dxa"/>
                    <w:left w:w="0" w:type="dxa"/>
                    <w:bottom w:w="0" w:type="dxa"/>
                    <w:right w:w="0" w:type="dxa"/>
                  </w:tcMar>
                  <w:vAlign w:val="center"/>
                </w:tcPr>
                <w:p w14:paraId="7A823D68">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717AB863">
                  <w:pPr>
                    <w:pStyle w:val="29"/>
                    <w:adjustRightInd w:val="0"/>
                    <w:snapToGrid w:val="0"/>
                    <w:rPr>
                      <w:rFonts w:hint="default" w:ascii="Times New Roman" w:hAnsi="Times New Roman" w:cs="Times New Roman"/>
                    </w:rPr>
                  </w:pPr>
                  <w:r>
                    <w:rPr>
                      <w:rFonts w:hint="default" w:ascii="Times New Roman" w:hAnsi="Times New Roman" w:cs="Times New Roman"/>
                    </w:rPr>
                    <w:t>72.9</w:t>
                  </w:r>
                </w:p>
              </w:tc>
              <w:tc>
                <w:tcPr>
                  <w:tcW w:w="143" w:type="pct"/>
                  <w:shd w:val="clear" w:color="auto" w:fill="FFFFFF"/>
                  <w:tcMar>
                    <w:top w:w="0" w:type="dxa"/>
                    <w:left w:w="0" w:type="dxa"/>
                    <w:bottom w:w="0" w:type="dxa"/>
                    <w:right w:w="0" w:type="dxa"/>
                  </w:tcMar>
                  <w:vAlign w:val="center"/>
                </w:tcPr>
                <w:p w14:paraId="0C00A6AE">
                  <w:pPr>
                    <w:pStyle w:val="29"/>
                    <w:adjustRightInd w:val="0"/>
                    <w:snapToGrid w:val="0"/>
                    <w:rPr>
                      <w:rFonts w:hint="default" w:ascii="Times New Roman" w:hAnsi="Times New Roman" w:cs="Times New Roman"/>
                    </w:rPr>
                  </w:pPr>
                  <w:r>
                    <w:rPr>
                      <w:rFonts w:hint="default" w:ascii="Times New Roman" w:hAnsi="Times New Roman" w:cs="Times New Roman"/>
                    </w:rPr>
                    <w:t>-41.8</w:t>
                  </w:r>
                </w:p>
              </w:tc>
              <w:tc>
                <w:tcPr>
                  <w:tcW w:w="128" w:type="pct"/>
                  <w:shd w:val="clear" w:color="auto" w:fill="FFFFFF"/>
                  <w:tcMar>
                    <w:top w:w="0" w:type="dxa"/>
                    <w:left w:w="0" w:type="dxa"/>
                    <w:bottom w:w="0" w:type="dxa"/>
                    <w:right w:w="0" w:type="dxa"/>
                  </w:tcMar>
                  <w:vAlign w:val="center"/>
                </w:tcPr>
                <w:p w14:paraId="1007064E">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78898E70">
                  <w:pPr>
                    <w:pStyle w:val="29"/>
                    <w:adjustRightInd w:val="0"/>
                    <w:snapToGrid w:val="0"/>
                    <w:rPr>
                      <w:rFonts w:hint="default" w:ascii="Times New Roman" w:hAnsi="Times New Roman" w:cs="Times New Roman"/>
                    </w:rPr>
                  </w:pPr>
                  <w:r>
                    <w:rPr>
                      <w:rFonts w:hint="default" w:ascii="Times New Roman" w:hAnsi="Times New Roman" w:cs="Times New Roman"/>
                    </w:rPr>
                    <w:t>32.1</w:t>
                  </w:r>
                </w:p>
              </w:tc>
              <w:tc>
                <w:tcPr>
                  <w:tcW w:w="176" w:type="pct"/>
                  <w:shd w:val="clear" w:color="auto" w:fill="FFFFFF"/>
                  <w:tcMar>
                    <w:top w:w="0" w:type="dxa"/>
                    <w:left w:w="0" w:type="dxa"/>
                    <w:bottom w:w="0" w:type="dxa"/>
                    <w:right w:w="0" w:type="dxa"/>
                  </w:tcMar>
                  <w:vAlign w:val="center"/>
                </w:tcPr>
                <w:p w14:paraId="502A500E">
                  <w:pPr>
                    <w:pStyle w:val="29"/>
                    <w:adjustRightInd w:val="0"/>
                    <w:snapToGrid w:val="0"/>
                    <w:rPr>
                      <w:rFonts w:hint="default" w:ascii="Times New Roman" w:hAnsi="Times New Roman" w:cs="Times New Roman"/>
                    </w:rPr>
                  </w:pPr>
                  <w:r>
                    <w:rPr>
                      <w:rFonts w:hint="default" w:ascii="Times New Roman" w:hAnsi="Times New Roman" w:cs="Times New Roman"/>
                    </w:rPr>
                    <w:t>8.8</w:t>
                  </w:r>
                </w:p>
              </w:tc>
              <w:tc>
                <w:tcPr>
                  <w:tcW w:w="176" w:type="pct"/>
                  <w:shd w:val="clear" w:color="auto" w:fill="FFFFFF"/>
                  <w:tcMar>
                    <w:top w:w="0" w:type="dxa"/>
                    <w:left w:w="0" w:type="dxa"/>
                    <w:bottom w:w="0" w:type="dxa"/>
                    <w:right w:w="0" w:type="dxa"/>
                  </w:tcMar>
                  <w:vAlign w:val="center"/>
                </w:tcPr>
                <w:p w14:paraId="024DFC2F">
                  <w:pPr>
                    <w:pStyle w:val="29"/>
                    <w:adjustRightInd w:val="0"/>
                    <w:snapToGrid w:val="0"/>
                    <w:rPr>
                      <w:rFonts w:hint="default" w:ascii="Times New Roman" w:hAnsi="Times New Roman" w:cs="Times New Roman"/>
                    </w:rPr>
                  </w:pPr>
                  <w:r>
                    <w:rPr>
                      <w:rFonts w:hint="default" w:ascii="Times New Roman" w:hAnsi="Times New Roman" w:cs="Times New Roman"/>
                    </w:rPr>
                    <w:t>94.0</w:t>
                  </w:r>
                </w:p>
              </w:tc>
              <w:tc>
                <w:tcPr>
                  <w:tcW w:w="186" w:type="pct"/>
                  <w:shd w:val="clear" w:color="auto" w:fill="FFFFFF"/>
                  <w:tcMar>
                    <w:top w:w="0" w:type="dxa"/>
                    <w:left w:w="0" w:type="dxa"/>
                    <w:bottom w:w="0" w:type="dxa"/>
                    <w:right w:w="0" w:type="dxa"/>
                  </w:tcMar>
                  <w:vAlign w:val="center"/>
                </w:tcPr>
                <w:p w14:paraId="04D05B6A">
                  <w:pPr>
                    <w:pStyle w:val="29"/>
                    <w:adjustRightInd w:val="0"/>
                    <w:snapToGrid w:val="0"/>
                    <w:rPr>
                      <w:rFonts w:hint="default" w:ascii="Times New Roman" w:hAnsi="Times New Roman" w:cs="Times New Roman"/>
                    </w:rPr>
                  </w:pPr>
                  <w:r>
                    <w:rPr>
                      <w:rFonts w:hint="default" w:ascii="Times New Roman" w:hAnsi="Times New Roman" w:cs="Times New Roman"/>
                    </w:rPr>
                    <w:t>8.2</w:t>
                  </w:r>
                </w:p>
              </w:tc>
              <w:tc>
                <w:tcPr>
                  <w:tcW w:w="174" w:type="pct"/>
                  <w:shd w:val="clear" w:color="auto" w:fill="FFFFFF"/>
                  <w:tcMar>
                    <w:top w:w="0" w:type="dxa"/>
                    <w:left w:w="0" w:type="dxa"/>
                    <w:bottom w:w="0" w:type="dxa"/>
                    <w:right w:w="0" w:type="dxa"/>
                  </w:tcMar>
                  <w:vAlign w:val="center"/>
                </w:tcPr>
                <w:p w14:paraId="484F97CC">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75" w:type="pct"/>
                  <w:shd w:val="clear" w:color="auto" w:fill="FFFFFF"/>
                  <w:tcMar>
                    <w:top w:w="0" w:type="dxa"/>
                    <w:left w:w="0" w:type="dxa"/>
                    <w:bottom w:w="0" w:type="dxa"/>
                    <w:right w:w="0" w:type="dxa"/>
                  </w:tcMar>
                  <w:vAlign w:val="center"/>
                </w:tcPr>
                <w:p w14:paraId="307F56FA">
                  <w:pPr>
                    <w:pStyle w:val="29"/>
                    <w:adjustRightInd w:val="0"/>
                    <w:snapToGrid w:val="0"/>
                    <w:rPr>
                      <w:rFonts w:hint="default" w:ascii="Times New Roman" w:hAnsi="Times New Roman" w:cs="Times New Roman"/>
                    </w:rPr>
                  </w:pPr>
                  <w:r>
                    <w:rPr>
                      <w:rFonts w:hint="default" w:ascii="Times New Roman" w:hAnsi="Times New Roman" w:cs="Times New Roman"/>
                    </w:rPr>
                    <w:t>65.4</w:t>
                  </w:r>
                </w:p>
              </w:tc>
              <w:tc>
                <w:tcPr>
                  <w:tcW w:w="175" w:type="pct"/>
                  <w:shd w:val="clear" w:color="auto" w:fill="FFFFFF"/>
                  <w:tcMar>
                    <w:top w:w="0" w:type="dxa"/>
                    <w:left w:w="0" w:type="dxa"/>
                    <w:bottom w:w="0" w:type="dxa"/>
                    <w:right w:w="0" w:type="dxa"/>
                  </w:tcMar>
                  <w:vAlign w:val="center"/>
                </w:tcPr>
                <w:p w14:paraId="20387244">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37" w:type="pct"/>
                  <w:shd w:val="clear" w:color="auto" w:fill="FFFFFF"/>
                  <w:tcMar>
                    <w:top w:w="0" w:type="dxa"/>
                    <w:left w:w="0" w:type="dxa"/>
                    <w:bottom w:w="0" w:type="dxa"/>
                    <w:right w:w="0" w:type="dxa"/>
                  </w:tcMar>
                  <w:vAlign w:val="center"/>
                </w:tcPr>
                <w:p w14:paraId="30844C15">
                  <w:pPr>
                    <w:pStyle w:val="29"/>
                    <w:adjustRightInd w:val="0"/>
                    <w:snapToGrid w:val="0"/>
                    <w:rPr>
                      <w:rFonts w:hint="default" w:ascii="Times New Roman" w:hAnsi="Times New Roman" w:cs="Times New Roman"/>
                    </w:rPr>
                  </w:pPr>
                  <w:r>
                    <w:rPr>
                      <w:rFonts w:hint="default" w:ascii="Times New Roman" w:hAnsi="Times New Roman" w:cs="Times New Roman"/>
                    </w:rPr>
                    <w:t>65.4</w:t>
                  </w:r>
                </w:p>
              </w:tc>
              <w:tc>
                <w:tcPr>
                  <w:tcW w:w="236" w:type="pct"/>
                  <w:shd w:val="clear" w:color="auto" w:fill="FFFFFF"/>
                  <w:tcMar>
                    <w:top w:w="0" w:type="dxa"/>
                    <w:left w:w="0" w:type="dxa"/>
                    <w:bottom w:w="0" w:type="dxa"/>
                    <w:right w:w="0" w:type="dxa"/>
                  </w:tcMar>
                  <w:vAlign w:val="center"/>
                </w:tcPr>
                <w:p w14:paraId="5E679001">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460C500D">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6167ECD2">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6AF515E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5756CC3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7E50690">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86" w:type="pct"/>
                  <w:shd w:val="clear" w:color="auto" w:fill="FFFFFF"/>
                  <w:tcMar>
                    <w:top w:w="0" w:type="dxa"/>
                    <w:left w:w="0" w:type="dxa"/>
                    <w:bottom w:w="0" w:type="dxa"/>
                    <w:right w:w="0" w:type="dxa"/>
                  </w:tcMar>
                  <w:vAlign w:val="center"/>
                </w:tcPr>
                <w:p w14:paraId="68399F12">
                  <w:pPr>
                    <w:pStyle w:val="29"/>
                    <w:adjustRightInd w:val="0"/>
                    <w:snapToGrid w:val="0"/>
                    <w:rPr>
                      <w:rFonts w:hint="default" w:ascii="Times New Roman" w:hAnsi="Times New Roman" w:cs="Times New Roman"/>
                    </w:rPr>
                  </w:pPr>
                  <w:r>
                    <w:rPr>
                      <w:rFonts w:hint="default" w:ascii="Times New Roman" w:hAnsi="Times New Roman" w:cs="Times New Roman"/>
                    </w:rPr>
                    <w:t>56.4</w:t>
                  </w:r>
                </w:p>
              </w:tc>
              <w:tc>
                <w:tcPr>
                  <w:tcW w:w="181" w:type="pct"/>
                  <w:shd w:val="clear" w:color="auto" w:fill="FFFFFF"/>
                  <w:tcMar>
                    <w:top w:w="0" w:type="dxa"/>
                    <w:left w:w="0" w:type="dxa"/>
                    <w:bottom w:w="0" w:type="dxa"/>
                    <w:right w:w="0" w:type="dxa"/>
                  </w:tcMar>
                  <w:vAlign w:val="center"/>
                </w:tcPr>
                <w:p w14:paraId="059870CD">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76" w:type="pct"/>
                  <w:shd w:val="clear" w:color="auto" w:fill="FFFFFF"/>
                  <w:tcMar>
                    <w:top w:w="0" w:type="dxa"/>
                    <w:left w:w="0" w:type="dxa"/>
                    <w:bottom w:w="0" w:type="dxa"/>
                    <w:right w:w="0" w:type="dxa"/>
                  </w:tcMar>
                  <w:vAlign w:val="center"/>
                </w:tcPr>
                <w:p w14:paraId="442C143B">
                  <w:pPr>
                    <w:pStyle w:val="29"/>
                    <w:adjustRightInd w:val="0"/>
                    <w:snapToGrid w:val="0"/>
                    <w:rPr>
                      <w:rFonts w:hint="default" w:ascii="Times New Roman" w:hAnsi="Times New Roman" w:cs="Times New Roman"/>
                    </w:rPr>
                  </w:pPr>
                  <w:r>
                    <w:rPr>
                      <w:rFonts w:hint="default" w:ascii="Times New Roman" w:hAnsi="Times New Roman" w:cs="Times New Roman"/>
                    </w:rPr>
                    <w:t>56.4</w:t>
                  </w:r>
                </w:p>
              </w:tc>
              <w:tc>
                <w:tcPr>
                  <w:tcW w:w="261" w:type="pct"/>
                  <w:shd w:val="clear" w:color="auto" w:fill="FFFFFF"/>
                  <w:tcMar>
                    <w:top w:w="0" w:type="dxa"/>
                    <w:left w:w="0" w:type="dxa"/>
                    <w:bottom w:w="0" w:type="dxa"/>
                    <w:right w:w="0" w:type="dxa"/>
                  </w:tcMar>
                  <w:vAlign w:val="center"/>
                </w:tcPr>
                <w:p w14:paraId="6A10F844">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73F33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3A745A76">
                  <w:pPr>
                    <w:pStyle w:val="29"/>
                    <w:adjustRightInd w:val="0"/>
                    <w:snapToGrid w:val="0"/>
                    <w:rPr>
                      <w:rFonts w:hint="default" w:ascii="Times New Roman" w:hAnsi="Times New Roman" w:cs="Times New Roman"/>
                    </w:rPr>
                  </w:pPr>
                  <w:r>
                    <w:rPr>
                      <w:rFonts w:hint="default" w:ascii="Times New Roman" w:hAnsi="Times New Roman" w:cs="Times New Roman"/>
                    </w:rPr>
                    <w:t>14</w:t>
                  </w:r>
                </w:p>
              </w:tc>
              <w:tc>
                <w:tcPr>
                  <w:tcW w:w="233" w:type="pct"/>
                  <w:vMerge w:val="continue"/>
                  <w:shd w:val="clear" w:color="auto" w:fill="FFFFFF"/>
                  <w:tcMar>
                    <w:top w:w="0" w:type="dxa"/>
                    <w:left w:w="0" w:type="dxa"/>
                    <w:bottom w:w="0" w:type="dxa"/>
                    <w:right w:w="0" w:type="dxa"/>
                  </w:tcMar>
                  <w:vAlign w:val="center"/>
                </w:tcPr>
                <w:p w14:paraId="1CBF3E15">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6FBD5D9A">
                  <w:pPr>
                    <w:pStyle w:val="29"/>
                    <w:adjustRightInd w:val="0"/>
                    <w:snapToGrid w:val="0"/>
                    <w:rPr>
                      <w:rFonts w:hint="default" w:ascii="Times New Roman" w:hAnsi="Times New Roman" w:cs="Times New Roman"/>
                    </w:rPr>
                  </w:pPr>
                  <w:r>
                    <w:rPr>
                      <w:rFonts w:hint="default" w:ascii="Times New Roman" w:hAnsi="Times New Roman" w:cs="Times New Roman"/>
                    </w:rPr>
                    <w:t>单面瓦楞机</w:t>
                  </w:r>
                </w:p>
              </w:tc>
              <w:tc>
                <w:tcPr>
                  <w:tcW w:w="147" w:type="pct"/>
                  <w:shd w:val="clear" w:color="auto" w:fill="FFFFFF"/>
                  <w:tcMar>
                    <w:top w:w="0" w:type="dxa"/>
                    <w:left w:w="0" w:type="dxa"/>
                    <w:bottom w:w="0" w:type="dxa"/>
                    <w:right w:w="0" w:type="dxa"/>
                  </w:tcMar>
                  <w:vAlign w:val="center"/>
                </w:tcPr>
                <w:p w14:paraId="4EBCE311">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3F5FE269">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254" w:type="pct"/>
                  <w:vMerge w:val="continue"/>
                  <w:shd w:val="clear" w:color="auto" w:fill="FFFFFF"/>
                  <w:tcMar>
                    <w:top w:w="0" w:type="dxa"/>
                    <w:left w:w="0" w:type="dxa"/>
                    <w:bottom w:w="0" w:type="dxa"/>
                    <w:right w:w="0" w:type="dxa"/>
                  </w:tcMar>
                  <w:vAlign w:val="center"/>
                </w:tcPr>
                <w:p w14:paraId="5C7DAAD0">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5C0ED124">
                  <w:pPr>
                    <w:pStyle w:val="29"/>
                    <w:adjustRightInd w:val="0"/>
                    <w:snapToGrid w:val="0"/>
                    <w:rPr>
                      <w:rFonts w:hint="default" w:ascii="Times New Roman" w:hAnsi="Times New Roman" w:cs="Times New Roman"/>
                    </w:rPr>
                  </w:pPr>
                  <w:r>
                    <w:rPr>
                      <w:rFonts w:hint="default" w:ascii="Times New Roman" w:hAnsi="Times New Roman" w:cs="Times New Roman"/>
                    </w:rPr>
                    <w:t>74.2</w:t>
                  </w:r>
                </w:p>
              </w:tc>
              <w:tc>
                <w:tcPr>
                  <w:tcW w:w="143" w:type="pct"/>
                  <w:shd w:val="clear" w:color="auto" w:fill="FFFFFF"/>
                  <w:tcMar>
                    <w:top w:w="0" w:type="dxa"/>
                    <w:left w:w="0" w:type="dxa"/>
                    <w:bottom w:w="0" w:type="dxa"/>
                    <w:right w:w="0" w:type="dxa"/>
                  </w:tcMar>
                  <w:vAlign w:val="center"/>
                </w:tcPr>
                <w:p w14:paraId="3F7A3B47">
                  <w:pPr>
                    <w:pStyle w:val="29"/>
                    <w:adjustRightInd w:val="0"/>
                    <w:snapToGrid w:val="0"/>
                    <w:rPr>
                      <w:rFonts w:hint="default" w:ascii="Times New Roman" w:hAnsi="Times New Roman" w:cs="Times New Roman"/>
                    </w:rPr>
                  </w:pPr>
                  <w:r>
                    <w:rPr>
                      <w:rFonts w:hint="default" w:ascii="Times New Roman" w:hAnsi="Times New Roman" w:cs="Times New Roman"/>
                    </w:rPr>
                    <w:t>-39.9</w:t>
                  </w:r>
                </w:p>
              </w:tc>
              <w:tc>
                <w:tcPr>
                  <w:tcW w:w="128" w:type="pct"/>
                  <w:shd w:val="clear" w:color="auto" w:fill="FFFFFF"/>
                  <w:tcMar>
                    <w:top w:w="0" w:type="dxa"/>
                    <w:left w:w="0" w:type="dxa"/>
                    <w:bottom w:w="0" w:type="dxa"/>
                    <w:right w:w="0" w:type="dxa"/>
                  </w:tcMar>
                  <w:vAlign w:val="center"/>
                </w:tcPr>
                <w:p w14:paraId="4F40ED8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08E552FA">
                  <w:pPr>
                    <w:pStyle w:val="29"/>
                    <w:adjustRightInd w:val="0"/>
                    <w:snapToGrid w:val="0"/>
                    <w:rPr>
                      <w:rFonts w:hint="default" w:ascii="Times New Roman" w:hAnsi="Times New Roman" w:cs="Times New Roman"/>
                    </w:rPr>
                  </w:pPr>
                  <w:r>
                    <w:rPr>
                      <w:rFonts w:hint="default" w:ascii="Times New Roman" w:hAnsi="Times New Roman" w:cs="Times New Roman"/>
                    </w:rPr>
                    <w:t>31.5</w:t>
                  </w:r>
                </w:p>
              </w:tc>
              <w:tc>
                <w:tcPr>
                  <w:tcW w:w="176" w:type="pct"/>
                  <w:shd w:val="clear" w:color="auto" w:fill="FFFFFF"/>
                  <w:tcMar>
                    <w:top w:w="0" w:type="dxa"/>
                    <w:left w:w="0" w:type="dxa"/>
                    <w:bottom w:w="0" w:type="dxa"/>
                    <w:right w:w="0" w:type="dxa"/>
                  </w:tcMar>
                  <w:vAlign w:val="center"/>
                </w:tcPr>
                <w:p w14:paraId="60ACE8C1">
                  <w:pPr>
                    <w:pStyle w:val="29"/>
                    <w:adjustRightInd w:val="0"/>
                    <w:snapToGrid w:val="0"/>
                    <w:rPr>
                      <w:rFonts w:hint="default" w:ascii="Times New Roman" w:hAnsi="Times New Roman" w:cs="Times New Roman"/>
                    </w:rPr>
                  </w:pPr>
                  <w:r>
                    <w:rPr>
                      <w:rFonts w:hint="default" w:ascii="Times New Roman" w:hAnsi="Times New Roman" w:cs="Times New Roman"/>
                    </w:rPr>
                    <w:t>11.0</w:t>
                  </w:r>
                </w:p>
              </w:tc>
              <w:tc>
                <w:tcPr>
                  <w:tcW w:w="176" w:type="pct"/>
                  <w:shd w:val="clear" w:color="auto" w:fill="FFFFFF"/>
                  <w:tcMar>
                    <w:top w:w="0" w:type="dxa"/>
                    <w:left w:w="0" w:type="dxa"/>
                    <w:bottom w:w="0" w:type="dxa"/>
                    <w:right w:w="0" w:type="dxa"/>
                  </w:tcMar>
                  <w:vAlign w:val="center"/>
                </w:tcPr>
                <w:p w14:paraId="646A2D32">
                  <w:pPr>
                    <w:pStyle w:val="29"/>
                    <w:adjustRightInd w:val="0"/>
                    <w:snapToGrid w:val="0"/>
                    <w:rPr>
                      <w:rFonts w:hint="default" w:ascii="Times New Roman" w:hAnsi="Times New Roman" w:cs="Times New Roman"/>
                    </w:rPr>
                  </w:pPr>
                  <w:r>
                    <w:rPr>
                      <w:rFonts w:hint="default" w:ascii="Times New Roman" w:hAnsi="Times New Roman" w:cs="Times New Roman"/>
                    </w:rPr>
                    <w:t>94.6</w:t>
                  </w:r>
                </w:p>
              </w:tc>
              <w:tc>
                <w:tcPr>
                  <w:tcW w:w="186" w:type="pct"/>
                  <w:shd w:val="clear" w:color="auto" w:fill="FFFFFF"/>
                  <w:tcMar>
                    <w:top w:w="0" w:type="dxa"/>
                    <w:left w:w="0" w:type="dxa"/>
                    <w:bottom w:w="0" w:type="dxa"/>
                    <w:right w:w="0" w:type="dxa"/>
                  </w:tcMar>
                  <w:vAlign w:val="center"/>
                </w:tcPr>
                <w:p w14:paraId="5854C562">
                  <w:pPr>
                    <w:pStyle w:val="29"/>
                    <w:adjustRightInd w:val="0"/>
                    <w:snapToGrid w:val="0"/>
                    <w:rPr>
                      <w:rFonts w:hint="default" w:ascii="Times New Roman" w:hAnsi="Times New Roman" w:cs="Times New Roman"/>
                    </w:rPr>
                  </w:pPr>
                  <w:r>
                    <w:rPr>
                      <w:rFonts w:hint="default" w:ascii="Times New Roman" w:hAnsi="Times New Roman" w:cs="Times New Roman"/>
                    </w:rPr>
                    <w:t>10.5</w:t>
                  </w:r>
                </w:p>
              </w:tc>
              <w:tc>
                <w:tcPr>
                  <w:tcW w:w="174" w:type="pct"/>
                  <w:shd w:val="clear" w:color="auto" w:fill="FFFFFF"/>
                  <w:tcMar>
                    <w:top w:w="0" w:type="dxa"/>
                    <w:left w:w="0" w:type="dxa"/>
                    <w:bottom w:w="0" w:type="dxa"/>
                    <w:right w:w="0" w:type="dxa"/>
                  </w:tcMar>
                  <w:vAlign w:val="center"/>
                </w:tcPr>
                <w:p w14:paraId="472521DC">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75" w:type="pct"/>
                  <w:shd w:val="clear" w:color="auto" w:fill="FFFFFF"/>
                  <w:tcMar>
                    <w:top w:w="0" w:type="dxa"/>
                    <w:left w:w="0" w:type="dxa"/>
                    <w:bottom w:w="0" w:type="dxa"/>
                    <w:right w:w="0" w:type="dxa"/>
                  </w:tcMar>
                  <w:vAlign w:val="center"/>
                </w:tcPr>
                <w:p w14:paraId="7690C5EB">
                  <w:pPr>
                    <w:pStyle w:val="29"/>
                    <w:adjustRightInd w:val="0"/>
                    <w:snapToGrid w:val="0"/>
                    <w:rPr>
                      <w:rFonts w:hint="default" w:ascii="Times New Roman" w:hAnsi="Times New Roman" w:cs="Times New Roman"/>
                    </w:rPr>
                  </w:pPr>
                  <w:r>
                    <w:rPr>
                      <w:rFonts w:hint="default" w:ascii="Times New Roman" w:hAnsi="Times New Roman" w:cs="Times New Roman"/>
                    </w:rPr>
                    <w:t>65.3</w:t>
                  </w:r>
                </w:p>
              </w:tc>
              <w:tc>
                <w:tcPr>
                  <w:tcW w:w="175" w:type="pct"/>
                  <w:shd w:val="clear" w:color="auto" w:fill="FFFFFF"/>
                  <w:tcMar>
                    <w:top w:w="0" w:type="dxa"/>
                    <w:left w:w="0" w:type="dxa"/>
                    <w:bottom w:w="0" w:type="dxa"/>
                    <w:right w:w="0" w:type="dxa"/>
                  </w:tcMar>
                  <w:vAlign w:val="center"/>
                </w:tcPr>
                <w:p w14:paraId="2B05AFC6">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37" w:type="pct"/>
                  <w:shd w:val="clear" w:color="auto" w:fill="FFFFFF"/>
                  <w:tcMar>
                    <w:top w:w="0" w:type="dxa"/>
                    <w:left w:w="0" w:type="dxa"/>
                    <w:bottom w:w="0" w:type="dxa"/>
                    <w:right w:w="0" w:type="dxa"/>
                  </w:tcMar>
                  <w:vAlign w:val="center"/>
                </w:tcPr>
                <w:p w14:paraId="14350BE2">
                  <w:pPr>
                    <w:pStyle w:val="29"/>
                    <w:adjustRightInd w:val="0"/>
                    <w:snapToGrid w:val="0"/>
                    <w:rPr>
                      <w:rFonts w:hint="default" w:ascii="Times New Roman" w:hAnsi="Times New Roman" w:cs="Times New Roman"/>
                    </w:rPr>
                  </w:pPr>
                  <w:r>
                    <w:rPr>
                      <w:rFonts w:hint="default" w:ascii="Times New Roman" w:hAnsi="Times New Roman" w:cs="Times New Roman"/>
                    </w:rPr>
                    <w:t>65.3</w:t>
                  </w:r>
                </w:p>
              </w:tc>
              <w:tc>
                <w:tcPr>
                  <w:tcW w:w="236" w:type="pct"/>
                  <w:shd w:val="clear" w:color="auto" w:fill="FFFFFF"/>
                  <w:tcMar>
                    <w:top w:w="0" w:type="dxa"/>
                    <w:left w:w="0" w:type="dxa"/>
                    <w:bottom w:w="0" w:type="dxa"/>
                    <w:right w:w="0" w:type="dxa"/>
                  </w:tcMar>
                  <w:vAlign w:val="center"/>
                </w:tcPr>
                <w:p w14:paraId="5215A57B">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237A4B5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25A9BC93">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BB4170F">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46E59B7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718A6910">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86" w:type="pct"/>
                  <w:shd w:val="clear" w:color="auto" w:fill="FFFFFF"/>
                  <w:tcMar>
                    <w:top w:w="0" w:type="dxa"/>
                    <w:left w:w="0" w:type="dxa"/>
                    <w:bottom w:w="0" w:type="dxa"/>
                    <w:right w:w="0" w:type="dxa"/>
                  </w:tcMar>
                  <w:vAlign w:val="center"/>
                </w:tcPr>
                <w:p w14:paraId="65ED9188">
                  <w:pPr>
                    <w:pStyle w:val="29"/>
                    <w:adjustRightInd w:val="0"/>
                    <w:snapToGrid w:val="0"/>
                    <w:rPr>
                      <w:rFonts w:hint="default" w:ascii="Times New Roman" w:hAnsi="Times New Roman" w:cs="Times New Roman"/>
                    </w:rPr>
                  </w:pPr>
                  <w:r>
                    <w:rPr>
                      <w:rFonts w:hint="default" w:ascii="Times New Roman" w:hAnsi="Times New Roman" w:cs="Times New Roman"/>
                    </w:rPr>
                    <w:t>56.3</w:t>
                  </w:r>
                </w:p>
              </w:tc>
              <w:tc>
                <w:tcPr>
                  <w:tcW w:w="181" w:type="pct"/>
                  <w:shd w:val="clear" w:color="auto" w:fill="FFFFFF"/>
                  <w:tcMar>
                    <w:top w:w="0" w:type="dxa"/>
                    <w:left w:w="0" w:type="dxa"/>
                    <w:bottom w:w="0" w:type="dxa"/>
                    <w:right w:w="0" w:type="dxa"/>
                  </w:tcMar>
                  <w:vAlign w:val="center"/>
                </w:tcPr>
                <w:p w14:paraId="65F4FF05">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76" w:type="pct"/>
                  <w:shd w:val="clear" w:color="auto" w:fill="FFFFFF"/>
                  <w:tcMar>
                    <w:top w:w="0" w:type="dxa"/>
                    <w:left w:w="0" w:type="dxa"/>
                    <w:bottom w:w="0" w:type="dxa"/>
                    <w:right w:w="0" w:type="dxa"/>
                  </w:tcMar>
                  <w:vAlign w:val="center"/>
                </w:tcPr>
                <w:p w14:paraId="02E8633F">
                  <w:pPr>
                    <w:pStyle w:val="29"/>
                    <w:adjustRightInd w:val="0"/>
                    <w:snapToGrid w:val="0"/>
                    <w:rPr>
                      <w:rFonts w:hint="default" w:ascii="Times New Roman" w:hAnsi="Times New Roman" w:cs="Times New Roman"/>
                    </w:rPr>
                  </w:pPr>
                  <w:r>
                    <w:rPr>
                      <w:rFonts w:hint="default" w:ascii="Times New Roman" w:hAnsi="Times New Roman" w:cs="Times New Roman"/>
                    </w:rPr>
                    <w:t>56.3</w:t>
                  </w:r>
                </w:p>
              </w:tc>
              <w:tc>
                <w:tcPr>
                  <w:tcW w:w="261" w:type="pct"/>
                  <w:shd w:val="clear" w:color="auto" w:fill="FFFFFF"/>
                  <w:tcMar>
                    <w:top w:w="0" w:type="dxa"/>
                    <w:left w:w="0" w:type="dxa"/>
                    <w:bottom w:w="0" w:type="dxa"/>
                    <w:right w:w="0" w:type="dxa"/>
                  </w:tcMar>
                  <w:vAlign w:val="center"/>
                </w:tcPr>
                <w:p w14:paraId="2834281A">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07D6C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55171A4F">
                  <w:pPr>
                    <w:pStyle w:val="29"/>
                    <w:adjustRightInd w:val="0"/>
                    <w:snapToGrid w:val="0"/>
                    <w:rPr>
                      <w:rFonts w:hint="default" w:ascii="Times New Roman" w:hAnsi="Times New Roman" w:cs="Times New Roman"/>
                    </w:rPr>
                  </w:pPr>
                  <w:r>
                    <w:rPr>
                      <w:rFonts w:hint="default" w:ascii="Times New Roman" w:hAnsi="Times New Roman" w:cs="Times New Roman"/>
                    </w:rPr>
                    <w:t>15</w:t>
                  </w:r>
                </w:p>
              </w:tc>
              <w:tc>
                <w:tcPr>
                  <w:tcW w:w="233" w:type="pct"/>
                  <w:vMerge w:val="continue"/>
                  <w:shd w:val="clear" w:color="auto" w:fill="FFFFFF"/>
                  <w:tcMar>
                    <w:top w:w="0" w:type="dxa"/>
                    <w:left w:w="0" w:type="dxa"/>
                    <w:bottom w:w="0" w:type="dxa"/>
                    <w:right w:w="0" w:type="dxa"/>
                  </w:tcMar>
                  <w:vAlign w:val="center"/>
                </w:tcPr>
                <w:p w14:paraId="72592755">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6146D187">
                  <w:pPr>
                    <w:pStyle w:val="29"/>
                    <w:adjustRightInd w:val="0"/>
                    <w:snapToGrid w:val="0"/>
                    <w:rPr>
                      <w:rFonts w:hint="default" w:ascii="Times New Roman" w:hAnsi="Times New Roman" w:cs="Times New Roman"/>
                    </w:rPr>
                  </w:pPr>
                  <w:r>
                    <w:rPr>
                      <w:rFonts w:hint="default" w:ascii="Times New Roman" w:hAnsi="Times New Roman" w:cs="Times New Roman"/>
                    </w:rPr>
                    <w:t>加热钢1</w:t>
                  </w:r>
                </w:p>
              </w:tc>
              <w:tc>
                <w:tcPr>
                  <w:tcW w:w="147" w:type="pct"/>
                  <w:shd w:val="clear" w:color="auto" w:fill="FFFFFF"/>
                  <w:tcMar>
                    <w:top w:w="0" w:type="dxa"/>
                    <w:left w:w="0" w:type="dxa"/>
                    <w:bottom w:w="0" w:type="dxa"/>
                    <w:right w:w="0" w:type="dxa"/>
                  </w:tcMar>
                  <w:vAlign w:val="center"/>
                </w:tcPr>
                <w:p w14:paraId="74E10660">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77BE8503">
                  <w:pPr>
                    <w:pStyle w:val="29"/>
                    <w:adjustRightInd w:val="0"/>
                    <w:snapToGrid w:val="0"/>
                    <w:rPr>
                      <w:rFonts w:hint="default" w:ascii="Times New Roman" w:hAnsi="Times New Roman" w:cs="Times New Roman"/>
                    </w:rPr>
                  </w:pPr>
                  <w:r>
                    <w:rPr>
                      <w:rFonts w:hint="default" w:ascii="Times New Roman" w:hAnsi="Times New Roman" w:cs="Times New Roman"/>
                    </w:rPr>
                    <w:t>70</w:t>
                  </w:r>
                </w:p>
              </w:tc>
              <w:tc>
                <w:tcPr>
                  <w:tcW w:w="254" w:type="pct"/>
                  <w:vMerge w:val="continue"/>
                  <w:shd w:val="clear" w:color="auto" w:fill="FFFFFF"/>
                  <w:tcMar>
                    <w:top w:w="0" w:type="dxa"/>
                    <w:left w:w="0" w:type="dxa"/>
                    <w:bottom w:w="0" w:type="dxa"/>
                    <w:right w:w="0" w:type="dxa"/>
                  </w:tcMar>
                  <w:vAlign w:val="center"/>
                </w:tcPr>
                <w:p w14:paraId="6301B2E8">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533960FF">
                  <w:pPr>
                    <w:pStyle w:val="29"/>
                    <w:adjustRightInd w:val="0"/>
                    <w:snapToGrid w:val="0"/>
                    <w:rPr>
                      <w:rFonts w:hint="default" w:ascii="Times New Roman" w:hAnsi="Times New Roman" w:cs="Times New Roman"/>
                    </w:rPr>
                  </w:pPr>
                  <w:r>
                    <w:rPr>
                      <w:rFonts w:hint="default" w:ascii="Times New Roman" w:hAnsi="Times New Roman" w:cs="Times New Roman"/>
                    </w:rPr>
                    <w:t>62.4</w:t>
                  </w:r>
                </w:p>
              </w:tc>
              <w:tc>
                <w:tcPr>
                  <w:tcW w:w="143" w:type="pct"/>
                  <w:shd w:val="clear" w:color="auto" w:fill="FFFFFF"/>
                  <w:tcMar>
                    <w:top w:w="0" w:type="dxa"/>
                    <w:left w:w="0" w:type="dxa"/>
                    <w:bottom w:w="0" w:type="dxa"/>
                    <w:right w:w="0" w:type="dxa"/>
                  </w:tcMar>
                  <w:vAlign w:val="center"/>
                </w:tcPr>
                <w:p w14:paraId="5B4AF3FF">
                  <w:pPr>
                    <w:pStyle w:val="29"/>
                    <w:adjustRightInd w:val="0"/>
                    <w:snapToGrid w:val="0"/>
                    <w:rPr>
                      <w:rFonts w:hint="default" w:ascii="Times New Roman" w:hAnsi="Times New Roman" w:cs="Times New Roman"/>
                    </w:rPr>
                  </w:pPr>
                  <w:r>
                    <w:rPr>
                      <w:rFonts w:hint="default" w:ascii="Times New Roman" w:hAnsi="Times New Roman" w:cs="Times New Roman"/>
                    </w:rPr>
                    <w:t>-40.6</w:t>
                  </w:r>
                </w:p>
              </w:tc>
              <w:tc>
                <w:tcPr>
                  <w:tcW w:w="128" w:type="pct"/>
                  <w:shd w:val="clear" w:color="auto" w:fill="FFFFFF"/>
                  <w:tcMar>
                    <w:top w:w="0" w:type="dxa"/>
                    <w:left w:w="0" w:type="dxa"/>
                    <w:bottom w:w="0" w:type="dxa"/>
                    <w:right w:w="0" w:type="dxa"/>
                  </w:tcMar>
                  <w:vAlign w:val="center"/>
                </w:tcPr>
                <w:p w14:paraId="657F63E9">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6328DF86">
                  <w:pPr>
                    <w:pStyle w:val="29"/>
                    <w:adjustRightInd w:val="0"/>
                    <w:snapToGrid w:val="0"/>
                    <w:rPr>
                      <w:rFonts w:hint="default" w:ascii="Times New Roman" w:hAnsi="Times New Roman" w:cs="Times New Roman"/>
                    </w:rPr>
                  </w:pPr>
                  <w:r>
                    <w:rPr>
                      <w:rFonts w:hint="default" w:ascii="Times New Roman" w:hAnsi="Times New Roman" w:cs="Times New Roman"/>
                    </w:rPr>
                    <w:t>43.1</w:t>
                  </w:r>
                </w:p>
              </w:tc>
              <w:tc>
                <w:tcPr>
                  <w:tcW w:w="176" w:type="pct"/>
                  <w:shd w:val="clear" w:color="auto" w:fill="FFFFFF"/>
                  <w:tcMar>
                    <w:top w:w="0" w:type="dxa"/>
                    <w:left w:w="0" w:type="dxa"/>
                    <w:bottom w:w="0" w:type="dxa"/>
                    <w:right w:w="0" w:type="dxa"/>
                  </w:tcMar>
                  <w:vAlign w:val="center"/>
                </w:tcPr>
                <w:p w14:paraId="3213F784">
                  <w:pPr>
                    <w:pStyle w:val="29"/>
                    <w:adjustRightInd w:val="0"/>
                    <w:snapToGrid w:val="0"/>
                    <w:rPr>
                      <w:rFonts w:hint="default" w:ascii="Times New Roman" w:hAnsi="Times New Roman" w:cs="Times New Roman"/>
                    </w:rPr>
                  </w:pPr>
                  <w:r>
                    <w:rPr>
                      <w:rFonts w:hint="default" w:ascii="Times New Roman" w:hAnsi="Times New Roman" w:cs="Times New Roman"/>
                    </w:rPr>
                    <w:t>5.8</w:t>
                  </w:r>
                </w:p>
              </w:tc>
              <w:tc>
                <w:tcPr>
                  <w:tcW w:w="176" w:type="pct"/>
                  <w:shd w:val="clear" w:color="auto" w:fill="FFFFFF"/>
                  <w:tcMar>
                    <w:top w:w="0" w:type="dxa"/>
                    <w:left w:w="0" w:type="dxa"/>
                    <w:bottom w:w="0" w:type="dxa"/>
                    <w:right w:w="0" w:type="dxa"/>
                  </w:tcMar>
                  <w:vAlign w:val="center"/>
                </w:tcPr>
                <w:p w14:paraId="430B42A4">
                  <w:pPr>
                    <w:pStyle w:val="29"/>
                    <w:adjustRightInd w:val="0"/>
                    <w:snapToGrid w:val="0"/>
                    <w:rPr>
                      <w:rFonts w:hint="default" w:ascii="Times New Roman" w:hAnsi="Times New Roman" w:cs="Times New Roman"/>
                    </w:rPr>
                  </w:pPr>
                  <w:r>
                    <w:rPr>
                      <w:rFonts w:hint="default" w:ascii="Times New Roman" w:hAnsi="Times New Roman" w:cs="Times New Roman"/>
                    </w:rPr>
                    <w:t>83.0</w:t>
                  </w:r>
                </w:p>
              </w:tc>
              <w:tc>
                <w:tcPr>
                  <w:tcW w:w="186" w:type="pct"/>
                  <w:shd w:val="clear" w:color="auto" w:fill="FFFFFF"/>
                  <w:tcMar>
                    <w:top w:w="0" w:type="dxa"/>
                    <w:left w:w="0" w:type="dxa"/>
                    <w:bottom w:w="0" w:type="dxa"/>
                    <w:right w:w="0" w:type="dxa"/>
                  </w:tcMar>
                  <w:vAlign w:val="center"/>
                </w:tcPr>
                <w:p w14:paraId="2208768E">
                  <w:pPr>
                    <w:pStyle w:val="29"/>
                    <w:adjustRightInd w:val="0"/>
                    <w:snapToGrid w:val="0"/>
                    <w:rPr>
                      <w:rFonts w:hint="default" w:ascii="Times New Roman" w:hAnsi="Times New Roman" w:cs="Times New Roman"/>
                    </w:rPr>
                  </w:pPr>
                  <w:r>
                    <w:rPr>
                      <w:rFonts w:hint="default" w:ascii="Times New Roman" w:hAnsi="Times New Roman" w:cs="Times New Roman"/>
                    </w:rPr>
                    <w:t>5.2</w:t>
                  </w:r>
                </w:p>
              </w:tc>
              <w:tc>
                <w:tcPr>
                  <w:tcW w:w="174" w:type="pct"/>
                  <w:shd w:val="clear" w:color="auto" w:fill="FFFFFF"/>
                  <w:tcMar>
                    <w:top w:w="0" w:type="dxa"/>
                    <w:left w:w="0" w:type="dxa"/>
                    <w:bottom w:w="0" w:type="dxa"/>
                    <w:right w:w="0" w:type="dxa"/>
                  </w:tcMar>
                  <w:vAlign w:val="center"/>
                </w:tcPr>
                <w:p w14:paraId="39B8EB6B">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062C4CCE">
                  <w:pPr>
                    <w:pStyle w:val="29"/>
                    <w:adjustRightInd w:val="0"/>
                    <w:snapToGrid w:val="0"/>
                    <w:rPr>
                      <w:rFonts w:hint="default" w:ascii="Times New Roman" w:hAnsi="Times New Roman" w:cs="Times New Roman"/>
                    </w:rPr>
                  </w:pPr>
                  <w:r>
                    <w:rPr>
                      <w:rFonts w:hint="default" w:ascii="Times New Roman" w:hAnsi="Times New Roman" w:cs="Times New Roman"/>
                    </w:rPr>
                    <w:t>45.5</w:t>
                  </w:r>
                </w:p>
              </w:tc>
              <w:tc>
                <w:tcPr>
                  <w:tcW w:w="175" w:type="pct"/>
                  <w:shd w:val="clear" w:color="auto" w:fill="FFFFFF"/>
                  <w:tcMar>
                    <w:top w:w="0" w:type="dxa"/>
                    <w:left w:w="0" w:type="dxa"/>
                    <w:bottom w:w="0" w:type="dxa"/>
                    <w:right w:w="0" w:type="dxa"/>
                  </w:tcMar>
                  <w:vAlign w:val="center"/>
                </w:tcPr>
                <w:p w14:paraId="6C8B21A5">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3096BA97">
                  <w:pPr>
                    <w:pStyle w:val="29"/>
                    <w:adjustRightInd w:val="0"/>
                    <w:snapToGrid w:val="0"/>
                    <w:rPr>
                      <w:rFonts w:hint="default" w:ascii="Times New Roman" w:hAnsi="Times New Roman" w:cs="Times New Roman"/>
                    </w:rPr>
                  </w:pPr>
                  <w:r>
                    <w:rPr>
                      <w:rFonts w:hint="default" w:ascii="Times New Roman" w:hAnsi="Times New Roman" w:cs="Times New Roman"/>
                    </w:rPr>
                    <w:t>45.6</w:t>
                  </w:r>
                </w:p>
              </w:tc>
              <w:tc>
                <w:tcPr>
                  <w:tcW w:w="236" w:type="pct"/>
                  <w:shd w:val="clear" w:color="auto" w:fill="FFFFFF"/>
                  <w:tcMar>
                    <w:top w:w="0" w:type="dxa"/>
                    <w:left w:w="0" w:type="dxa"/>
                    <w:bottom w:w="0" w:type="dxa"/>
                    <w:right w:w="0" w:type="dxa"/>
                  </w:tcMar>
                  <w:vAlign w:val="center"/>
                </w:tcPr>
                <w:p w14:paraId="2181123E">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6FA590C3">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3DAF8A8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262BA2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708C6B3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55F92EC3">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6" w:type="pct"/>
                  <w:shd w:val="clear" w:color="auto" w:fill="FFFFFF"/>
                  <w:tcMar>
                    <w:top w:w="0" w:type="dxa"/>
                    <w:left w:w="0" w:type="dxa"/>
                    <w:bottom w:w="0" w:type="dxa"/>
                    <w:right w:w="0" w:type="dxa"/>
                  </w:tcMar>
                  <w:vAlign w:val="center"/>
                </w:tcPr>
                <w:p w14:paraId="5383C156">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1" w:type="pct"/>
                  <w:shd w:val="clear" w:color="auto" w:fill="FFFFFF"/>
                  <w:tcMar>
                    <w:top w:w="0" w:type="dxa"/>
                    <w:left w:w="0" w:type="dxa"/>
                    <w:bottom w:w="0" w:type="dxa"/>
                    <w:right w:w="0" w:type="dxa"/>
                  </w:tcMar>
                  <w:vAlign w:val="center"/>
                </w:tcPr>
                <w:p w14:paraId="009CD990">
                  <w:pPr>
                    <w:pStyle w:val="29"/>
                    <w:adjustRightInd w:val="0"/>
                    <w:snapToGrid w:val="0"/>
                    <w:rPr>
                      <w:rFonts w:hint="default" w:ascii="Times New Roman" w:hAnsi="Times New Roman" w:cs="Times New Roman"/>
                    </w:rPr>
                  </w:pPr>
                  <w:r>
                    <w:rPr>
                      <w:rFonts w:hint="default" w:ascii="Times New Roman" w:hAnsi="Times New Roman" w:cs="Times New Roman"/>
                    </w:rPr>
                    <w:t>51.2</w:t>
                  </w:r>
                </w:p>
              </w:tc>
              <w:tc>
                <w:tcPr>
                  <w:tcW w:w="176" w:type="pct"/>
                  <w:shd w:val="clear" w:color="auto" w:fill="FFFFFF"/>
                  <w:tcMar>
                    <w:top w:w="0" w:type="dxa"/>
                    <w:left w:w="0" w:type="dxa"/>
                    <w:bottom w:w="0" w:type="dxa"/>
                    <w:right w:w="0" w:type="dxa"/>
                  </w:tcMar>
                  <w:vAlign w:val="center"/>
                </w:tcPr>
                <w:p w14:paraId="1C530A35">
                  <w:pPr>
                    <w:pStyle w:val="29"/>
                    <w:adjustRightInd w:val="0"/>
                    <w:snapToGrid w:val="0"/>
                    <w:rPr>
                      <w:rFonts w:hint="default" w:ascii="Times New Roman" w:hAnsi="Times New Roman" w:cs="Times New Roman"/>
                    </w:rPr>
                  </w:pPr>
                  <w:r>
                    <w:rPr>
                      <w:rFonts w:hint="default" w:ascii="Times New Roman" w:hAnsi="Times New Roman" w:cs="Times New Roman"/>
                    </w:rPr>
                    <w:t>51.4</w:t>
                  </w:r>
                </w:p>
              </w:tc>
              <w:tc>
                <w:tcPr>
                  <w:tcW w:w="261" w:type="pct"/>
                  <w:shd w:val="clear" w:color="auto" w:fill="FFFFFF"/>
                  <w:tcMar>
                    <w:top w:w="0" w:type="dxa"/>
                    <w:left w:w="0" w:type="dxa"/>
                    <w:bottom w:w="0" w:type="dxa"/>
                    <w:right w:w="0" w:type="dxa"/>
                  </w:tcMar>
                  <w:vAlign w:val="center"/>
                </w:tcPr>
                <w:p w14:paraId="38BB6321">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05831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54942572">
                  <w:pPr>
                    <w:pStyle w:val="29"/>
                    <w:adjustRightInd w:val="0"/>
                    <w:snapToGrid w:val="0"/>
                    <w:rPr>
                      <w:rFonts w:hint="default" w:ascii="Times New Roman" w:hAnsi="Times New Roman" w:cs="Times New Roman"/>
                    </w:rPr>
                  </w:pPr>
                  <w:r>
                    <w:rPr>
                      <w:rFonts w:hint="default" w:ascii="Times New Roman" w:hAnsi="Times New Roman" w:cs="Times New Roman"/>
                    </w:rPr>
                    <w:t>16</w:t>
                  </w:r>
                </w:p>
              </w:tc>
              <w:tc>
                <w:tcPr>
                  <w:tcW w:w="233" w:type="pct"/>
                  <w:vMerge w:val="continue"/>
                  <w:shd w:val="clear" w:color="auto" w:fill="FFFFFF"/>
                  <w:tcMar>
                    <w:top w:w="0" w:type="dxa"/>
                    <w:left w:w="0" w:type="dxa"/>
                    <w:bottom w:w="0" w:type="dxa"/>
                    <w:right w:w="0" w:type="dxa"/>
                  </w:tcMar>
                  <w:vAlign w:val="center"/>
                </w:tcPr>
                <w:p w14:paraId="526D6041">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49126F49">
                  <w:pPr>
                    <w:pStyle w:val="29"/>
                    <w:adjustRightInd w:val="0"/>
                    <w:snapToGrid w:val="0"/>
                    <w:rPr>
                      <w:rFonts w:hint="default" w:ascii="Times New Roman" w:hAnsi="Times New Roman" w:cs="Times New Roman"/>
                    </w:rPr>
                  </w:pPr>
                  <w:r>
                    <w:rPr>
                      <w:rFonts w:hint="default" w:ascii="Times New Roman" w:hAnsi="Times New Roman" w:cs="Times New Roman"/>
                    </w:rPr>
                    <w:t>加热钢2</w:t>
                  </w:r>
                </w:p>
              </w:tc>
              <w:tc>
                <w:tcPr>
                  <w:tcW w:w="147" w:type="pct"/>
                  <w:shd w:val="clear" w:color="auto" w:fill="FFFFFF"/>
                  <w:tcMar>
                    <w:top w:w="0" w:type="dxa"/>
                    <w:left w:w="0" w:type="dxa"/>
                    <w:bottom w:w="0" w:type="dxa"/>
                    <w:right w:w="0" w:type="dxa"/>
                  </w:tcMar>
                  <w:vAlign w:val="center"/>
                </w:tcPr>
                <w:p w14:paraId="63441CE8">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4715E4DF">
                  <w:pPr>
                    <w:pStyle w:val="29"/>
                    <w:adjustRightInd w:val="0"/>
                    <w:snapToGrid w:val="0"/>
                    <w:rPr>
                      <w:rFonts w:hint="default" w:ascii="Times New Roman" w:hAnsi="Times New Roman" w:cs="Times New Roman"/>
                    </w:rPr>
                  </w:pPr>
                  <w:r>
                    <w:rPr>
                      <w:rFonts w:hint="default" w:ascii="Times New Roman" w:hAnsi="Times New Roman" w:cs="Times New Roman"/>
                    </w:rPr>
                    <w:t>70</w:t>
                  </w:r>
                </w:p>
              </w:tc>
              <w:tc>
                <w:tcPr>
                  <w:tcW w:w="254" w:type="pct"/>
                  <w:vMerge w:val="continue"/>
                  <w:shd w:val="clear" w:color="auto" w:fill="FFFFFF"/>
                  <w:tcMar>
                    <w:top w:w="0" w:type="dxa"/>
                    <w:left w:w="0" w:type="dxa"/>
                    <w:bottom w:w="0" w:type="dxa"/>
                    <w:right w:w="0" w:type="dxa"/>
                  </w:tcMar>
                  <w:vAlign w:val="center"/>
                </w:tcPr>
                <w:p w14:paraId="2DFA0AC4">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6C7BCD2E">
                  <w:pPr>
                    <w:pStyle w:val="29"/>
                    <w:adjustRightInd w:val="0"/>
                    <w:snapToGrid w:val="0"/>
                    <w:rPr>
                      <w:rFonts w:hint="default" w:ascii="Times New Roman" w:hAnsi="Times New Roman" w:cs="Times New Roman"/>
                    </w:rPr>
                  </w:pPr>
                  <w:r>
                    <w:rPr>
                      <w:rFonts w:hint="default" w:ascii="Times New Roman" w:hAnsi="Times New Roman" w:cs="Times New Roman"/>
                    </w:rPr>
                    <w:t>63.7</w:t>
                  </w:r>
                </w:p>
              </w:tc>
              <w:tc>
                <w:tcPr>
                  <w:tcW w:w="143" w:type="pct"/>
                  <w:shd w:val="clear" w:color="auto" w:fill="FFFFFF"/>
                  <w:tcMar>
                    <w:top w:w="0" w:type="dxa"/>
                    <w:left w:w="0" w:type="dxa"/>
                    <w:bottom w:w="0" w:type="dxa"/>
                    <w:right w:w="0" w:type="dxa"/>
                  </w:tcMar>
                  <w:vAlign w:val="center"/>
                </w:tcPr>
                <w:p w14:paraId="647B3E97">
                  <w:pPr>
                    <w:pStyle w:val="29"/>
                    <w:adjustRightInd w:val="0"/>
                    <w:snapToGrid w:val="0"/>
                    <w:rPr>
                      <w:rFonts w:hint="default" w:ascii="Times New Roman" w:hAnsi="Times New Roman" w:cs="Times New Roman"/>
                    </w:rPr>
                  </w:pPr>
                  <w:r>
                    <w:rPr>
                      <w:rFonts w:hint="default" w:ascii="Times New Roman" w:hAnsi="Times New Roman" w:cs="Times New Roman"/>
                    </w:rPr>
                    <w:t>-38.2</w:t>
                  </w:r>
                </w:p>
              </w:tc>
              <w:tc>
                <w:tcPr>
                  <w:tcW w:w="128" w:type="pct"/>
                  <w:shd w:val="clear" w:color="auto" w:fill="FFFFFF"/>
                  <w:tcMar>
                    <w:top w:w="0" w:type="dxa"/>
                    <w:left w:w="0" w:type="dxa"/>
                    <w:bottom w:w="0" w:type="dxa"/>
                    <w:right w:w="0" w:type="dxa"/>
                  </w:tcMar>
                  <w:vAlign w:val="center"/>
                </w:tcPr>
                <w:p w14:paraId="671D21D0">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63A7052C">
                  <w:pPr>
                    <w:pStyle w:val="29"/>
                    <w:adjustRightInd w:val="0"/>
                    <w:snapToGrid w:val="0"/>
                    <w:rPr>
                      <w:rFonts w:hint="default" w:ascii="Times New Roman" w:hAnsi="Times New Roman" w:cs="Times New Roman"/>
                    </w:rPr>
                  </w:pPr>
                  <w:r>
                    <w:rPr>
                      <w:rFonts w:hint="default" w:ascii="Times New Roman" w:hAnsi="Times New Roman" w:cs="Times New Roman"/>
                    </w:rPr>
                    <w:t>42.7</w:t>
                  </w:r>
                </w:p>
              </w:tc>
              <w:tc>
                <w:tcPr>
                  <w:tcW w:w="176" w:type="pct"/>
                  <w:shd w:val="clear" w:color="auto" w:fill="FFFFFF"/>
                  <w:tcMar>
                    <w:top w:w="0" w:type="dxa"/>
                    <w:left w:w="0" w:type="dxa"/>
                    <w:bottom w:w="0" w:type="dxa"/>
                    <w:right w:w="0" w:type="dxa"/>
                  </w:tcMar>
                  <w:vAlign w:val="center"/>
                </w:tcPr>
                <w:p w14:paraId="197E564F">
                  <w:pPr>
                    <w:pStyle w:val="29"/>
                    <w:adjustRightInd w:val="0"/>
                    <w:snapToGrid w:val="0"/>
                    <w:rPr>
                      <w:rFonts w:hint="default" w:ascii="Times New Roman" w:hAnsi="Times New Roman" w:cs="Times New Roman"/>
                    </w:rPr>
                  </w:pPr>
                  <w:r>
                    <w:rPr>
                      <w:rFonts w:hint="default" w:ascii="Times New Roman" w:hAnsi="Times New Roman" w:cs="Times New Roman"/>
                    </w:rPr>
                    <w:t>8.5</w:t>
                  </w:r>
                </w:p>
              </w:tc>
              <w:tc>
                <w:tcPr>
                  <w:tcW w:w="176" w:type="pct"/>
                  <w:shd w:val="clear" w:color="auto" w:fill="FFFFFF"/>
                  <w:tcMar>
                    <w:top w:w="0" w:type="dxa"/>
                    <w:left w:w="0" w:type="dxa"/>
                    <w:bottom w:w="0" w:type="dxa"/>
                    <w:right w:w="0" w:type="dxa"/>
                  </w:tcMar>
                  <w:vAlign w:val="center"/>
                </w:tcPr>
                <w:p w14:paraId="1EC1C8B4">
                  <w:pPr>
                    <w:pStyle w:val="29"/>
                    <w:adjustRightInd w:val="0"/>
                    <w:snapToGrid w:val="0"/>
                    <w:rPr>
                      <w:rFonts w:hint="default" w:ascii="Times New Roman" w:hAnsi="Times New Roman" w:cs="Times New Roman"/>
                    </w:rPr>
                  </w:pPr>
                  <w:r>
                    <w:rPr>
                      <w:rFonts w:hint="default" w:ascii="Times New Roman" w:hAnsi="Times New Roman" w:cs="Times New Roman"/>
                    </w:rPr>
                    <w:t>83.4</w:t>
                  </w:r>
                </w:p>
              </w:tc>
              <w:tc>
                <w:tcPr>
                  <w:tcW w:w="186" w:type="pct"/>
                  <w:shd w:val="clear" w:color="auto" w:fill="FFFFFF"/>
                  <w:tcMar>
                    <w:top w:w="0" w:type="dxa"/>
                    <w:left w:w="0" w:type="dxa"/>
                    <w:bottom w:w="0" w:type="dxa"/>
                    <w:right w:w="0" w:type="dxa"/>
                  </w:tcMar>
                  <w:vAlign w:val="center"/>
                </w:tcPr>
                <w:p w14:paraId="0B3D571E">
                  <w:pPr>
                    <w:pStyle w:val="29"/>
                    <w:adjustRightInd w:val="0"/>
                    <w:snapToGrid w:val="0"/>
                    <w:rPr>
                      <w:rFonts w:hint="default" w:ascii="Times New Roman" w:hAnsi="Times New Roman" w:cs="Times New Roman"/>
                    </w:rPr>
                  </w:pPr>
                  <w:r>
                    <w:rPr>
                      <w:rFonts w:hint="default" w:ascii="Times New Roman" w:hAnsi="Times New Roman" w:cs="Times New Roman"/>
                    </w:rPr>
                    <w:t>8.0</w:t>
                  </w:r>
                </w:p>
              </w:tc>
              <w:tc>
                <w:tcPr>
                  <w:tcW w:w="174" w:type="pct"/>
                  <w:shd w:val="clear" w:color="auto" w:fill="FFFFFF"/>
                  <w:tcMar>
                    <w:top w:w="0" w:type="dxa"/>
                    <w:left w:w="0" w:type="dxa"/>
                    <w:bottom w:w="0" w:type="dxa"/>
                    <w:right w:w="0" w:type="dxa"/>
                  </w:tcMar>
                  <w:vAlign w:val="center"/>
                </w:tcPr>
                <w:p w14:paraId="4B43D671">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04867DE7">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175" w:type="pct"/>
                  <w:shd w:val="clear" w:color="auto" w:fill="FFFFFF"/>
                  <w:tcMar>
                    <w:top w:w="0" w:type="dxa"/>
                    <w:left w:w="0" w:type="dxa"/>
                    <w:bottom w:w="0" w:type="dxa"/>
                    <w:right w:w="0" w:type="dxa"/>
                  </w:tcMar>
                  <w:vAlign w:val="center"/>
                </w:tcPr>
                <w:p w14:paraId="3698BA05">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1C252703">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236" w:type="pct"/>
                  <w:shd w:val="clear" w:color="auto" w:fill="FFFFFF"/>
                  <w:tcMar>
                    <w:top w:w="0" w:type="dxa"/>
                    <w:left w:w="0" w:type="dxa"/>
                    <w:bottom w:w="0" w:type="dxa"/>
                    <w:right w:w="0" w:type="dxa"/>
                  </w:tcMar>
                  <w:vAlign w:val="center"/>
                </w:tcPr>
                <w:p w14:paraId="585665B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0589369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7BFEE94E">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7D4961F9">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03408B6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5E312205">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6" w:type="pct"/>
                  <w:shd w:val="clear" w:color="auto" w:fill="FFFFFF"/>
                  <w:tcMar>
                    <w:top w:w="0" w:type="dxa"/>
                    <w:left w:w="0" w:type="dxa"/>
                    <w:bottom w:w="0" w:type="dxa"/>
                    <w:right w:w="0" w:type="dxa"/>
                  </w:tcMar>
                  <w:vAlign w:val="center"/>
                </w:tcPr>
                <w:p w14:paraId="1DF302B9">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1" w:type="pct"/>
                  <w:shd w:val="clear" w:color="auto" w:fill="FFFFFF"/>
                  <w:tcMar>
                    <w:top w:w="0" w:type="dxa"/>
                    <w:left w:w="0" w:type="dxa"/>
                    <w:bottom w:w="0" w:type="dxa"/>
                    <w:right w:w="0" w:type="dxa"/>
                  </w:tcMar>
                  <w:vAlign w:val="center"/>
                </w:tcPr>
                <w:p w14:paraId="0EBC22B7">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76" w:type="pct"/>
                  <w:shd w:val="clear" w:color="auto" w:fill="FFFFFF"/>
                  <w:tcMar>
                    <w:top w:w="0" w:type="dxa"/>
                    <w:left w:w="0" w:type="dxa"/>
                    <w:bottom w:w="0" w:type="dxa"/>
                    <w:right w:w="0" w:type="dxa"/>
                  </w:tcMar>
                  <w:vAlign w:val="center"/>
                </w:tcPr>
                <w:p w14:paraId="628C8019">
                  <w:pPr>
                    <w:pStyle w:val="29"/>
                    <w:adjustRightInd w:val="0"/>
                    <w:snapToGrid w:val="0"/>
                    <w:rPr>
                      <w:rFonts w:hint="default" w:ascii="Times New Roman" w:hAnsi="Times New Roman" w:cs="Times New Roman"/>
                    </w:rPr>
                  </w:pPr>
                  <w:r>
                    <w:rPr>
                      <w:rFonts w:hint="default" w:ascii="Times New Roman" w:hAnsi="Times New Roman" w:cs="Times New Roman"/>
                    </w:rPr>
                    <w:t>55.3</w:t>
                  </w:r>
                </w:p>
              </w:tc>
              <w:tc>
                <w:tcPr>
                  <w:tcW w:w="261" w:type="pct"/>
                  <w:shd w:val="clear" w:color="auto" w:fill="FFFFFF"/>
                  <w:tcMar>
                    <w:top w:w="0" w:type="dxa"/>
                    <w:left w:w="0" w:type="dxa"/>
                    <w:bottom w:w="0" w:type="dxa"/>
                    <w:right w:w="0" w:type="dxa"/>
                  </w:tcMar>
                  <w:vAlign w:val="center"/>
                </w:tcPr>
                <w:p w14:paraId="431B3312">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0914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1193B604">
                  <w:pPr>
                    <w:pStyle w:val="29"/>
                    <w:adjustRightInd w:val="0"/>
                    <w:snapToGrid w:val="0"/>
                    <w:rPr>
                      <w:rFonts w:hint="default" w:ascii="Times New Roman" w:hAnsi="Times New Roman" w:cs="Times New Roman"/>
                    </w:rPr>
                  </w:pPr>
                  <w:r>
                    <w:rPr>
                      <w:rFonts w:hint="default" w:ascii="Times New Roman" w:hAnsi="Times New Roman" w:cs="Times New Roman"/>
                    </w:rPr>
                    <w:t>17</w:t>
                  </w:r>
                </w:p>
              </w:tc>
              <w:tc>
                <w:tcPr>
                  <w:tcW w:w="233" w:type="pct"/>
                  <w:vMerge w:val="continue"/>
                  <w:shd w:val="clear" w:color="auto" w:fill="FFFFFF"/>
                  <w:tcMar>
                    <w:top w:w="0" w:type="dxa"/>
                    <w:left w:w="0" w:type="dxa"/>
                    <w:bottom w:w="0" w:type="dxa"/>
                    <w:right w:w="0" w:type="dxa"/>
                  </w:tcMar>
                  <w:vAlign w:val="center"/>
                </w:tcPr>
                <w:p w14:paraId="6ABA6EF9">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0D403727">
                  <w:pPr>
                    <w:pStyle w:val="29"/>
                    <w:adjustRightInd w:val="0"/>
                    <w:snapToGrid w:val="0"/>
                    <w:rPr>
                      <w:rFonts w:hint="default" w:ascii="Times New Roman" w:hAnsi="Times New Roman" w:cs="Times New Roman"/>
                    </w:rPr>
                  </w:pPr>
                  <w:r>
                    <w:rPr>
                      <w:rFonts w:hint="default" w:ascii="Times New Roman" w:hAnsi="Times New Roman" w:cs="Times New Roman"/>
                    </w:rPr>
                    <w:t>加热钢3</w:t>
                  </w:r>
                </w:p>
              </w:tc>
              <w:tc>
                <w:tcPr>
                  <w:tcW w:w="147" w:type="pct"/>
                  <w:shd w:val="clear" w:color="auto" w:fill="FFFFFF"/>
                  <w:tcMar>
                    <w:top w:w="0" w:type="dxa"/>
                    <w:left w:w="0" w:type="dxa"/>
                    <w:bottom w:w="0" w:type="dxa"/>
                    <w:right w:w="0" w:type="dxa"/>
                  </w:tcMar>
                  <w:vAlign w:val="center"/>
                </w:tcPr>
                <w:p w14:paraId="73908DD6">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0B9E2D34">
                  <w:pPr>
                    <w:pStyle w:val="29"/>
                    <w:adjustRightInd w:val="0"/>
                    <w:snapToGrid w:val="0"/>
                    <w:rPr>
                      <w:rFonts w:hint="default" w:ascii="Times New Roman" w:hAnsi="Times New Roman" w:cs="Times New Roman"/>
                    </w:rPr>
                  </w:pPr>
                  <w:r>
                    <w:rPr>
                      <w:rFonts w:hint="default" w:ascii="Times New Roman" w:hAnsi="Times New Roman" w:cs="Times New Roman"/>
                    </w:rPr>
                    <w:t>70</w:t>
                  </w:r>
                </w:p>
              </w:tc>
              <w:tc>
                <w:tcPr>
                  <w:tcW w:w="254" w:type="pct"/>
                  <w:vMerge w:val="continue"/>
                  <w:shd w:val="clear" w:color="auto" w:fill="FFFFFF"/>
                  <w:tcMar>
                    <w:top w:w="0" w:type="dxa"/>
                    <w:left w:w="0" w:type="dxa"/>
                    <w:bottom w:w="0" w:type="dxa"/>
                    <w:right w:w="0" w:type="dxa"/>
                  </w:tcMar>
                  <w:vAlign w:val="center"/>
                </w:tcPr>
                <w:p w14:paraId="4E38CB14">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73D39807">
                  <w:pPr>
                    <w:pStyle w:val="29"/>
                    <w:adjustRightInd w:val="0"/>
                    <w:snapToGrid w:val="0"/>
                    <w:rPr>
                      <w:rFonts w:hint="default" w:ascii="Times New Roman" w:hAnsi="Times New Roman" w:cs="Times New Roman"/>
                    </w:rPr>
                  </w:pPr>
                  <w:r>
                    <w:rPr>
                      <w:rFonts w:hint="default" w:ascii="Times New Roman" w:hAnsi="Times New Roman" w:cs="Times New Roman"/>
                    </w:rPr>
                    <w:t>65.3</w:t>
                  </w:r>
                </w:p>
              </w:tc>
              <w:tc>
                <w:tcPr>
                  <w:tcW w:w="143" w:type="pct"/>
                  <w:shd w:val="clear" w:color="auto" w:fill="FFFFFF"/>
                  <w:tcMar>
                    <w:top w:w="0" w:type="dxa"/>
                    <w:left w:w="0" w:type="dxa"/>
                    <w:bottom w:w="0" w:type="dxa"/>
                    <w:right w:w="0" w:type="dxa"/>
                  </w:tcMar>
                  <w:vAlign w:val="center"/>
                </w:tcPr>
                <w:p w14:paraId="177C359D">
                  <w:pPr>
                    <w:pStyle w:val="29"/>
                    <w:adjustRightInd w:val="0"/>
                    <w:snapToGrid w:val="0"/>
                    <w:rPr>
                      <w:rFonts w:hint="default" w:ascii="Times New Roman" w:hAnsi="Times New Roman" w:cs="Times New Roman"/>
                    </w:rPr>
                  </w:pPr>
                  <w:r>
                    <w:rPr>
                      <w:rFonts w:hint="default" w:ascii="Times New Roman" w:hAnsi="Times New Roman" w:cs="Times New Roman"/>
                    </w:rPr>
                    <w:t>-35.6</w:t>
                  </w:r>
                </w:p>
              </w:tc>
              <w:tc>
                <w:tcPr>
                  <w:tcW w:w="128" w:type="pct"/>
                  <w:shd w:val="clear" w:color="auto" w:fill="FFFFFF"/>
                  <w:tcMar>
                    <w:top w:w="0" w:type="dxa"/>
                    <w:left w:w="0" w:type="dxa"/>
                    <w:bottom w:w="0" w:type="dxa"/>
                    <w:right w:w="0" w:type="dxa"/>
                  </w:tcMar>
                  <w:vAlign w:val="center"/>
                </w:tcPr>
                <w:p w14:paraId="13217F43">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071BDBCD">
                  <w:pPr>
                    <w:pStyle w:val="29"/>
                    <w:adjustRightInd w:val="0"/>
                    <w:snapToGrid w:val="0"/>
                    <w:rPr>
                      <w:rFonts w:hint="default" w:ascii="Times New Roman" w:hAnsi="Times New Roman" w:cs="Times New Roman"/>
                    </w:rPr>
                  </w:pPr>
                  <w:r>
                    <w:rPr>
                      <w:rFonts w:hint="default" w:ascii="Times New Roman" w:hAnsi="Times New Roman" w:cs="Times New Roman"/>
                    </w:rPr>
                    <w:t>42.2</w:t>
                  </w:r>
                </w:p>
              </w:tc>
              <w:tc>
                <w:tcPr>
                  <w:tcW w:w="176" w:type="pct"/>
                  <w:shd w:val="clear" w:color="auto" w:fill="FFFFFF"/>
                  <w:tcMar>
                    <w:top w:w="0" w:type="dxa"/>
                    <w:left w:w="0" w:type="dxa"/>
                    <w:bottom w:w="0" w:type="dxa"/>
                    <w:right w:w="0" w:type="dxa"/>
                  </w:tcMar>
                  <w:vAlign w:val="center"/>
                </w:tcPr>
                <w:p w14:paraId="52CBEC43">
                  <w:pPr>
                    <w:pStyle w:val="29"/>
                    <w:adjustRightInd w:val="0"/>
                    <w:snapToGrid w:val="0"/>
                    <w:rPr>
                      <w:rFonts w:hint="default" w:ascii="Times New Roman" w:hAnsi="Times New Roman" w:cs="Times New Roman"/>
                    </w:rPr>
                  </w:pPr>
                  <w:r>
                    <w:rPr>
                      <w:rFonts w:hint="default" w:ascii="Times New Roman" w:hAnsi="Times New Roman" w:cs="Times New Roman"/>
                    </w:rPr>
                    <w:t>11.5</w:t>
                  </w:r>
                </w:p>
              </w:tc>
              <w:tc>
                <w:tcPr>
                  <w:tcW w:w="176" w:type="pct"/>
                  <w:shd w:val="clear" w:color="auto" w:fill="FFFFFF"/>
                  <w:tcMar>
                    <w:top w:w="0" w:type="dxa"/>
                    <w:left w:w="0" w:type="dxa"/>
                    <w:bottom w:w="0" w:type="dxa"/>
                    <w:right w:w="0" w:type="dxa"/>
                  </w:tcMar>
                  <w:vAlign w:val="center"/>
                </w:tcPr>
                <w:p w14:paraId="7433A74B">
                  <w:pPr>
                    <w:pStyle w:val="29"/>
                    <w:adjustRightInd w:val="0"/>
                    <w:snapToGrid w:val="0"/>
                    <w:rPr>
                      <w:rFonts w:hint="default" w:ascii="Times New Roman" w:hAnsi="Times New Roman" w:cs="Times New Roman"/>
                    </w:rPr>
                  </w:pPr>
                  <w:r>
                    <w:rPr>
                      <w:rFonts w:hint="default" w:ascii="Times New Roman" w:hAnsi="Times New Roman" w:cs="Times New Roman"/>
                    </w:rPr>
                    <w:t>83.9</w:t>
                  </w:r>
                </w:p>
              </w:tc>
              <w:tc>
                <w:tcPr>
                  <w:tcW w:w="186" w:type="pct"/>
                  <w:shd w:val="clear" w:color="auto" w:fill="FFFFFF"/>
                  <w:tcMar>
                    <w:top w:w="0" w:type="dxa"/>
                    <w:left w:w="0" w:type="dxa"/>
                    <w:bottom w:w="0" w:type="dxa"/>
                    <w:right w:w="0" w:type="dxa"/>
                  </w:tcMar>
                  <w:vAlign w:val="center"/>
                </w:tcPr>
                <w:p w14:paraId="7CA5EA18">
                  <w:pPr>
                    <w:pStyle w:val="29"/>
                    <w:adjustRightInd w:val="0"/>
                    <w:snapToGrid w:val="0"/>
                    <w:rPr>
                      <w:rFonts w:hint="default" w:ascii="Times New Roman" w:hAnsi="Times New Roman" w:cs="Times New Roman"/>
                    </w:rPr>
                  </w:pPr>
                  <w:r>
                    <w:rPr>
                      <w:rFonts w:hint="default" w:ascii="Times New Roman" w:hAnsi="Times New Roman" w:cs="Times New Roman"/>
                    </w:rPr>
                    <w:t>11.0</w:t>
                  </w:r>
                </w:p>
              </w:tc>
              <w:tc>
                <w:tcPr>
                  <w:tcW w:w="174" w:type="pct"/>
                  <w:shd w:val="clear" w:color="auto" w:fill="FFFFFF"/>
                  <w:tcMar>
                    <w:top w:w="0" w:type="dxa"/>
                    <w:left w:w="0" w:type="dxa"/>
                    <w:bottom w:w="0" w:type="dxa"/>
                    <w:right w:w="0" w:type="dxa"/>
                  </w:tcMar>
                  <w:vAlign w:val="center"/>
                </w:tcPr>
                <w:p w14:paraId="041292AF">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5791EFB5">
                  <w:pPr>
                    <w:pStyle w:val="29"/>
                    <w:adjustRightInd w:val="0"/>
                    <w:snapToGrid w:val="0"/>
                    <w:rPr>
                      <w:rFonts w:hint="default" w:ascii="Times New Roman" w:hAnsi="Times New Roman" w:cs="Times New Roman"/>
                    </w:rPr>
                  </w:pPr>
                  <w:r>
                    <w:rPr>
                      <w:rFonts w:hint="default" w:ascii="Times New Roman" w:hAnsi="Times New Roman" w:cs="Times New Roman"/>
                    </w:rPr>
                    <w:t>45.3</w:t>
                  </w:r>
                </w:p>
              </w:tc>
              <w:tc>
                <w:tcPr>
                  <w:tcW w:w="175" w:type="pct"/>
                  <w:shd w:val="clear" w:color="auto" w:fill="FFFFFF"/>
                  <w:tcMar>
                    <w:top w:w="0" w:type="dxa"/>
                    <w:left w:w="0" w:type="dxa"/>
                    <w:bottom w:w="0" w:type="dxa"/>
                    <w:right w:w="0" w:type="dxa"/>
                  </w:tcMar>
                  <w:vAlign w:val="center"/>
                </w:tcPr>
                <w:p w14:paraId="14A5CC12">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379295CC">
                  <w:pPr>
                    <w:pStyle w:val="29"/>
                    <w:adjustRightInd w:val="0"/>
                    <w:snapToGrid w:val="0"/>
                    <w:rPr>
                      <w:rFonts w:hint="default" w:ascii="Times New Roman" w:hAnsi="Times New Roman" w:cs="Times New Roman"/>
                    </w:rPr>
                  </w:pPr>
                  <w:r>
                    <w:rPr>
                      <w:rFonts w:hint="default" w:ascii="Times New Roman" w:hAnsi="Times New Roman" w:cs="Times New Roman"/>
                    </w:rPr>
                    <w:t>45.3</w:t>
                  </w:r>
                </w:p>
              </w:tc>
              <w:tc>
                <w:tcPr>
                  <w:tcW w:w="236" w:type="pct"/>
                  <w:shd w:val="clear" w:color="auto" w:fill="FFFFFF"/>
                  <w:tcMar>
                    <w:top w:w="0" w:type="dxa"/>
                    <w:left w:w="0" w:type="dxa"/>
                    <w:bottom w:w="0" w:type="dxa"/>
                    <w:right w:w="0" w:type="dxa"/>
                  </w:tcMar>
                  <w:vAlign w:val="center"/>
                </w:tcPr>
                <w:p w14:paraId="0D8982FD">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6F72C92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219B9B3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699E296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73A6420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4C3F236A">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6" w:type="pct"/>
                  <w:shd w:val="clear" w:color="auto" w:fill="FFFFFF"/>
                  <w:tcMar>
                    <w:top w:w="0" w:type="dxa"/>
                    <w:left w:w="0" w:type="dxa"/>
                    <w:bottom w:w="0" w:type="dxa"/>
                    <w:right w:w="0" w:type="dxa"/>
                  </w:tcMar>
                  <w:vAlign w:val="center"/>
                </w:tcPr>
                <w:p w14:paraId="2D3E6782">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81" w:type="pct"/>
                  <w:shd w:val="clear" w:color="auto" w:fill="FFFFFF"/>
                  <w:tcMar>
                    <w:top w:w="0" w:type="dxa"/>
                    <w:left w:w="0" w:type="dxa"/>
                    <w:bottom w:w="0" w:type="dxa"/>
                    <w:right w:w="0" w:type="dxa"/>
                  </w:tcMar>
                  <w:vAlign w:val="center"/>
                </w:tcPr>
                <w:p w14:paraId="4E15C370">
                  <w:pPr>
                    <w:pStyle w:val="29"/>
                    <w:adjustRightInd w:val="0"/>
                    <w:snapToGrid w:val="0"/>
                    <w:rPr>
                      <w:rFonts w:hint="default" w:ascii="Times New Roman" w:hAnsi="Times New Roman" w:cs="Times New Roman"/>
                    </w:rPr>
                  </w:pPr>
                  <w:r>
                    <w:rPr>
                      <w:rFonts w:hint="default" w:ascii="Times New Roman" w:hAnsi="Times New Roman" w:cs="Times New Roman"/>
                    </w:rPr>
                    <w:t>55.1</w:t>
                  </w:r>
                </w:p>
              </w:tc>
              <w:tc>
                <w:tcPr>
                  <w:tcW w:w="176" w:type="pct"/>
                  <w:shd w:val="clear" w:color="auto" w:fill="FFFFFF"/>
                  <w:tcMar>
                    <w:top w:w="0" w:type="dxa"/>
                    <w:left w:w="0" w:type="dxa"/>
                    <w:bottom w:w="0" w:type="dxa"/>
                    <w:right w:w="0" w:type="dxa"/>
                  </w:tcMar>
                  <w:vAlign w:val="center"/>
                </w:tcPr>
                <w:p w14:paraId="33F77807">
                  <w:pPr>
                    <w:pStyle w:val="29"/>
                    <w:adjustRightInd w:val="0"/>
                    <w:snapToGrid w:val="0"/>
                    <w:rPr>
                      <w:rFonts w:hint="default" w:ascii="Times New Roman" w:hAnsi="Times New Roman" w:cs="Times New Roman"/>
                    </w:rPr>
                  </w:pPr>
                  <w:r>
                    <w:rPr>
                      <w:rFonts w:hint="default" w:ascii="Times New Roman" w:hAnsi="Times New Roman" w:cs="Times New Roman"/>
                    </w:rPr>
                    <w:t>55.3</w:t>
                  </w:r>
                </w:p>
              </w:tc>
              <w:tc>
                <w:tcPr>
                  <w:tcW w:w="261" w:type="pct"/>
                  <w:shd w:val="clear" w:color="auto" w:fill="FFFFFF"/>
                  <w:tcMar>
                    <w:top w:w="0" w:type="dxa"/>
                    <w:left w:w="0" w:type="dxa"/>
                    <w:bottom w:w="0" w:type="dxa"/>
                    <w:right w:w="0" w:type="dxa"/>
                  </w:tcMar>
                  <w:vAlign w:val="center"/>
                </w:tcPr>
                <w:p w14:paraId="37C4844D">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7DBE1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6D42CF2E">
                  <w:pPr>
                    <w:pStyle w:val="29"/>
                    <w:adjustRightInd w:val="0"/>
                    <w:snapToGrid w:val="0"/>
                    <w:rPr>
                      <w:rFonts w:hint="default" w:ascii="Times New Roman" w:hAnsi="Times New Roman" w:cs="Times New Roman"/>
                    </w:rPr>
                  </w:pPr>
                  <w:r>
                    <w:rPr>
                      <w:rFonts w:hint="default" w:ascii="Times New Roman" w:hAnsi="Times New Roman" w:cs="Times New Roman"/>
                    </w:rPr>
                    <w:t>18</w:t>
                  </w:r>
                </w:p>
              </w:tc>
              <w:tc>
                <w:tcPr>
                  <w:tcW w:w="233" w:type="pct"/>
                  <w:vMerge w:val="continue"/>
                  <w:shd w:val="clear" w:color="auto" w:fill="FFFFFF"/>
                  <w:tcMar>
                    <w:top w:w="0" w:type="dxa"/>
                    <w:left w:w="0" w:type="dxa"/>
                    <w:bottom w:w="0" w:type="dxa"/>
                    <w:right w:w="0" w:type="dxa"/>
                  </w:tcMar>
                  <w:vAlign w:val="center"/>
                </w:tcPr>
                <w:p w14:paraId="37130389">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6F7B60EE">
                  <w:pPr>
                    <w:pStyle w:val="29"/>
                    <w:adjustRightInd w:val="0"/>
                    <w:snapToGrid w:val="0"/>
                    <w:rPr>
                      <w:rFonts w:hint="default" w:ascii="Times New Roman" w:hAnsi="Times New Roman" w:cs="Times New Roman"/>
                    </w:rPr>
                  </w:pPr>
                  <w:r>
                    <w:rPr>
                      <w:rFonts w:hint="default" w:ascii="Times New Roman" w:hAnsi="Times New Roman" w:cs="Times New Roman"/>
                    </w:rPr>
                    <w:t>过纸天桥</w:t>
                  </w:r>
                </w:p>
              </w:tc>
              <w:tc>
                <w:tcPr>
                  <w:tcW w:w="147" w:type="pct"/>
                  <w:shd w:val="clear" w:color="auto" w:fill="FFFFFF"/>
                  <w:tcMar>
                    <w:top w:w="0" w:type="dxa"/>
                    <w:left w:w="0" w:type="dxa"/>
                    <w:bottom w:w="0" w:type="dxa"/>
                    <w:right w:w="0" w:type="dxa"/>
                  </w:tcMar>
                  <w:vAlign w:val="center"/>
                </w:tcPr>
                <w:p w14:paraId="6B427335">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6F4AB60E">
                  <w:pPr>
                    <w:pStyle w:val="29"/>
                    <w:adjustRightInd w:val="0"/>
                    <w:snapToGrid w:val="0"/>
                    <w:rPr>
                      <w:rFonts w:hint="default" w:ascii="Times New Roman" w:hAnsi="Times New Roman" w:cs="Times New Roman"/>
                    </w:rPr>
                  </w:pPr>
                  <w:r>
                    <w:rPr>
                      <w:rFonts w:hint="default" w:ascii="Times New Roman" w:hAnsi="Times New Roman" w:cs="Times New Roman"/>
                    </w:rPr>
                    <w:t>70</w:t>
                  </w:r>
                </w:p>
              </w:tc>
              <w:tc>
                <w:tcPr>
                  <w:tcW w:w="254" w:type="pct"/>
                  <w:vMerge w:val="continue"/>
                  <w:shd w:val="clear" w:color="auto" w:fill="FFFFFF"/>
                  <w:tcMar>
                    <w:top w:w="0" w:type="dxa"/>
                    <w:left w:w="0" w:type="dxa"/>
                    <w:bottom w:w="0" w:type="dxa"/>
                    <w:right w:w="0" w:type="dxa"/>
                  </w:tcMar>
                  <w:vAlign w:val="center"/>
                </w:tcPr>
                <w:p w14:paraId="20373664">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012E6530">
                  <w:pPr>
                    <w:pStyle w:val="29"/>
                    <w:adjustRightInd w:val="0"/>
                    <w:snapToGrid w:val="0"/>
                    <w:rPr>
                      <w:rFonts w:hint="default" w:ascii="Times New Roman" w:hAnsi="Times New Roman" w:cs="Times New Roman"/>
                    </w:rPr>
                  </w:pPr>
                  <w:r>
                    <w:rPr>
                      <w:rFonts w:hint="default" w:ascii="Times New Roman" w:hAnsi="Times New Roman" w:cs="Times New Roman"/>
                    </w:rPr>
                    <w:t>50.6</w:t>
                  </w:r>
                </w:p>
              </w:tc>
              <w:tc>
                <w:tcPr>
                  <w:tcW w:w="143" w:type="pct"/>
                  <w:shd w:val="clear" w:color="auto" w:fill="FFFFFF"/>
                  <w:tcMar>
                    <w:top w:w="0" w:type="dxa"/>
                    <w:left w:w="0" w:type="dxa"/>
                    <w:bottom w:w="0" w:type="dxa"/>
                    <w:right w:w="0" w:type="dxa"/>
                  </w:tcMar>
                  <w:vAlign w:val="center"/>
                </w:tcPr>
                <w:p w14:paraId="6BEC8128">
                  <w:pPr>
                    <w:pStyle w:val="29"/>
                    <w:adjustRightInd w:val="0"/>
                    <w:snapToGrid w:val="0"/>
                    <w:rPr>
                      <w:rFonts w:hint="default" w:ascii="Times New Roman" w:hAnsi="Times New Roman" w:cs="Times New Roman"/>
                    </w:rPr>
                  </w:pPr>
                  <w:r>
                    <w:rPr>
                      <w:rFonts w:hint="default" w:ascii="Times New Roman" w:hAnsi="Times New Roman" w:cs="Times New Roman"/>
                    </w:rPr>
                    <w:t>-33.5</w:t>
                  </w:r>
                </w:p>
              </w:tc>
              <w:tc>
                <w:tcPr>
                  <w:tcW w:w="128" w:type="pct"/>
                  <w:shd w:val="clear" w:color="auto" w:fill="FFFFFF"/>
                  <w:tcMar>
                    <w:top w:w="0" w:type="dxa"/>
                    <w:left w:w="0" w:type="dxa"/>
                    <w:bottom w:w="0" w:type="dxa"/>
                    <w:right w:w="0" w:type="dxa"/>
                  </w:tcMar>
                  <w:vAlign w:val="center"/>
                </w:tcPr>
                <w:p w14:paraId="6B23C780">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56A97B80">
                  <w:pPr>
                    <w:pStyle w:val="29"/>
                    <w:adjustRightInd w:val="0"/>
                    <w:snapToGrid w:val="0"/>
                    <w:rPr>
                      <w:rFonts w:hint="default" w:ascii="Times New Roman" w:hAnsi="Times New Roman" w:cs="Times New Roman"/>
                    </w:rPr>
                  </w:pPr>
                  <w:r>
                    <w:rPr>
                      <w:rFonts w:hint="default" w:ascii="Times New Roman" w:hAnsi="Times New Roman" w:cs="Times New Roman"/>
                    </w:rPr>
                    <w:t>57.7</w:t>
                  </w:r>
                </w:p>
              </w:tc>
              <w:tc>
                <w:tcPr>
                  <w:tcW w:w="176" w:type="pct"/>
                  <w:shd w:val="clear" w:color="auto" w:fill="FFFFFF"/>
                  <w:tcMar>
                    <w:top w:w="0" w:type="dxa"/>
                    <w:left w:w="0" w:type="dxa"/>
                    <w:bottom w:w="0" w:type="dxa"/>
                    <w:right w:w="0" w:type="dxa"/>
                  </w:tcMar>
                  <w:vAlign w:val="center"/>
                </w:tcPr>
                <w:p w14:paraId="3EF3BD09">
                  <w:pPr>
                    <w:pStyle w:val="29"/>
                    <w:adjustRightInd w:val="0"/>
                    <w:snapToGrid w:val="0"/>
                    <w:rPr>
                      <w:rFonts w:hint="default" w:ascii="Times New Roman" w:hAnsi="Times New Roman" w:cs="Times New Roman"/>
                    </w:rPr>
                  </w:pPr>
                  <w:r>
                    <w:rPr>
                      <w:rFonts w:hint="default" w:ascii="Times New Roman" w:hAnsi="Times New Roman" w:cs="Times New Roman"/>
                    </w:rPr>
                    <w:t>7.7</w:t>
                  </w:r>
                </w:p>
              </w:tc>
              <w:tc>
                <w:tcPr>
                  <w:tcW w:w="176" w:type="pct"/>
                  <w:shd w:val="clear" w:color="auto" w:fill="FFFFFF"/>
                  <w:tcMar>
                    <w:top w:w="0" w:type="dxa"/>
                    <w:left w:w="0" w:type="dxa"/>
                    <w:bottom w:w="0" w:type="dxa"/>
                    <w:right w:w="0" w:type="dxa"/>
                  </w:tcMar>
                  <w:vAlign w:val="center"/>
                </w:tcPr>
                <w:p w14:paraId="27A7CC73">
                  <w:pPr>
                    <w:pStyle w:val="29"/>
                    <w:adjustRightInd w:val="0"/>
                    <w:snapToGrid w:val="0"/>
                    <w:rPr>
                      <w:rFonts w:hint="default" w:ascii="Times New Roman" w:hAnsi="Times New Roman" w:cs="Times New Roman"/>
                    </w:rPr>
                  </w:pPr>
                  <w:r>
                    <w:rPr>
                      <w:rFonts w:hint="default" w:ascii="Times New Roman" w:hAnsi="Times New Roman" w:cs="Times New Roman"/>
                    </w:rPr>
                    <w:t>68.4</w:t>
                  </w:r>
                </w:p>
              </w:tc>
              <w:tc>
                <w:tcPr>
                  <w:tcW w:w="186" w:type="pct"/>
                  <w:shd w:val="clear" w:color="auto" w:fill="FFFFFF"/>
                  <w:tcMar>
                    <w:top w:w="0" w:type="dxa"/>
                    <w:left w:w="0" w:type="dxa"/>
                    <w:bottom w:w="0" w:type="dxa"/>
                    <w:right w:w="0" w:type="dxa"/>
                  </w:tcMar>
                  <w:vAlign w:val="center"/>
                </w:tcPr>
                <w:p w14:paraId="6B5B2ADF">
                  <w:pPr>
                    <w:pStyle w:val="29"/>
                    <w:adjustRightInd w:val="0"/>
                    <w:snapToGrid w:val="0"/>
                    <w:rPr>
                      <w:rFonts w:hint="default" w:ascii="Times New Roman" w:hAnsi="Times New Roman" w:cs="Times New Roman"/>
                    </w:rPr>
                  </w:pPr>
                  <w:r>
                    <w:rPr>
                      <w:rFonts w:hint="default" w:ascii="Times New Roman" w:hAnsi="Times New Roman" w:cs="Times New Roman"/>
                    </w:rPr>
                    <w:t>7.2</w:t>
                  </w:r>
                </w:p>
              </w:tc>
              <w:tc>
                <w:tcPr>
                  <w:tcW w:w="174" w:type="pct"/>
                  <w:shd w:val="clear" w:color="auto" w:fill="FFFFFF"/>
                  <w:tcMar>
                    <w:top w:w="0" w:type="dxa"/>
                    <w:left w:w="0" w:type="dxa"/>
                    <w:bottom w:w="0" w:type="dxa"/>
                    <w:right w:w="0" w:type="dxa"/>
                  </w:tcMar>
                  <w:vAlign w:val="center"/>
                </w:tcPr>
                <w:p w14:paraId="238897B6">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4A30EDC5">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175" w:type="pct"/>
                  <w:shd w:val="clear" w:color="auto" w:fill="FFFFFF"/>
                  <w:tcMar>
                    <w:top w:w="0" w:type="dxa"/>
                    <w:left w:w="0" w:type="dxa"/>
                    <w:bottom w:w="0" w:type="dxa"/>
                    <w:right w:w="0" w:type="dxa"/>
                  </w:tcMar>
                  <w:vAlign w:val="center"/>
                </w:tcPr>
                <w:p w14:paraId="521E7170">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74F2AB7A">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236" w:type="pct"/>
                  <w:shd w:val="clear" w:color="auto" w:fill="FFFFFF"/>
                  <w:tcMar>
                    <w:top w:w="0" w:type="dxa"/>
                    <w:left w:w="0" w:type="dxa"/>
                    <w:bottom w:w="0" w:type="dxa"/>
                    <w:right w:w="0" w:type="dxa"/>
                  </w:tcMar>
                  <w:vAlign w:val="center"/>
                </w:tcPr>
                <w:p w14:paraId="1CA966B3">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29D5B2C7">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0638364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35877EFD">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2A1F7C0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14E65417">
                  <w:pPr>
                    <w:pStyle w:val="29"/>
                    <w:adjustRightInd w:val="0"/>
                    <w:snapToGrid w:val="0"/>
                    <w:rPr>
                      <w:rFonts w:hint="default" w:ascii="Times New Roman" w:hAnsi="Times New Roman" w:cs="Times New Roman"/>
                    </w:rPr>
                  </w:pPr>
                  <w:r>
                    <w:rPr>
                      <w:rFonts w:hint="default" w:ascii="Times New Roman" w:hAnsi="Times New Roman" w:cs="Times New Roman"/>
                    </w:rPr>
                    <w:t>53.5</w:t>
                  </w:r>
                </w:p>
              </w:tc>
              <w:tc>
                <w:tcPr>
                  <w:tcW w:w="186" w:type="pct"/>
                  <w:shd w:val="clear" w:color="auto" w:fill="FFFFFF"/>
                  <w:tcMar>
                    <w:top w:w="0" w:type="dxa"/>
                    <w:left w:w="0" w:type="dxa"/>
                    <w:bottom w:w="0" w:type="dxa"/>
                    <w:right w:w="0" w:type="dxa"/>
                  </w:tcMar>
                  <w:vAlign w:val="center"/>
                </w:tcPr>
                <w:p w14:paraId="6334C2A1">
                  <w:pPr>
                    <w:pStyle w:val="29"/>
                    <w:adjustRightInd w:val="0"/>
                    <w:snapToGrid w:val="0"/>
                    <w:rPr>
                      <w:rFonts w:hint="default" w:ascii="Times New Roman" w:hAnsi="Times New Roman" w:cs="Times New Roman"/>
                    </w:rPr>
                  </w:pPr>
                  <w:r>
                    <w:rPr>
                      <w:rFonts w:hint="default" w:ascii="Times New Roman" w:hAnsi="Times New Roman" w:cs="Times New Roman"/>
                    </w:rPr>
                    <w:t>53.7</w:t>
                  </w:r>
                </w:p>
              </w:tc>
              <w:tc>
                <w:tcPr>
                  <w:tcW w:w="181" w:type="pct"/>
                  <w:shd w:val="clear" w:color="auto" w:fill="FFFFFF"/>
                  <w:tcMar>
                    <w:top w:w="0" w:type="dxa"/>
                    <w:left w:w="0" w:type="dxa"/>
                    <w:bottom w:w="0" w:type="dxa"/>
                    <w:right w:w="0" w:type="dxa"/>
                  </w:tcMar>
                  <w:vAlign w:val="center"/>
                </w:tcPr>
                <w:p w14:paraId="7A1B973E">
                  <w:pPr>
                    <w:pStyle w:val="29"/>
                    <w:adjustRightInd w:val="0"/>
                    <w:snapToGrid w:val="0"/>
                    <w:rPr>
                      <w:rFonts w:hint="default" w:ascii="Times New Roman" w:hAnsi="Times New Roman" w:cs="Times New Roman"/>
                    </w:rPr>
                  </w:pPr>
                  <w:r>
                    <w:rPr>
                      <w:rFonts w:hint="default" w:ascii="Times New Roman" w:hAnsi="Times New Roman" w:cs="Times New Roman"/>
                    </w:rPr>
                    <w:t>53.6</w:t>
                  </w:r>
                </w:p>
              </w:tc>
              <w:tc>
                <w:tcPr>
                  <w:tcW w:w="176" w:type="pct"/>
                  <w:shd w:val="clear" w:color="auto" w:fill="FFFFFF"/>
                  <w:tcMar>
                    <w:top w:w="0" w:type="dxa"/>
                    <w:left w:w="0" w:type="dxa"/>
                    <w:bottom w:w="0" w:type="dxa"/>
                    <w:right w:w="0" w:type="dxa"/>
                  </w:tcMar>
                  <w:vAlign w:val="center"/>
                </w:tcPr>
                <w:p w14:paraId="0F860FED">
                  <w:pPr>
                    <w:pStyle w:val="29"/>
                    <w:adjustRightInd w:val="0"/>
                    <w:snapToGrid w:val="0"/>
                    <w:rPr>
                      <w:rFonts w:hint="default" w:ascii="Times New Roman" w:hAnsi="Times New Roman" w:cs="Times New Roman"/>
                    </w:rPr>
                  </w:pPr>
                  <w:r>
                    <w:rPr>
                      <w:rFonts w:hint="default" w:ascii="Times New Roman" w:hAnsi="Times New Roman" w:cs="Times New Roman"/>
                    </w:rPr>
                    <w:t>53.6</w:t>
                  </w:r>
                </w:p>
              </w:tc>
              <w:tc>
                <w:tcPr>
                  <w:tcW w:w="261" w:type="pct"/>
                  <w:shd w:val="clear" w:color="auto" w:fill="FFFFFF"/>
                  <w:tcMar>
                    <w:top w:w="0" w:type="dxa"/>
                    <w:left w:w="0" w:type="dxa"/>
                    <w:bottom w:w="0" w:type="dxa"/>
                    <w:right w:w="0" w:type="dxa"/>
                  </w:tcMar>
                  <w:vAlign w:val="center"/>
                </w:tcPr>
                <w:p w14:paraId="251DA7E1">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35E50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01D41D3B">
                  <w:pPr>
                    <w:pStyle w:val="29"/>
                    <w:adjustRightInd w:val="0"/>
                    <w:snapToGrid w:val="0"/>
                    <w:rPr>
                      <w:rFonts w:hint="default" w:ascii="Times New Roman" w:hAnsi="Times New Roman" w:cs="Times New Roman"/>
                    </w:rPr>
                  </w:pPr>
                  <w:r>
                    <w:rPr>
                      <w:rFonts w:hint="default" w:ascii="Times New Roman" w:hAnsi="Times New Roman" w:cs="Times New Roman"/>
                    </w:rPr>
                    <w:t>19</w:t>
                  </w:r>
                </w:p>
              </w:tc>
              <w:tc>
                <w:tcPr>
                  <w:tcW w:w="233" w:type="pct"/>
                  <w:vMerge w:val="continue"/>
                  <w:shd w:val="clear" w:color="auto" w:fill="FFFFFF"/>
                  <w:tcMar>
                    <w:top w:w="0" w:type="dxa"/>
                    <w:left w:w="0" w:type="dxa"/>
                    <w:bottom w:w="0" w:type="dxa"/>
                    <w:right w:w="0" w:type="dxa"/>
                  </w:tcMar>
                  <w:vAlign w:val="center"/>
                </w:tcPr>
                <w:p w14:paraId="4172213F">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52724C4C">
                  <w:pPr>
                    <w:pStyle w:val="29"/>
                    <w:adjustRightInd w:val="0"/>
                    <w:snapToGrid w:val="0"/>
                    <w:rPr>
                      <w:rFonts w:hint="default" w:ascii="Times New Roman" w:hAnsi="Times New Roman" w:cs="Times New Roman"/>
                    </w:rPr>
                  </w:pPr>
                  <w:r>
                    <w:rPr>
                      <w:rFonts w:hint="default" w:ascii="Times New Roman" w:hAnsi="Times New Roman" w:cs="Times New Roman"/>
                    </w:rPr>
                    <w:t>接纸机1</w:t>
                  </w:r>
                </w:p>
              </w:tc>
              <w:tc>
                <w:tcPr>
                  <w:tcW w:w="147" w:type="pct"/>
                  <w:shd w:val="clear" w:color="auto" w:fill="FFFFFF"/>
                  <w:tcMar>
                    <w:top w:w="0" w:type="dxa"/>
                    <w:left w:w="0" w:type="dxa"/>
                    <w:bottom w:w="0" w:type="dxa"/>
                    <w:right w:w="0" w:type="dxa"/>
                  </w:tcMar>
                  <w:vAlign w:val="center"/>
                </w:tcPr>
                <w:p w14:paraId="05E5EB5C">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6082E38A">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18600B0A">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3794334F">
                  <w:pPr>
                    <w:pStyle w:val="29"/>
                    <w:adjustRightInd w:val="0"/>
                    <w:snapToGrid w:val="0"/>
                    <w:rPr>
                      <w:rFonts w:hint="default" w:ascii="Times New Roman" w:hAnsi="Times New Roman" w:cs="Times New Roman"/>
                    </w:rPr>
                  </w:pPr>
                  <w:r>
                    <w:rPr>
                      <w:rFonts w:hint="default" w:ascii="Times New Roman" w:hAnsi="Times New Roman" w:cs="Times New Roman"/>
                    </w:rPr>
                    <w:t>32.6</w:t>
                  </w:r>
                </w:p>
              </w:tc>
              <w:tc>
                <w:tcPr>
                  <w:tcW w:w="143" w:type="pct"/>
                  <w:shd w:val="clear" w:color="auto" w:fill="FFFFFF"/>
                  <w:tcMar>
                    <w:top w:w="0" w:type="dxa"/>
                    <w:left w:w="0" w:type="dxa"/>
                    <w:bottom w:w="0" w:type="dxa"/>
                    <w:right w:w="0" w:type="dxa"/>
                  </w:tcMar>
                  <w:vAlign w:val="center"/>
                </w:tcPr>
                <w:p w14:paraId="4B812BC6">
                  <w:pPr>
                    <w:pStyle w:val="29"/>
                    <w:adjustRightInd w:val="0"/>
                    <w:snapToGrid w:val="0"/>
                    <w:rPr>
                      <w:rFonts w:hint="default" w:ascii="Times New Roman" w:hAnsi="Times New Roman" w:cs="Times New Roman"/>
                    </w:rPr>
                  </w:pPr>
                  <w:r>
                    <w:rPr>
                      <w:rFonts w:hint="default" w:ascii="Times New Roman" w:hAnsi="Times New Roman" w:cs="Times New Roman"/>
                    </w:rPr>
                    <w:t>-29.3</w:t>
                  </w:r>
                </w:p>
              </w:tc>
              <w:tc>
                <w:tcPr>
                  <w:tcW w:w="128" w:type="pct"/>
                  <w:shd w:val="clear" w:color="auto" w:fill="FFFFFF"/>
                  <w:tcMar>
                    <w:top w:w="0" w:type="dxa"/>
                    <w:left w:w="0" w:type="dxa"/>
                    <w:bottom w:w="0" w:type="dxa"/>
                    <w:right w:w="0" w:type="dxa"/>
                  </w:tcMar>
                  <w:vAlign w:val="center"/>
                </w:tcPr>
                <w:p w14:paraId="35792F1C">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05111965">
                  <w:pPr>
                    <w:pStyle w:val="29"/>
                    <w:adjustRightInd w:val="0"/>
                    <w:snapToGrid w:val="0"/>
                    <w:rPr>
                      <w:rFonts w:hint="default" w:ascii="Times New Roman" w:hAnsi="Times New Roman" w:cs="Times New Roman"/>
                    </w:rPr>
                  </w:pPr>
                  <w:r>
                    <w:rPr>
                      <w:rFonts w:hint="default" w:ascii="Times New Roman" w:hAnsi="Times New Roman" w:cs="Times New Roman"/>
                    </w:rPr>
                    <w:t>77.4</w:t>
                  </w:r>
                </w:p>
              </w:tc>
              <w:tc>
                <w:tcPr>
                  <w:tcW w:w="176" w:type="pct"/>
                  <w:shd w:val="clear" w:color="auto" w:fill="FFFFFF"/>
                  <w:tcMar>
                    <w:top w:w="0" w:type="dxa"/>
                    <w:left w:w="0" w:type="dxa"/>
                    <w:bottom w:w="0" w:type="dxa"/>
                    <w:right w:w="0" w:type="dxa"/>
                  </w:tcMar>
                  <w:vAlign w:val="center"/>
                </w:tcPr>
                <w:p w14:paraId="7C07F175">
                  <w:pPr>
                    <w:pStyle w:val="29"/>
                    <w:adjustRightInd w:val="0"/>
                    <w:snapToGrid w:val="0"/>
                    <w:rPr>
                      <w:rFonts w:hint="default" w:ascii="Times New Roman" w:hAnsi="Times New Roman" w:cs="Times New Roman"/>
                    </w:rPr>
                  </w:pPr>
                  <w:r>
                    <w:rPr>
                      <w:rFonts w:hint="default" w:ascii="Times New Roman" w:hAnsi="Times New Roman" w:cs="Times New Roman"/>
                    </w:rPr>
                    <w:t>4.6</w:t>
                  </w:r>
                </w:p>
              </w:tc>
              <w:tc>
                <w:tcPr>
                  <w:tcW w:w="176" w:type="pct"/>
                  <w:shd w:val="clear" w:color="auto" w:fill="FFFFFF"/>
                  <w:tcMar>
                    <w:top w:w="0" w:type="dxa"/>
                    <w:left w:w="0" w:type="dxa"/>
                    <w:bottom w:w="0" w:type="dxa"/>
                    <w:right w:w="0" w:type="dxa"/>
                  </w:tcMar>
                  <w:vAlign w:val="center"/>
                </w:tcPr>
                <w:p w14:paraId="57C7176E">
                  <w:pPr>
                    <w:pStyle w:val="29"/>
                    <w:adjustRightInd w:val="0"/>
                    <w:snapToGrid w:val="0"/>
                    <w:rPr>
                      <w:rFonts w:hint="default" w:ascii="Times New Roman" w:hAnsi="Times New Roman" w:cs="Times New Roman"/>
                    </w:rPr>
                  </w:pPr>
                  <w:r>
                    <w:rPr>
                      <w:rFonts w:hint="default" w:ascii="Times New Roman" w:hAnsi="Times New Roman" w:cs="Times New Roman"/>
                    </w:rPr>
                    <w:t>48.7</w:t>
                  </w:r>
                </w:p>
              </w:tc>
              <w:tc>
                <w:tcPr>
                  <w:tcW w:w="186" w:type="pct"/>
                  <w:shd w:val="clear" w:color="auto" w:fill="FFFFFF"/>
                  <w:tcMar>
                    <w:top w:w="0" w:type="dxa"/>
                    <w:left w:w="0" w:type="dxa"/>
                    <w:bottom w:w="0" w:type="dxa"/>
                    <w:right w:w="0" w:type="dxa"/>
                  </w:tcMar>
                  <w:vAlign w:val="center"/>
                </w:tcPr>
                <w:p w14:paraId="0BDAAF9B">
                  <w:pPr>
                    <w:pStyle w:val="29"/>
                    <w:adjustRightInd w:val="0"/>
                    <w:snapToGrid w:val="0"/>
                    <w:rPr>
                      <w:rFonts w:hint="default" w:ascii="Times New Roman" w:hAnsi="Times New Roman" w:cs="Times New Roman"/>
                    </w:rPr>
                  </w:pPr>
                  <w:r>
                    <w:rPr>
                      <w:rFonts w:hint="default" w:ascii="Times New Roman" w:hAnsi="Times New Roman" w:cs="Times New Roman"/>
                    </w:rPr>
                    <w:t>4.1</w:t>
                  </w:r>
                </w:p>
              </w:tc>
              <w:tc>
                <w:tcPr>
                  <w:tcW w:w="174" w:type="pct"/>
                  <w:shd w:val="clear" w:color="auto" w:fill="FFFFFF"/>
                  <w:tcMar>
                    <w:top w:w="0" w:type="dxa"/>
                    <w:left w:w="0" w:type="dxa"/>
                    <w:bottom w:w="0" w:type="dxa"/>
                    <w:right w:w="0" w:type="dxa"/>
                  </w:tcMar>
                  <w:vAlign w:val="center"/>
                </w:tcPr>
                <w:p w14:paraId="5F8F7C36">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1E9D1895">
                  <w:pPr>
                    <w:pStyle w:val="29"/>
                    <w:adjustRightInd w:val="0"/>
                    <w:snapToGrid w:val="0"/>
                    <w:rPr>
                      <w:rFonts w:hint="default" w:ascii="Times New Roman" w:hAnsi="Times New Roman" w:cs="Times New Roman"/>
                    </w:rPr>
                  </w:pPr>
                  <w:r>
                    <w:rPr>
                      <w:rFonts w:hint="default" w:ascii="Times New Roman" w:hAnsi="Times New Roman" w:cs="Times New Roman"/>
                    </w:rPr>
                    <w:t>45.7</w:t>
                  </w:r>
                </w:p>
              </w:tc>
              <w:tc>
                <w:tcPr>
                  <w:tcW w:w="175" w:type="pct"/>
                  <w:shd w:val="clear" w:color="auto" w:fill="FFFFFF"/>
                  <w:tcMar>
                    <w:top w:w="0" w:type="dxa"/>
                    <w:left w:w="0" w:type="dxa"/>
                    <w:bottom w:w="0" w:type="dxa"/>
                    <w:right w:w="0" w:type="dxa"/>
                  </w:tcMar>
                  <w:vAlign w:val="center"/>
                </w:tcPr>
                <w:p w14:paraId="0BC4D45D">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1913AB29">
                  <w:pPr>
                    <w:pStyle w:val="29"/>
                    <w:adjustRightInd w:val="0"/>
                    <w:snapToGrid w:val="0"/>
                    <w:rPr>
                      <w:rFonts w:hint="default" w:ascii="Times New Roman" w:hAnsi="Times New Roman" w:cs="Times New Roman"/>
                    </w:rPr>
                  </w:pPr>
                  <w:r>
                    <w:rPr>
                      <w:rFonts w:hint="default" w:ascii="Times New Roman" w:hAnsi="Times New Roman" w:cs="Times New Roman"/>
                    </w:rPr>
                    <w:t>45.8</w:t>
                  </w:r>
                </w:p>
              </w:tc>
              <w:tc>
                <w:tcPr>
                  <w:tcW w:w="236" w:type="pct"/>
                  <w:shd w:val="clear" w:color="auto" w:fill="FFFFFF"/>
                  <w:tcMar>
                    <w:top w:w="0" w:type="dxa"/>
                    <w:left w:w="0" w:type="dxa"/>
                    <w:bottom w:w="0" w:type="dxa"/>
                    <w:right w:w="0" w:type="dxa"/>
                  </w:tcMar>
                  <w:vAlign w:val="center"/>
                </w:tcPr>
                <w:p w14:paraId="229A004A">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0909D9C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59F5227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2C37909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6AB2992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60AAD5D2">
                  <w:pPr>
                    <w:pStyle w:val="29"/>
                    <w:adjustRightInd w:val="0"/>
                    <w:snapToGrid w:val="0"/>
                    <w:rPr>
                      <w:rFonts w:hint="default" w:ascii="Times New Roman" w:hAnsi="Times New Roman" w:cs="Times New Roman"/>
                    </w:rPr>
                  </w:pPr>
                  <w:r>
                    <w:rPr>
                      <w:rFonts w:hint="default" w:ascii="Times New Roman" w:hAnsi="Times New Roman" w:cs="Times New Roman"/>
                    </w:rPr>
                    <w:t>36.2</w:t>
                  </w:r>
                </w:p>
              </w:tc>
              <w:tc>
                <w:tcPr>
                  <w:tcW w:w="186" w:type="pct"/>
                  <w:shd w:val="clear" w:color="auto" w:fill="FFFFFF"/>
                  <w:tcMar>
                    <w:top w:w="0" w:type="dxa"/>
                    <w:left w:w="0" w:type="dxa"/>
                    <w:bottom w:w="0" w:type="dxa"/>
                    <w:right w:w="0" w:type="dxa"/>
                  </w:tcMar>
                  <w:vAlign w:val="center"/>
                </w:tcPr>
                <w:p w14:paraId="14D9B2E8">
                  <w:pPr>
                    <w:pStyle w:val="29"/>
                    <w:adjustRightInd w:val="0"/>
                    <w:snapToGrid w:val="0"/>
                    <w:rPr>
                      <w:rFonts w:hint="default" w:ascii="Times New Roman" w:hAnsi="Times New Roman" w:cs="Times New Roman"/>
                    </w:rPr>
                  </w:pPr>
                  <w:r>
                    <w:rPr>
                      <w:rFonts w:hint="default" w:ascii="Times New Roman" w:hAnsi="Times New Roman" w:cs="Times New Roman"/>
                    </w:rPr>
                    <w:t>36.7</w:t>
                  </w:r>
                </w:p>
              </w:tc>
              <w:tc>
                <w:tcPr>
                  <w:tcW w:w="181" w:type="pct"/>
                  <w:shd w:val="clear" w:color="auto" w:fill="FFFFFF"/>
                  <w:tcMar>
                    <w:top w:w="0" w:type="dxa"/>
                    <w:left w:w="0" w:type="dxa"/>
                    <w:bottom w:w="0" w:type="dxa"/>
                    <w:right w:w="0" w:type="dxa"/>
                  </w:tcMar>
                  <w:vAlign w:val="center"/>
                </w:tcPr>
                <w:p w14:paraId="7EB12B0B">
                  <w:pPr>
                    <w:pStyle w:val="29"/>
                    <w:adjustRightInd w:val="0"/>
                    <w:snapToGrid w:val="0"/>
                    <w:rPr>
                      <w:rFonts w:hint="default" w:ascii="Times New Roman" w:hAnsi="Times New Roman" w:cs="Times New Roman"/>
                    </w:rPr>
                  </w:pPr>
                  <w:r>
                    <w:rPr>
                      <w:rFonts w:hint="default" w:ascii="Times New Roman" w:hAnsi="Times New Roman" w:cs="Times New Roman"/>
                    </w:rPr>
                    <w:t>36.2</w:t>
                  </w:r>
                </w:p>
              </w:tc>
              <w:tc>
                <w:tcPr>
                  <w:tcW w:w="176" w:type="pct"/>
                  <w:shd w:val="clear" w:color="auto" w:fill="FFFFFF"/>
                  <w:tcMar>
                    <w:top w:w="0" w:type="dxa"/>
                    <w:left w:w="0" w:type="dxa"/>
                    <w:bottom w:w="0" w:type="dxa"/>
                    <w:right w:w="0" w:type="dxa"/>
                  </w:tcMar>
                  <w:vAlign w:val="center"/>
                </w:tcPr>
                <w:p w14:paraId="6DCD511C">
                  <w:pPr>
                    <w:pStyle w:val="29"/>
                    <w:adjustRightInd w:val="0"/>
                    <w:snapToGrid w:val="0"/>
                    <w:rPr>
                      <w:rFonts w:hint="default" w:ascii="Times New Roman" w:hAnsi="Times New Roman" w:cs="Times New Roman"/>
                    </w:rPr>
                  </w:pPr>
                  <w:r>
                    <w:rPr>
                      <w:rFonts w:hint="default" w:ascii="Times New Roman" w:hAnsi="Times New Roman" w:cs="Times New Roman"/>
                    </w:rPr>
                    <w:t>36.8</w:t>
                  </w:r>
                </w:p>
              </w:tc>
              <w:tc>
                <w:tcPr>
                  <w:tcW w:w="261" w:type="pct"/>
                  <w:shd w:val="clear" w:color="auto" w:fill="FFFFFF"/>
                  <w:tcMar>
                    <w:top w:w="0" w:type="dxa"/>
                    <w:left w:w="0" w:type="dxa"/>
                    <w:bottom w:w="0" w:type="dxa"/>
                    <w:right w:w="0" w:type="dxa"/>
                  </w:tcMar>
                  <w:vAlign w:val="center"/>
                </w:tcPr>
                <w:p w14:paraId="78AD92C8">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506C6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2F3DF190">
                  <w:pPr>
                    <w:pStyle w:val="29"/>
                    <w:adjustRightInd w:val="0"/>
                    <w:snapToGrid w:val="0"/>
                    <w:rPr>
                      <w:rFonts w:hint="default" w:ascii="Times New Roman" w:hAnsi="Times New Roman" w:cs="Times New Roman"/>
                    </w:rPr>
                  </w:pPr>
                  <w:r>
                    <w:rPr>
                      <w:rFonts w:hint="default" w:ascii="Times New Roman" w:hAnsi="Times New Roman" w:cs="Times New Roman"/>
                    </w:rPr>
                    <w:t>20</w:t>
                  </w:r>
                </w:p>
              </w:tc>
              <w:tc>
                <w:tcPr>
                  <w:tcW w:w="233" w:type="pct"/>
                  <w:vMerge w:val="continue"/>
                  <w:shd w:val="clear" w:color="auto" w:fill="FFFFFF"/>
                  <w:tcMar>
                    <w:top w:w="0" w:type="dxa"/>
                    <w:left w:w="0" w:type="dxa"/>
                    <w:bottom w:w="0" w:type="dxa"/>
                    <w:right w:w="0" w:type="dxa"/>
                  </w:tcMar>
                  <w:vAlign w:val="center"/>
                </w:tcPr>
                <w:p w14:paraId="7669002B">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3538702D">
                  <w:pPr>
                    <w:pStyle w:val="29"/>
                    <w:adjustRightInd w:val="0"/>
                    <w:snapToGrid w:val="0"/>
                    <w:rPr>
                      <w:rFonts w:hint="default" w:ascii="Times New Roman" w:hAnsi="Times New Roman" w:cs="Times New Roman"/>
                    </w:rPr>
                  </w:pPr>
                  <w:r>
                    <w:rPr>
                      <w:rFonts w:hint="default" w:ascii="Times New Roman" w:hAnsi="Times New Roman" w:cs="Times New Roman"/>
                    </w:rPr>
                    <w:t>接纸机2</w:t>
                  </w:r>
                </w:p>
              </w:tc>
              <w:tc>
                <w:tcPr>
                  <w:tcW w:w="147" w:type="pct"/>
                  <w:shd w:val="clear" w:color="auto" w:fill="FFFFFF"/>
                  <w:tcMar>
                    <w:top w:w="0" w:type="dxa"/>
                    <w:left w:w="0" w:type="dxa"/>
                    <w:bottom w:w="0" w:type="dxa"/>
                    <w:right w:w="0" w:type="dxa"/>
                  </w:tcMar>
                  <w:vAlign w:val="center"/>
                </w:tcPr>
                <w:p w14:paraId="5134403E">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5C9178D1">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3D4D226">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268EEF0C">
                  <w:pPr>
                    <w:pStyle w:val="29"/>
                    <w:adjustRightInd w:val="0"/>
                    <w:snapToGrid w:val="0"/>
                    <w:rPr>
                      <w:rFonts w:hint="default" w:ascii="Times New Roman" w:hAnsi="Times New Roman" w:cs="Times New Roman"/>
                    </w:rPr>
                  </w:pPr>
                  <w:r>
                    <w:rPr>
                      <w:rFonts w:hint="default" w:ascii="Times New Roman" w:hAnsi="Times New Roman" w:cs="Times New Roman"/>
                    </w:rPr>
                    <w:t>35</w:t>
                  </w:r>
                </w:p>
              </w:tc>
              <w:tc>
                <w:tcPr>
                  <w:tcW w:w="143" w:type="pct"/>
                  <w:shd w:val="clear" w:color="auto" w:fill="FFFFFF"/>
                  <w:tcMar>
                    <w:top w:w="0" w:type="dxa"/>
                    <w:left w:w="0" w:type="dxa"/>
                    <w:bottom w:w="0" w:type="dxa"/>
                    <w:right w:w="0" w:type="dxa"/>
                  </w:tcMar>
                  <w:vAlign w:val="center"/>
                </w:tcPr>
                <w:p w14:paraId="547560C5">
                  <w:pPr>
                    <w:pStyle w:val="29"/>
                    <w:adjustRightInd w:val="0"/>
                    <w:snapToGrid w:val="0"/>
                    <w:rPr>
                      <w:rFonts w:hint="default" w:ascii="Times New Roman" w:hAnsi="Times New Roman" w:cs="Times New Roman"/>
                    </w:rPr>
                  </w:pPr>
                  <w:r>
                    <w:rPr>
                      <w:rFonts w:hint="default" w:ascii="Times New Roman" w:hAnsi="Times New Roman" w:cs="Times New Roman"/>
                    </w:rPr>
                    <w:t>-26.3</w:t>
                  </w:r>
                </w:p>
              </w:tc>
              <w:tc>
                <w:tcPr>
                  <w:tcW w:w="128" w:type="pct"/>
                  <w:shd w:val="clear" w:color="auto" w:fill="FFFFFF"/>
                  <w:tcMar>
                    <w:top w:w="0" w:type="dxa"/>
                    <w:left w:w="0" w:type="dxa"/>
                    <w:bottom w:w="0" w:type="dxa"/>
                    <w:right w:w="0" w:type="dxa"/>
                  </w:tcMar>
                  <w:vAlign w:val="center"/>
                </w:tcPr>
                <w:p w14:paraId="360E555C">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5EED848F">
                  <w:pPr>
                    <w:pStyle w:val="29"/>
                    <w:adjustRightInd w:val="0"/>
                    <w:snapToGrid w:val="0"/>
                    <w:rPr>
                      <w:rFonts w:hint="default" w:ascii="Times New Roman" w:hAnsi="Times New Roman" w:cs="Times New Roman"/>
                    </w:rPr>
                  </w:pPr>
                  <w:r>
                    <w:rPr>
                      <w:rFonts w:hint="default" w:ascii="Times New Roman" w:hAnsi="Times New Roman" w:cs="Times New Roman"/>
                    </w:rPr>
                    <w:t>76.2</w:t>
                  </w:r>
                </w:p>
              </w:tc>
              <w:tc>
                <w:tcPr>
                  <w:tcW w:w="176" w:type="pct"/>
                  <w:shd w:val="clear" w:color="auto" w:fill="FFFFFF"/>
                  <w:tcMar>
                    <w:top w:w="0" w:type="dxa"/>
                    <w:left w:w="0" w:type="dxa"/>
                    <w:bottom w:w="0" w:type="dxa"/>
                    <w:right w:w="0" w:type="dxa"/>
                  </w:tcMar>
                  <w:vAlign w:val="center"/>
                </w:tcPr>
                <w:p w14:paraId="59034F7E">
                  <w:pPr>
                    <w:pStyle w:val="29"/>
                    <w:adjustRightInd w:val="0"/>
                    <w:snapToGrid w:val="0"/>
                    <w:rPr>
                      <w:rFonts w:hint="default" w:ascii="Times New Roman" w:hAnsi="Times New Roman" w:cs="Times New Roman"/>
                    </w:rPr>
                  </w:pPr>
                  <w:r>
                    <w:rPr>
                      <w:rFonts w:hint="default" w:ascii="Times New Roman" w:hAnsi="Times New Roman" w:cs="Times New Roman"/>
                    </w:rPr>
                    <w:t>8.3</w:t>
                  </w:r>
                </w:p>
              </w:tc>
              <w:tc>
                <w:tcPr>
                  <w:tcW w:w="176" w:type="pct"/>
                  <w:shd w:val="clear" w:color="auto" w:fill="FFFFFF"/>
                  <w:tcMar>
                    <w:top w:w="0" w:type="dxa"/>
                    <w:left w:w="0" w:type="dxa"/>
                    <w:bottom w:w="0" w:type="dxa"/>
                    <w:right w:w="0" w:type="dxa"/>
                  </w:tcMar>
                  <w:vAlign w:val="center"/>
                </w:tcPr>
                <w:p w14:paraId="6F0D840A">
                  <w:pPr>
                    <w:pStyle w:val="29"/>
                    <w:adjustRightInd w:val="0"/>
                    <w:snapToGrid w:val="0"/>
                    <w:rPr>
                      <w:rFonts w:hint="default" w:ascii="Times New Roman" w:hAnsi="Times New Roman" w:cs="Times New Roman"/>
                    </w:rPr>
                  </w:pPr>
                  <w:r>
                    <w:rPr>
                      <w:rFonts w:hint="default" w:ascii="Times New Roman" w:hAnsi="Times New Roman" w:cs="Times New Roman"/>
                    </w:rPr>
                    <w:t>49.9</w:t>
                  </w:r>
                </w:p>
              </w:tc>
              <w:tc>
                <w:tcPr>
                  <w:tcW w:w="186" w:type="pct"/>
                  <w:shd w:val="clear" w:color="auto" w:fill="FFFFFF"/>
                  <w:tcMar>
                    <w:top w:w="0" w:type="dxa"/>
                    <w:left w:w="0" w:type="dxa"/>
                    <w:bottom w:w="0" w:type="dxa"/>
                    <w:right w:w="0" w:type="dxa"/>
                  </w:tcMar>
                  <w:vAlign w:val="center"/>
                </w:tcPr>
                <w:p w14:paraId="748F69B8">
                  <w:pPr>
                    <w:pStyle w:val="29"/>
                    <w:adjustRightInd w:val="0"/>
                    <w:snapToGrid w:val="0"/>
                    <w:rPr>
                      <w:rFonts w:hint="default" w:ascii="Times New Roman" w:hAnsi="Times New Roman" w:cs="Times New Roman"/>
                    </w:rPr>
                  </w:pPr>
                  <w:r>
                    <w:rPr>
                      <w:rFonts w:hint="default" w:ascii="Times New Roman" w:hAnsi="Times New Roman" w:cs="Times New Roman"/>
                    </w:rPr>
                    <w:t>7.8</w:t>
                  </w:r>
                </w:p>
              </w:tc>
              <w:tc>
                <w:tcPr>
                  <w:tcW w:w="174" w:type="pct"/>
                  <w:shd w:val="clear" w:color="auto" w:fill="FFFFFF"/>
                  <w:tcMar>
                    <w:top w:w="0" w:type="dxa"/>
                    <w:left w:w="0" w:type="dxa"/>
                    <w:bottom w:w="0" w:type="dxa"/>
                    <w:right w:w="0" w:type="dxa"/>
                  </w:tcMar>
                  <w:vAlign w:val="center"/>
                </w:tcPr>
                <w:p w14:paraId="3CD79BE0">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3683A6BC">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175" w:type="pct"/>
                  <w:shd w:val="clear" w:color="auto" w:fill="FFFFFF"/>
                  <w:tcMar>
                    <w:top w:w="0" w:type="dxa"/>
                    <w:left w:w="0" w:type="dxa"/>
                    <w:bottom w:w="0" w:type="dxa"/>
                    <w:right w:w="0" w:type="dxa"/>
                  </w:tcMar>
                  <w:vAlign w:val="center"/>
                </w:tcPr>
                <w:p w14:paraId="73A04346">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6641D17C">
                  <w:pPr>
                    <w:pStyle w:val="29"/>
                    <w:adjustRightInd w:val="0"/>
                    <w:snapToGrid w:val="0"/>
                    <w:rPr>
                      <w:rFonts w:hint="default" w:ascii="Times New Roman" w:hAnsi="Times New Roman" w:cs="Times New Roman"/>
                    </w:rPr>
                  </w:pPr>
                  <w:r>
                    <w:rPr>
                      <w:rFonts w:hint="default" w:ascii="Times New Roman" w:hAnsi="Times New Roman" w:cs="Times New Roman"/>
                    </w:rPr>
                    <w:t>45.4</w:t>
                  </w:r>
                </w:p>
              </w:tc>
              <w:tc>
                <w:tcPr>
                  <w:tcW w:w="236" w:type="pct"/>
                  <w:shd w:val="clear" w:color="auto" w:fill="FFFFFF"/>
                  <w:tcMar>
                    <w:top w:w="0" w:type="dxa"/>
                    <w:left w:w="0" w:type="dxa"/>
                    <w:bottom w:w="0" w:type="dxa"/>
                    <w:right w:w="0" w:type="dxa"/>
                  </w:tcMar>
                  <w:vAlign w:val="center"/>
                </w:tcPr>
                <w:p w14:paraId="060E6209">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70D39A8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00DC3425">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AC90FBD">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2E6D8427">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A739DE1">
                  <w:pPr>
                    <w:pStyle w:val="29"/>
                    <w:adjustRightInd w:val="0"/>
                    <w:snapToGrid w:val="0"/>
                    <w:rPr>
                      <w:rFonts w:hint="default" w:ascii="Times New Roman" w:hAnsi="Times New Roman" w:cs="Times New Roman"/>
                    </w:rPr>
                  </w:pPr>
                  <w:r>
                    <w:rPr>
                      <w:rFonts w:hint="default" w:ascii="Times New Roman" w:hAnsi="Times New Roman" w:cs="Times New Roman"/>
                    </w:rPr>
                    <w:t>48.8</w:t>
                  </w:r>
                </w:p>
              </w:tc>
              <w:tc>
                <w:tcPr>
                  <w:tcW w:w="186" w:type="pct"/>
                  <w:shd w:val="clear" w:color="auto" w:fill="FFFFFF"/>
                  <w:tcMar>
                    <w:top w:w="0" w:type="dxa"/>
                    <w:left w:w="0" w:type="dxa"/>
                    <w:bottom w:w="0" w:type="dxa"/>
                    <w:right w:w="0" w:type="dxa"/>
                  </w:tcMar>
                  <w:vAlign w:val="center"/>
                </w:tcPr>
                <w:p w14:paraId="007C8A6F">
                  <w:pPr>
                    <w:pStyle w:val="29"/>
                    <w:adjustRightInd w:val="0"/>
                    <w:snapToGrid w:val="0"/>
                    <w:rPr>
                      <w:rFonts w:hint="default" w:ascii="Times New Roman" w:hAnsi="Times New Roman" w:cs="Times New Roman"/>
                    </w:rPr>
                  </w:pPr>
                  <w:r>
                    <w:rPr>
                      <w:rFonts w:hint="default" w:ascii="Times New Roman" w:hAnsi="Times New Roman" w:cs="Times New Roman"/>
                    </w:rPr>
                    <w:t>36.4</w:t>
                  </w:r>
                </w:p>
              </w:tc>
              <w:tc>
                <w:tcPr>
                  <w:tcW w:w="181" w:type="pct"/>
                  <w:shd w:val="clear" w:color="auto" w:fill="FFFFFF"/>
                  <w:tcMar>
                    <w:top w:w="0" w:type="dxa"/>
                    <w:left w:w="0" w:type="dxa"/>
                    <w:bottom w:w="0" w:type="dxa"/>
                    <w:right w:w="0" w:type="dxa"/>
                  </w:tcMar>
                  <w:vAlign w:val="center"/>
                </w:tcPr>
                <w:p w14:paraId="44D77D45">
                  <w:pPr>
                    <w:pStyle w:val="29"/>
                    <w:adjustRightInd w:val="0"/>
                    <w:snapToGrid w:val="0"/>
                    <w:rPr>
                      <w:rFonts w:hint="default" w:ascii="Times New Roman" w:hAnsi="Times New Roman" w:cs="Times New Roman"/>
                    </w:rPr>
                  </w:pPr>
                  <w:r>
                    <w:rPr>
                      <w:rFonts w:hint="default" w:ascii="Times New Roman" w:hAnsi="Times New Roman" w:cs="Times New Roman"/>
                    </w:rPr>
                    <w:t>36.2</w:t>
                  </w:r>
                </w:p>
              </w:tc>
              <w:tc>
                <w:tcPr>
                  <w:tcW w:w="176" w:type="pct"/>
                  <w:shd w:val="clear" w:color="auto" w:fill="FFFFFF"/>
                  <w:tcMar>
                    <w:top w:w="0" w:type="dxa"/>
                    <w:left w:w="0" w:type="dxa"/>
                    <w:bottom w:w="0" w:type="dxa"/>
                    <w:right w:w="0" w:type="dxa"/>
                  </w:tcMar>
                  <w:vAlign w:val="center"/>
                </w:tcPr>
                <w:p w14:paraId="19ED9BB5">
                  <w:pPr>
                    <w:pStyle w:val="29"/>
                    <w:adjustRightInd w:val="0"/>
                    <w:snapToGrid w:val="0"/>
                    <w:rPr>
                      <w:rFonts w:hint="default" w:ascii="Times New Roman" w:hAnsi="Times New Roman" w:cs="Times New Roman"/>
                    </w:rPr>
                  </w:pPr>
                  <w:r>
                    <w:rPr>
                      <w:rFonts w:hint="default" w:ascii="Times New Roman" w:hAnsi="Times New Roman" w:cs="Times New Roman"/>
                    </w:rPr>
                    <w:t>36.4</w:t>
                  </w:r>
                </w:p>
              </w:tc>
              <w:tc>
                <w:tcPr>
                  <w:tcW w:w="261" w:type="pct"/>
                  <w:shd w:val="clear" w:color="auto" w:fill="FFFFFF"/>
                  <w:tcMar>
                    <w:top w:w="0" w:type="dxa"/>
                    <w:left w:w="0" w:type="dxa"/>
                    <w:bottom w:w="0" w:type="dxa"/>
                    <w:right w:w="0" w:type="dxa"/>
                  </w:tcMar>
                  <w:vAlign w:val="center"/>
                </w:tcPr>
                <w:p w14:paraId="4B7B3350">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185FA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69834B44">
                  <w:pPr>
                    <w:pStyle w:val="29"/>
                    <w:adjustRightInd w:val="0"/>
                    <w:snapToGrid w:val="0"/>
                    <w:rPr>
                      <w:rFonts w:hint="default" w:ascii="Times New Roman" w:hAnsi="Times New Roman" w:cs="Times New Roman"/>
                    </w:rPr>
                  </w:pPr>
                  <w:r>
                    <w:rPr>
                      <w:rFonts w:hint="default" w:ascii="Times New Roman" w:hAnsi="Times New Roman" w:cs="Times New Roman"/>
                    </w:rPr>
                    <w:t>21</w:t>
                  </w:r>
                </w:p>
              </w:tc>
              <w:tc>
                <w:tcPr>
                  <w:tcW w:w="233" w:type="pct"/>
                  <w:vMerge w:val="continue"/>
                  <w:shd w:val="clear" w:color="auto" w:fill="FFFFFF"/>
                  <w:tcMar>
                    <w:top w:w="0" w:type="dxa"/>
                    <w:left w:w="0" w:type="dxa"/>
                    <w:bottom w:w="0" w:type="dxa"/>
                    <w:right w:w="0" w:type="dxa"/>
                  </w:tcMar>
                  <w:vAlign w:val="center"/>
                </w:tcPr>
                <w:p w14:paraId="6CEB6CFB">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1EC0CE00">
                  <w:pPr>
                    <w:pStyle w:val="29"/>
                    <w:adjustRightInd w:val="0"/>
                    <w:snapToGrid w:val="0"/>
                    <w:rPr>
                      <w:rFonts w:hint="default" w:ascii="Times New Roman" w:hAnsi="Times New Roman" w:cs="Times New Roman"/>
                    </w:rPr>
                  </w:pPr>
                  <w:r>
                    <w:rPr>
                      <w:rFonts w:hint="default" w:ascii="Times New Roman" w:hAnsi="Times New Roman" w:cs="Times New Roman"/>
                    </w:rPr>
                    <w:t>接纸机3</w:t>
                  </w:r>
                </w:p>
              </w:tc>
              <w:tc>
                <w:tcPr>
                  <w:tcW w:w="147" w:type="pct"/>
                  <w:shd w:val="clear" w:color="auto" w:fill="FFFFFF"/>
                  <w:tcMar>
                    <w:top w:w="0" w:type="dxa"/>
                    <w:left w:w="0" w:type="dxa"/>
                    <w:bottom w:w="0" w:type="dxa"/>
                    <w:right w:w="0" w:type="dxa"/>
                  </w:tcMar>
                  <w:vAlign w:val="center"/>
                </w:tcPr>
                <w:p w14:paraId="65AB905E">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01CE5319">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63569D9A">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0CE90DA5">
                  <w:pPr>
                    <w:pStyle w:val="29"/>
                    <w:adjustRightInd w:val="0"/>
                    <w:snapToGrid w:val="0"/>
                    <w:rPr>
                      <w:rFonts w:hint="default" w:ascii="Times New Roman" w:hAnsi="Times New Roman" w:cs="Times New Roman"/>
                    </w:rPr>
                  </w:pPr>
                  <w:r>
                    <w:rPr>
                      <w:rFonts w:hint="default" w:ascii="Times New Roman" w:hAnsi="Times New Roman" w:cs="Times New Roman"/>
                    </w:rPr>
                    <w:t>36.5</w:t>
                  </w:r>
                </w:p>
              </w:tc>
              <w:tc>
                <w:tcPr>
                  <w:tcW w:w="143" w:type="pct"/>
                  <w:shd w:val="clear" w:color="auto" w:fill="FFFFFF"/>
                  <w:tcMar>
                    <w:top w:w="0" w:type="dxa"/>
                    <w:left w:w="0" w:type="dxa"/>
                    <w:bottom w:w="0" w:type="dxa"/>
                    <w:right w:w="0" w:type="dxa"/>
                  </w:tcMar>
                  <w:vAlign w:val="center"/>
                </w:tcPr>
                <w:p w14:paraId="63BD1E40">
                  <w:pPr>
                    <w:pStyle w:val="29"/>
                    <w:adjustRightInd w:val="0"/>
                    <w:snapToGrid w:val="0"/>
                    <w:rPr>
                      <w:rFonts w:hint="default" w:ascii="Times New Roman" w:hAnsi="Times New Roman" w:cs="Times New Roman"/>
                    </w:rPr>
                  </w:pPr>
                  <w:r>
                    <w:rPr>
                      <w:rFonts w:hint="default" w:ascii="Times New Roman" w:hAnsi="Times New Roman" w:cs="Times New Roman"/>
                    </w:rPr>
                    <w:t>-23.4</w:t>
                  </w:r>
                </w:p>
              </w:tc>
              <w:tc>
                <w:tcPr>
                  <w:tcW w:w="128" w:type="pct"/>
                  <w:shd w:val="clear" w:color="auto" w:fill="FFFFFF"/>
                  <w:tcMar>
                    <w:top w:w="0" w:type="dxa"/>
                    <w:left w:w="0" w:type="dxa"/>
                    <w:bottom w:w="0" w:type="dxa"/>
                    <w:right w:w="0" w:type="dxa"/>
                  </w:tcMar>
                  <w:vAlign w:val="center"/>
                </w:tcPr>
                <w:p w14:paraId="693E56A3">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178E9FCE">
                  <w:pPr>
                    <w:pStyle w:val="29"/>
                    <w:adjustRightInd w:val="0"/>
                    <w:snapToGrid w:val="0"/>
                    <w:rPr>
                      <w:rFonts w:hint="default" w:ascii="Times New Roman" w:hAnsi="Times New Roman" w:cs="Times New Roman"/>
                    </w:rPr>
                  </w:pPr>
                  <w:r>
                    <w:rPr>
                      <w:rFonts w:hint="default" w:ascii="Times New Roman" w:hAnsi="Times New Roman" w:cs="Times New Roman"/>
                    </w:rPr>
                    <w:t>75.8</w:t>
                  </w:r>
                </w:p>
              </w:tc>
              <w:tc>
                <w:tcPr>
                  <w:tcW w:w="176" w:type="pct"/>
                  <w:shd w:val="clear" w:color="auto" w:fill="FFFFFF"/>
                  <w:tcMar>
                    <w:top w:w="0" w:type="dxa"/>
                    <w:left w:w="0" w:type="dxa"/>
                    <w:bottom w:w="0" w:type="dxa"/>
                    <w:right w:w="0" w:type="dxa"/>
                  </w:tcMar>
                  <w:vAlign w:val="center"/>
                </w:tcPr>
                <w:p w14:paraId="55956D96">
                  <w:pPr>
                    <w:pStyle w:val="29"/>
                    <w:adjustRightInd w:val="0"/>
                    <w:snapToGrid w:val="0"/>
                    <w:rPr>
                      <w:rFonts w:hint="default" w:ascii="Times New Roman" w:hAnsi="Times New Roman" w:cs="Times New Roman"/>
                    </w:rPr>
                  </w:pPr>
                  <w:r>
                    <w:rPr>
                      <w:rFonts w:hint="default" w:ascii="Times New Roman" w:hAnsi="Times New Roman" w:cs="Times New Roman"/>
                    </w:rPr>
                    <w:t>11.6</w:t>
                  </w:r>
                </w:p>
              </w:tc>
              <w:tc>
                <w:tcPr>
                  <w:tcW w:w="176" w:type="pct"/>
                  <w:shd w:val="clear" w:color="auto" w:fill="FFFFFF"/>
                  <w:tcMar>
                    <w:top w:w="0" w:type="dxa"/>
                    <w:left w:w="0" w:type="dxa"/>
                    <w:bottom w:w="0" w:type="dxa"/>
                    <w:right w:w="0" w:type="dxa"/>
                  </w:tcMar>
                  <w:vAlign w:val="center"/>
                </w:tcPr>
                <w:p w14:paraId="609A05D5">
                  <w:pPr>
                    <w:pStyle w:val="29"/>
                    <w:adjustRightInd w:val="0"/>
                    <w:snapToGrid w:val="0"/>
                    <w:rPr>
                      <w:rFonts w:hint="default" w:ascii="Times New Roman" w:hAnsi="Times New Roman" w:cs="Times New Roman"/>
                    </w:rPr>
                  </w:pPr>
                  <w:r>
                    <w:rPr>
                      <w:rFonts w:hint="default" w:ascii="Times New Roman" w:hAnsi="Times New Roman" w:cs="Times New Roman"/>
                    </w:rPr>
                    <w:t>50.3</w:t>
                  </w:r>
                </w:p>
              </w:tc>
              <w:tc>
                <w:tcPr>
                  <w:tcW w:w="186" w:type="pct"/>
                  <w:shd w:val="clear" w:color="auto" w:fill="FFFFFF"/>
                  <w:tcMar>
                    <w:top w:w="0" w:type="dxa"/>
                    <w:left w:w="0" w:type="dxa"/>
                    <w:bottom w:w="0" w:type="dxa"/>
                    <w:right w:w="0" w:type="dxa"/>
                  </w:tcMar>
                  <w:vAlign w:val="center"/>
                </w:tcPr>
                <w:p w14:paraId="0FDE9D44">
                  <w:pPr>
                    <w:pStyle w:val="29"/>
                    <w:adjustRightInd w:val="0"/>
                    <w:snapToGrid w:val="0"/>
                    <w:rPr>
                      <w:rFonts w:hint="default" w:ascii="Times New Roman" w:hAnsi="Times New Roman" w:cs="Times New Roman"/>
                    </w:rPr>
                  </w:pPr>
                  <w:r>
                    <w:rPr>
                      <w:rFonts w:hint="default" w:ascii="Times New Roman" w:hAnsi="Times New Roman" w:cs="Times New Roman"/>
                    </w:rPr>
                    <w:t>11.0</w:t>
                  </w:r>
                </w:p>
              </w:tc>
              <w:tc>
                <w:tcPr>
                  <w:tcW w:w="174" w:type="pct"/>
                  <w:shd w:val="clear" w:color="auto" w:fill="FFFFFF"/>
                  <w:tcMar>
                    <w:top w:w="0" w:type="dxa"/>
                    <w:left w:w="0" w:type="dxa"/>
                    <w:bottom w:w="0" w:type="dxa"/>
                    <w:right w:w="0" w:type="dxa"/>
                  </w:tcMar>
                  <w:vAlign w:val="center"/>
                </w:tcPr>
                <w:p w14:paraId="6A43E7DB">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75" w:type="pct"/>
                  <w:shd w:val="clear" w:color="auto" w:fill="FFFFFF"/>
                  <w:tcMar>
                    <w:top w:w="0" w:type="dxa"/>
                    <w:left w:w="0" w:type="dxa"/>
                    <w:bottom w:w="0" w:type="dxa"/>
                    <w:right w:w="0" w:type="dxa"/>
                  </w:tcMar>
                  <w:vAlign w:val="center"/>
                </w:tcPr>
                <w:p w14:paraId="4A22B891">
                  <w:pPr>
                    <w:pStyle w:val="29"/>
                    <w:adjustRightInd w:val="0"/>
                    <w:snapToGrid w:val="0"/>
                    <w:rPr>
                      <w:rFonts w:hint="default" w:ascii="Times New Roman" w:hAnsi="Times New Roman" w:cs="Times New Roman"/>
                    </w:rPr>
                  </w:pPr>
                  <w:r>
                    <w:rPr>
                      <w:rFonts w:hint="default" w:ascii="Times New Roman" w:hAnsi="Times New Roman" w:cs="Times New Roman"/>
                    </w:rPr>
                    <w:t>45.3</w:t>
                  </w:r>
                </w:p>
              </w:tc>
              <w:tc>
                <w:tcPr>
                  <w:tcW w:w="175" w:type="pct"/>
                  <w:shd w:val="clear" w:color="auto" w:fill="FFFFFF"/>
                  <w:tcMar>
                    <w:top w:w="0" w:type="dxa"/>
                    <w:left w:w="0" w:type="dxa"/>
                    <w:bottom w:w="0" w:type="dxa"/>
                    <w:right w:w="0" w:type="dxa"/>
                  </w:tcMar>
                  <w:vAlign w:val="center"/>
                </w:tcPr>
                <w:p w14:paraId="310F5DC1">
                  <w:pPr>
                    <w:pStyle w:val="29"/>
                    <w:adjustRightInd w:val="0"/>
                    <w:snapToGrid w:val="0"/>
                    <w:rPr>
                      <w:rFonts w:hint="default" w:ascii="Times New Roman" w:hAnsi="Times New Roman" w:cs="Times New Roman"/>
                    </w:rPr>
                  </w:pPr>
                  <w:r>
                    <w:rPr>
                      <w:rFonts w:hint="default" w:ascii="Times New Roman" w:hAnsi="Times New Roman" w:cs="Times New Roman"/>
                    </w:rPr>
                    <w:t>45.2</w:t>
                  </w:r>
                </w:p>
              </w:tc>
              <w:tc>
                <w:tcPr>
                  <w:tcW w:w="137" w:type="pct"/>
                  <w:shd w:val="clear" w:color="auto" w:fill="FFFFFF"/>
                  <w:tcMar>
                    <w:top w:w="0" w:type="dxa"/>
                    <w:left w:w="0" w:type="dxa"/>
                    <w:bottom w:w="0" w:type="dxa"/>
                    <w:right w:w="0" w:type="dxa"/>
                  </w:tcMar>
                  <w:vAlign w:val="center"/>
                </w:tcPr>
                <w:p w14:paraId="358C8F1A">
                  <w:pPr>
                    <w:pStyle w:val="29"/>
                    <w:adjustRightInd w:val="0"/>
                    <w:snapToGrid w:val="0"/>
                    <w:rPr>
                      <w:rFonts w:hint="default" w:ascii="Times New Roman" w:hAnsi="Times New Roman" w:cs="Times New Roman"/>
                    </w:rPr>
                  </w:pPr>
                  <w:r>
                    <w:rPr>
                      <w:rFonts w:hint="default" w:ascii="Times New Roman" w:hAnsi="Times New Roman" w:cs="Times New Roman"/>
                    </w:rPr>
                    <w:t>45.3</w:t>
                  </w:r>
                </w:p>
              </w:tc>
              <w:tc>
                <w:tcPr>
                  <w:tcW w:w="236" w:type="pct"/>
                  <w:shd w:val="clear" w:color="auto" w:fill="FFFFFF"/>
                  <w:tcMar>
                    <w:top w:w="0" w:type="dxa"/>
                    <w:left w:w="0" w:type="dxa"/>
                    <w:bottom w:w="0" w:type="dxa"/>
                    <w:right w:w="0" w:type="dxa"/>
                  </w:tcMar>
                  <w:vAlign w:val="center"/>
                </w:tcPr>
                <w:p w14:paraId="6C5AB80D">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6F53C23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7B4F46D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2B5DBE96">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46654C8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7365859">
                  <w:pPr>
                    <w:pStyle w:val="29"/>
                    <w:adjustRightInd w:val="0"/>
                    <w:snapToGrid w:val="0"/>
                    <w:rPr>
                      <w:rFonts w:hint="default" w:ascii="Times New Roman" w:hAnsi="Times New Roman" w:cs="Times New Roman"/>
                    </w:rPr>
                  </w:pPr>
                  <w:r>
                    <w:rPr>
                      <w:rFonts w:hint="default" w:ascii="Times New Roman" w:hAnsi="Times New Roman" w:cs="Times New Roman"/>
                    </w:rPr>
                    <w:t>48.6</w:t>
                  </w:r>
                </w:p>
              </w:tc>
              <w:tc>
                <w:tcPr>
                  <w:tcW w:w="186" w:type="pct"/>
                  <w:shd w:val="clear" w:color="auto" w:fill="FFFFFF"/>
                  <w:tcMar>
                    <w:top w:w="0" w:type="dxa"/>
                    <w:left w:w="0" w:type="dxa"/>
                    <w:bottom w:w="0" w:type="dxa"/>
                    <w:right w:w="0" w:type="dxa"/>
                  </w:tcMar>
                  <w:vAlign w:val="center"/>
                </w:tcPr>
                <w:p w14:paraId="3AE81EBB">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81" w:type="pct"/>
                  <w:shd w:val="clear" w:color="auto" w:fill="FFFFFF"/>
                  <w:tcMar>
                    <w:top w:w="0" w:type="dxa"/>
                    <w:left w:w="0" w:type="dxa"/>
                    <w:bottom w:w="0" w:type="dxa"/>
                    <w:right w:w="0" w:type="dxa"/>
                  </w:tcMar>
                  <w:vAlign w:val="center"/>
                </w:tcPr>
                <w:p w14:paraId="75EFC1F3">
                  <w:pPr>
                    <w:pStyle w:val="29"/>
                    <w:adjustRightInd w:val="0"/>
                    <w:snapToGrid w:val="0"/>
                    <w:rPr>
                      <w:rFonts w:hint="default" w:ascii="Times New Roman" w:hAnsi="Times New Roman" w:cs="Times New Roman"/>
                    </w:rPr>
                  </w:pPr>
                  <w:r>
                    <w:rPr>
                      <w:rFonts w:hint="default" w:ascii="Times New Roman" w:hAnsi="Times New Roman" w:cs="Times New Roman"/>
                    </w:rPr>
                    <w:t>36.2</w:t>
                  </w:r>
                </w:p>
              </w:tc>
              <w:tc>
                <w:tcPr>
                  <w:tcW w:w="176" w:type="pct"/>
                  <w:shd w:val="clear" w:color="auto" w:fill="FFFFFF"/>
                  <w:tcMar>
                    <w:top w:w="0" w:type="dxa"/>
                    <w:left w:w="0" w:type="dxa"/>
                    <w:bottom w:w="0" w:type="dxa"/>
                    <w:right w:w="0" w:type="dxa"/>
                  </w:tcMar>
                  <w:vAlign w:val="center"/>
                </w:tcPr>
                <w:p w14:paraId="09F07533">
                  <w:pPr>
                    <w:pStyle w:val="29"/>
                    <w:adjustRightInd w:val="0"/>
                    <w:snapToGrid w:val="0"/>
                    <w:rPr>
                      <w:rFonts w:hint="default" w:ascii="Times New Roman" w:hAnsi="Times New Roman" w:cs="Times New Roman"/>
                    </w:rPr>
                  </w:pPr>
                  <w:r>
                    <w:rPr>
                      <w:rFonts w:hint="default" w:ascii="Times New Roman" w:hAnsi="Times New Roman" w:cs="Times New Roman"/>
                    </w:rPr>
                    <w:t>36.3</w:t>
                  </w:r>
                </w:p>
              </w:tc>
              <w:tc>
                <w:tcPr>
                  <w:tcW w:w="261" w:type="pct"/>
                  <w:shd w:val="clear" w:color="auto" w:fill="FFFFFF"/>
                  <w:tcMar>
                    <w:top w:w="0" w:type="dxa"/>
                    <w:left w:w="0" w:type="dxa"/>
                    <w:bottom w:w="0" w:type="dxa"/>
                    <w:right w:w="0" w:type="dxa"/>
                  </w:tcMar>
                  <w:vAlign w:val="center"/>
                </w:tcPr>
                <w:p w14:paraId="68CCEAFC">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345B4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29A2F16B">
                  <w:pPr>
                    <w:pStyle w:val="29"/>
                    <w:adjustRightInd w:val="0"/>
                    <w:snapToGrid w:val="0"/>
                    <w:rPr>
                      <w:rFonts w:hint="default" w:ascii="Times New Roman" w:hAnsi="Times New Roman" w:cs="Times New Roman"/>
                    </w:rPr>
                  </w:pPr>
                  <w:r>
                    <w:rPr>
                      <w:rFonts w:hint="default" w:ascii="Times New Roman" w:hAnsi="Times New Roman" w:cs="Times New Roman"/>
                    </w:rPr>
                    <w:t>22</w:t>
                  </w:r>
                </w:p>
              </w:tc>
              <w:tc>
                <w:tcPr>
                  <w:tcW w:w="233" w:type="pct"/>
                  <w:vMerge w:val="continue"/>
                  <w:shd w:val="clear" w:color="auto" w:fill="FFFFFF"/>
                  <w:tcMar>
                    <w:top w:w="0" w:type="dxa"/>
                    <w:left w:w="0" w:type="dxa"/>
                    <w:bottom w:w="0" w:type="dxa"/>
                    <w:right w:w="0" w:type="dxa"/>
                  </w:tcMar>
                  <w:vAlign w:val="center"/>
                </w:tcPr>
                <w:p w14:paraId="6B147148">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0A4AC814">
                  <w:pPr>
                    <w:pStyle w:val="29"/>
                    <w:adjustRightInd w:val="0"/>
                    <w:snapToGrid w:val="0"/>
                    <w:rPr>
                      <w:rFonts w:hint="default" w:ascii="Times New Roman" w:hAnsi="Times New Roman" w:cs="Times New Roman"/>
                    </w:rPr>
                  </w:pPr>
                  <w:r>
                    <w:rPr>
                      <w:rFonts w:hint="default" w:ascii="Times New Roman" w:hAnsi="Times New Roman" w:cs="Times New Roman"/>
                    </w:rPr>
                    <w:t>粘箱机</w:t>
                  </w:r>
                </w:p>
              </w:tc>
              <w:tc>
                <w:tcPr>
                  <w:tcW w:w="147" w:type="pct"/>
                  <w:shd w:val="clear" w:color="auto" w:fill="FFFFFF"/>
                  <w:tcMar>
                    <w:top w:w="0" w:type="dxa"/>
                    <w:left w:w="0" w:type="dxa"/>
                    <w:bottom w:w="0" w:type="dxa"/>
                    <w:right w:w="0" w:type="dxa"/>
                  </w:tcMar>
                  <w:vAlign w:val="center"/>
                </w:tcPr>
                <w:p w14:paraId="71EA508C">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45210E49">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202DD113">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18BA957B">
                  <w:pPr>
                    <w:pStyle w:val="29"/>
                    <w:adjustRightInd w:val="0"/>
                    <w:snapToGrid w:val="0"/>
                    <w:rPr>
                      <w:rFonts w:hint="default" w:ascii="Times New Roman" w:hAnsi="Times New Roman" w:cs="Times New Roman"/>
                    </w:rPr>
                  </w:pPr>
                  <w:r>
                    <w:rPr>
                      <w:rFonts w:hint="default" w:ascii="Times New Roman" w:hAnsi="Times New Roman" w:cs="Times New Roman"/>
                    </w:rPr>
                    <w:t>90.5</w:t>
                  </w:r>
                </w:p>
              </w:tc>
              <w:tc>
                <w:tcPr>
                  <w:tcW w:w="143" w:type="pct"/>
                  <w:shd w:val="clear" w:color="auto" w:fill="FFFFFF"/>
                  <w:tcMar>
                    <w:top w:w="0" w:type="dxa"/>
                    <w:left w:w="0" w:type="dxa"/>
                    <w:bottom w:w="0" w:type="dxa"/>
                    <w:right w:w="0" w:type="dxa"/>
                  </w:tcMar>
                  <w:vAlign w:val="center"/>
                </w:tcPr>
                <w:p w14:paraId="49053F6A">
                  <w:pPr>
                    <w:pStyle w:val="29"/>
                    <w:adjustRightInd w:val="0"/>
                    <w:snapToGrid w:val="0"/>
                    <w:rPr>
                      <w:rFonts w:hint="default" w:ascii="Times New Roman" w:hAnsi="Times New Roman" w:cs="Times New Roman"/>
                    </w:rPr>
                  </w:pPr>
                  <w:r>
                    <w:rPr>
                      <w:rFonts w:hint="default" w:ascii="Times New Roman" w:hAnsi="Times New Roman" w:cs="Times New Roman"/>
                    </w:rPr>
                    <w:t>-42.7</w:t>
                  </w:r>
                </w:p>
              </w:tc>
              <w:tc>
                <w:tcPr>
                  <w:tcW w:w="128" w:type="pct"/>
                  <w:shd w:val="clear" w:color="auto" w:fill="FFFFFF"/>
                  <w:tcMar>
                    <w:top w:w="0" w:type="dxa"/>
                    <w:left w:w="0" w:type="dxa"/>
                    <w:bottom w:w="0" w:type="dxa"/>
                    <w:right w:w="0" w:type="dxa"/>
                  </w:tcMar>
                  <w:vAlign w:val="center"/>
                </w:tcPr>
                <w:p w14:paraId="695E9408">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6C61DE88">
                  <w:pPr>
                    <w:pStyle w:val="29"/>
                    <w:adjustRightInd w:val="0"/>
                    <w:snapToGrid w:val="0"/>
                    <w:rPr>
                      <w:rFonts w:hint="default" w:ascii="Times New Roman" w:hAnsi="Times New Roman" w:cs="Times New Roman"/>
                    </w:rPr>
                  </w:pPr>
                  <w:r>
                    <w:rPr>
                      <w:rFonts w:hint="default" w:ascii="Times New Roman" w:hAnsi="Times New Roman" w:cs="Times New Roman"/>
                    </w:rPr>
                    <w:t>10.7</w:t>
                  </w:r>
                </w:p>
              </w:tc>
              <w:tc>
                <w:tcPr>
                  <w:tcW w:w="176" w:type="pct"/>
                  <w:shd w:val="clear" w:color="auto" w:fill="FFFFFF"/>
                  <w:tcMar>
                    <w:top w:w="0" w:type="dxa"/>
                    <w:left w:w="0" w:type="dxa"/>
                    <w:bottom w:w="0" w:type="dxa"/>
                    <w:right w:w="0" w:type="dxa"/>
                  </w:tcMar>
                  <w:vAlign w:val="center"/>
                </w:tcPr>
                <w:p w14:paraId="01A2E944">
                  <w:pPr>
                    <w:pStyle w:val="29"/>
                    <w:adjustRightInd w:val="0"/>
                    <w:snapToGrid w:val="0"/>
                    <w:rPr>
                      <w:rFonts w:hint="default" w:ascii="Times New Roman" w:hAnsi="Times New Roman" w:cs="Times New Roman"/>
                    </w:rPr>
                  </w:pPr>
                  <w:r>
                    <w:rPr>
                      <w:rFonts w:hint="default" w:ascii="Times New Roman" w:hAnsi="Times New Roman" w:cs="Times New Roman"/>
                    </w:rPr>
                    <w:t>9.6</w:t>
                  </w:r>
                </w:p>
              </w:tc>
              <w:tc>
                <w:tcPr>
                  <w:tcW w:w="176" w:type="pct"/>
                  <w:shd w:val="clear" w:color="auto" w:fill="FFFFFF"/>
                  <w:tcMar>
                    <w:top w:w="0" w:type="dxa"/>
                    <w:left w:w="0" w:type="dxa"/>
                    <w:bottom w:w="0" w:type="dxa"/>
                    <w:right w:w="0" w:type="dxa"/>
                  </w:tcMar>
                  <w:vAlign w:val="center"/>
                </w:tcPr>
                <w:p w14:paraId="61DB91DE">
                  <w:pPr>
                    <w:pStyle w:val="29"/>
                    <w:adjustRightInd w:val="0"/>
                    <w:snapToGrid w:val="0"/>
                    <w:rPr>
                      <w:rFonts w:hint="default" w:ascii="Times New Roman" w:hAnsi="Times New Roman" w:cs="Times New Roman"/>
                    </w:rPr>
                  </w:pPr>
                  <w:r>
                    <w:rPr>
                      <w:rFonts w:hint="default" w:ascii="Times New Roman" w:hAnsi="Times New Roman" w:cs="Times New Roman"/>
                    </w:rPr>
                    <w:t>115.4</w:t>
                  </w:r>
                </w:p>
              </w:tc>
              <w:tc>
                <w:tcPr>
                  <w:tcW w:w="186" w:type="pct"/>
                  <w:shd w:val="clear" w:color="auto" w:fill="FFFFFF"/>
                  <w:tcMar>
                    <w:top w:w="0" w:type="dxa"/>
                    <w:left w:w="0" w:type="dxa"/>
                    <w:bottom w:w="0" w:type="dxa"/>
                    <w:right w:w="0" w:type="dxa"/>
                  </w:tcMar>
                  <w:vAlign w:val="center"/>
                </w:tcPr>
                <w:p w14:paraId="3F77EC62">
                  <w:pPr>
                    <w:pStyle w:val="29"/>
                    <w:adjustRightInd w:val="0"/>
                    <w:snapToGrid w:val="0"/>
                    <w:rPr>
                      <w:rFonts w:hint="default" w:ascii="Times New Roman" w:hAnsi="Times New Roman" w:cs="Times New Roman"/>
                    </w:rPr>
                  </w:pPr>
                  <w:r>
                    <w:rPr>
                      <w:rFonts w:hint="default" w:ascii="Times New Roman" w:hAnsi="Times New Roman" w:cs="Times New Roman"/>
                    </w:rPr>
                    <w:t>9.1</w:t>
                  </w:r>
                </w:p>
              </w:tc>
              <w:tc>
                <w:tcPr>
                  <w:tcW w:w="174" w:type="pct"/>
                  <w:shd w:val="clear" w:color="auto" w:fill="FFFFFF"/>
                  <w:tcMar>
                    <w:top w:w="0" w:type="dxa"/>
                    <w:left w:w="0" w:type="dxa"/>
                    <w:bottom w:w="0" w:type="dxa"/>
                    <w:right w:w="0" w:type="dxa"/>
                  </w:tcMar>
                  <w:vAlign w:val="center"/>
                </w:tcPr>
                <w:p w14:paraId="76B43EC5">
                  <w:pPr>
                    <w:pStyle w:val="29"/>
                    <w:adjustRightInd w:val="0"/>
                    <w:snapToGrid w:val="0"/>
                    <w:rPr>
                      <w:rFonts w:hint="default" w:ascii="Times New Roman" w:hAnsi="Times New Roman" w:cs="Times New Roman"/>
                    </w:rPr>
                  </w:pPr>
                  <w:r>
                    <w:rPr>
                      <w:rFonts w:hint="default" w:ascii="Times New Roman" w:hAnsi="Times New Roman" w:cs="Times New Roman"/>
                    </w:rPr>
                    <w:t>60.3</w:t>
                  </w:r>
                </w:p>
              </w:tc>
              <w:tc>
                <w:tcPr>
                  <w:tcW w:w="175" w:type="pct"/>
                  <w:shd w:val="clear" w:color="auto" w:fill="FFFFFF"/>
                  <w:tcMar>
                    <w:top w:w="0" w:type="dxa"/>
                    <w:left w:w="0" w:type="dxa"/>
                    <w:bottom w:w="0" w:type="dxa"/>
                    <w:right w:w="0" w:type="dxa"/>
                  </w:tcMar>
                  <w:vAlign w:val="center"/>
                </w:tcPr>
                <w:p w14:paraId="7BD8FD3B">
                  <w:pPr>
                    <w:pStyle w:val="29"/>
                    <w:adjustRightInd w:val="0"/>
                    <w:snapToGrid w:val="0"/>
                    <w:rPr>
                      <w:rFonts w:hint="default" w:ascii="Times New Roman" w:hAnsi="Times New Roman" w:cs="Times New Roman"/>
                    </w:rPr>
                  </w:pPr>
                  <w:r>
                    <w:rPr>
                      <w:rFonts w:hint="default" w:ascii="Times New Roman" w:hAnsi="Times New Roman" w:cs="Times New Roman"/>
                    </w:rPr>
                    <w:t>60.3</w:t>
                  </w:r>
                </w:p>
              </w:tc>
              <w:tc>
                <w:tcPr>
                  <w:tcW w:w="175" w:type="pct"/>
                  <w:shd w:val="clear" w:color="auto" w:fill="FFFFFF"/>
                  <w:tcMar>
                    <w:top w:w="0" w:type="dxa"/>
                    <w:left w:w="0" w:type="dxa"/>
                    <w:bottom w:w="0" w:type="dxa"/>
                    <w:right w:w="0" w:type="dxa"/>
                  </w:tcMar>
                  <w:vAlign w:val="center"/>
                </w:tcPr>
                <w:p w14:paraId="4E77AF67">
                  <w:pPr>
                    <w:pStyle w:val="29"/>
                    <w:adjustRightInd w:val="0"/>
                    <w:snapToGrid w:val="0"/>
                    <w:rPr>
                      <w:rFonts w:hint="default" w:ascii="Times New Roman" w:hAnsi="Times New Roman" w:cs="Times New Roman"/>
                    </w:rPr>
                  </w:pPr>
                  <w:r>
                    <w:rPr>
                      <w:rFonts w:hint="default" w:ascii="Times New Roman" w:hAnsi="Times New Roman" w:cs="Times New Roman"/>
                    </w:rPr>
                    <w:t>60.2</w:t>
                  </w:r>
                </w:p>
              </w:tc>
              <w:tc>
                <w:tcPr>
                  <w:tcW w:w="137" w:type="pct"/>
                  <w:shd w:val="clear" w:color="auto" w:fill="FFFFFF"/>
                  <w:tcMar>
                    <w:top w:w="0" w:type="dxa"/>
                    <w:left w:w="0" w:type="dxa"/>
                    <w:bottom w:w="0" w:type="dxa"/>
                    <w:right w:w="0" w:type="dxa"/>
                  </w:tcMar>
                  <w:vAlign w:val="center"/>
                </w:tcPr>
                <w:p w14:paraId="6090DCB4">
                  <w:pPr>
                    <w:pStyle w:val="29"/>
                    <w:adjustRightInd w:val="0"/>
                    <w:snapToGrid w:val="0"/>
                    <w:rPr>
                      <w:rFonts w:hint="default" w:ascii="Times New Roman" w:hAnsi="Times New Roman" w:cs="Times New Roman"/>
                    </w:rPr>
                  </w:pPr>
                  <w:r>
                    <w:rPr>
                      <w:rFonts w:hint="default" w:ascii="Times New Roman" w:hAnsi="Times New Roman" w:cs="Times New Roman"/>
                    </w:rPr>
                    <w:t>60.4</w:t>
                  </w:r>
                </w:p>
              </w:tc>
              <w:tc>
                <w:tcPr>
                  <w:tcW w:w="236" w:type="pct"/>
                  <w:shd w:val="clear" w:color="auto" w:fill="FFFFFF"/>
                  <w:tcMar>
                    <w:top w:w="0" w:type="dxa"/>
                    <w:left w:w="0" w:type="dxa"/>
                    <w:bottom w:w="0" w:type="dxa"/>
                    <w:right w:w="0" w:type="dxa"/>
                  </w:tcMar>
                  <w:vAlign w:val="center"/>
                </w:tcPr>
                <w:p w14:paraId="306FE0E0">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4F12B20A">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1B44FA1C">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403BBAC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4E79E78B">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5B4AB9E">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6" w:type="pct"/>
                  <w:shd w:val="clear" w:color="auto" w:fill="FFFFFF"/>
                  <w:tcMar>
                    <w:top w:w="0" w:type="dxa"/>
                    <w:left w:w="0" w:type="dxa"/>
                    <w:bottom w:w="0" w:type="dxa"/>
                    <w:right w:w="0" w:type="dxa"/>
                  </w:tcMar>
                  <w:vAlign w:val="center"/>
                </w:tcPr>
                <w:p w14:paraId="6F28AA5B">
                  <w:pPr>
                    <w:pStyle w:val="29"/>
                    <w:adjustRightInd w:val="0"/>
                    <w:snapToGrid w:val="0"/>
                    <w:rPr>
                      <w:rFonts w:hint="default" w:ascii="Times New Roman" w:hAnsi="Times New Roman" w:cs="Times New Roman"/>
                    </w:rPr>
                  </w:pPr>
                  <w:r>
                    <w:rPr>
                      <w:rFonts w:hint="default" w:ascii="Times New Roman" w:hAnsi="Times New Roman" w:cs="Times New Roman"/>
                    </w:rPr>
                    <w:t>51.3</w:t>
                  </w:r>
                </w:p>
              </w:tc>
              <w:tc>
                <w:tcPr>
                  <w:tcW w:w="181" w:type="pct"/>
                  <w:shd w:val="clear" w:color="auto" w:fill="FFFFFF"/>
                  <w:tcMar>
                    <w:top w:w="0" w:type="dxa"/>
                    <w:left w:w="0" w:type="dxa"/>
                    <w:bottom w:w="0" w:type="dxa"/>
                    <w:right w:w="0" w:type="dxa"/>
                  </w:tcMar>
                  <w:vAlign w:val="center"/>
                </w:tcPr>
                <w:p w14:paraId="061C5CB9">
                  <w:pPr>
                    <w:pStyle w:val="29"/>
                    <w:adjustRightInd w:val="0"/>
                    <w:snapToGrid w:val="0"/>
                    <w:rPr>
                      <w:rFonts w:hint="default" w:ascii="Times New Roman" w:hAnsi="Times New Roman" w:cs="Times New Roman"/>
                    </w:rPr>
                  </w:pPr>
                  <w:r>
                    <w:rPr>
                      <w:rFonts w:hint="default" w:ascii="Times New Roman" w:hAnsi="Times New Roman" w:cs="Times New Roman"/>
                    </w:rPr>
                    <w:t>51.2</w:t>
                  </w:r>
                </w:p>
              </w:tc>
              <w:tc>
                <w:tcPr>
                  <w:tcW w:w="176" w:type="pct"/>
                  <w:shd w:val="clear" w:color="auto" w:fill="FFFFFF"/>
                  <w:tcMar>
                    <w:top w:w="0" w:type="dxa"/>
                    <w:left w:w="0" w:type="dxa"/>
                    <w:bottom w:w="0" w:type="dxa"/>
                    <w:right w:w="0" w:type="dxa"/>
                  </w:tcMar>
                  <w:vAlign w:val="center"/>
                </w:tcPr>
                <w:p w14:paraId="091DDBD5">
                  <w:pPr>
                    <w:pStyle w:val="29"/>
                    <w:adjustRightInd w:val="0"/>
                    <w:snapToGrid w:val="0"/>
                    <w:rPr>
                      <w:rFonts w:hint="default" w:ascii="Times New Roman" w:hAnsi="Times New Roman" w:cs="Times New Roman"/>
                    </w:rPr>
                  </w:pPr>
                  <w:r>
                    <w:rPr>
                      <w:rFonts w:hint="default" w:ascii="Times New Roman" w:hAnsi="Times New Roman" w:cs="Times New Roman"/>
                    </w:rPr>
                    <w:t>51.4</w:t>
                  </w:r>
                </w:p>
              </w:tc>
              <w:tc>
                <w:tcPr>
                  <w:tcW w:w="261" w:type="pct"/>
                  <w:shd w:val="clear" w:color="auto" w:fill="FFFFFF"/>
                  <w:tcMar>
                    <w:top w:w="0" w:type="dxa"/>
                    <w:left w:w="0" w:type="dxa"/>
                    <w:bottom w:w="0" w:type="dxa"/>
                    <w:right w:w="0" w:type="dxa"/>
                  </w:tcMar>
                  <w:vAlign w:val="center"/>
                </w:tcPr>
                <w:p w14:paraId="59873DD0">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07F17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2BCD5789">
                  <w:pPr>
                    <w:pStyle w:val="29"/>
                    <w:adjustRightInd w:val="0"/>
                    <w:snapToGrid w:val="0"/>
                    <w:rPr>
                      <w:rFonts w:hint="default" w:ascii="Times New Roman" w:hAnsi="Times New Roman" w:cs="Times New Roman"/>
                    </w:rPr>
                  </w:pPr>
                  <w:r>
                    <w:rPr>
                      <w:rFonts w:hint="default" w:ascii="Times New Roman" w:hAnsi="Times New Roman" w:cs="Times New Roman"/>
                    </w:rPr>
                    <w:t>23</w:t>
                  </w:r>
                </w:p>
              </w:tc>
              <w:tc>
                <w:tcPr>
                  <w:tcW w:w="233" w:type="pct"/>
                  <w:vMerge w:val="continue"/>
                  <w:shd w:val="clear" w:color="auto" w:fill="FFFFFF"/>
                  <w:tcMar>
                    <w:top w:w="0" w:type="dxa"/>
                    <w:left w:w="0" w:type="dxa"/>
                    <w:bottom w:w="0" w:type="dxa"/>
                    <w:right w:w="0" w:type="dxa"/>
                  </w:tcMar>
                  <w:vAlign w:val="center"/>
                </w:tcPr>
                <w:p w14:paraId="7FA3F410">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4FD70D16">
                  <w:pPr>
                    <w:pStyle w:val="29"/>
                    <w:adjustRightInd w:val="0"/>
                    <w:snapToGrid w:val="0"/>
                    <w:rPr>
                      <w:rFonts w:hint="default" w:ascii="Times New Roman" w:hAnsi="Times New Roman" w:cs="Times New Roman"/>
                    </w:rPr>
                  </w:pPr>
                  <w:r>
                    <w:rPr>
                      <w:rFonts w:hint="default" w:ascii="Times New Roman" w:hAnsi="Times New Roman" w:cs="Times New Roman"/>
                    </w:rPr>
                    <w:t>抽粉机</w:t>
                  </w:r>
                </w:p>
              </w:tc>
              <w:tc>
                <w:tcPr>
                  <w:tcW w:w="147" w:type="pct"/>
                  <w:shd w:val="clear" w:color="auto" w:fill="FFFFFF"/>
                  <w:tcMar>
                    <w:top w:w="0" w:type="dxa"/>
                    <w:left w:w="0" w:type="dxa"/>
                    <w:bottom w:w="0" w:type="dxa"/>
                    <w:right w:w="0" w:type="dxa"/>
                  </w:tcMar>
                  <w:vAlign w:val="center"/>
                </w:tcPr>
                <w:p w14:paraId="081DE7D4">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7E535387">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DB865FD">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062D962C">
                  <w:pPr>
                    <w:pStyle w:val="29"/>
                    <w:adjustRightInd w:val="0"/>
                    <w:snapToGrid w:val="0"/>
                    <w:rPr>
                      <w:rFonts w:hint="default" w:ascii="Times New Roman" w:hAnsi="Times New Roman" w:cs="Times New Roman"/>
                    </w:rPr>
                  </w:pPr>
                  <w:r>
                    <w:rPr>
                      <w:rFonts w:hint="default" w:ascii="Times New Roman" w:hAnsi="Times New Roman" w:cs="Times New Roman"/>
                    </w:rPr>
                    <w:t>-67.8</w:t>
                  </w:r>
                </w:p>
              </w:tc>
              <w:tc>
                <w:tcPr>
                  <w:tcW w:w="143" w:type="pct"/>
                  <w:shd w:val="clear" w:color="auto" w:fill="FFFFFF"/>
                  <w:tcMar>
                    <w:top w:w="0" w:type="dxa"/>
                    <w:left w:w="0" w:type="dxa"/>
                    <w:bottom w:w="0" w:type="dxa"/>
                    <w:right w:w="0" w:type="dxa"/>
                  </w:tcMar>
                  <w:vAlign w:val="center"/>
                </w:tcPr>
                <w:p w14:paraId="1DE6C1BF">
                  <w:pPr>
                    <w:pStyle w:val="29"/>
                    <w:adjustRightInd w:val="0"/>
                    <w:snapToGrid w:val="0"/>
                    <w:rPr>
                      <w:rFonts w:hint="default" w:ascii="Times New Roman" w:hAnsi="Times New Roman" w:cs="Times New Roman"/>
                    </w:rPr>
                  </w:pPr>
                  <w:r>
                    <w:rPr>
                      <w:rFonts w:hint="default" w:ascii="Times New Roman" w:hAnsi="Times New Roman" w:cs="Times New Roman"/>
                    </w:rPr>
                    <w:t>48.7</w:t>
                  </w:r>
                </w:p>
              </w:tc>
              <w:tc>
                <w:tcPr>
                  <w:tcW w:w="128" w:type="pct"/>
                  <w:shd w:val="clear" w:color="auto" w:fill="FFFFFF"/>
                  <w:tcMar>
                    <w:top w:w="0" w:type="dxa"/>
                    <w:left w:w="0" w:type="dxa"/>
                    <w:bottom w:w="0" w:type="dxa"/>
                    <w:right w:w="0" w:type="dxa"/>
                  </w:tcMar>
                  <w:vAlign w:val="center"/>
                </w:tcPr>
                <w:p w14:paraId="38A372DC">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717A3DC8">
                  <w:pPr>
                    <w:pStyle w:val="29"/>
                    <w:adjustRightInd w:val="0"/>
                    <w:snapToGrid w:val="0"/>
                    <w:rPr>
                      <w:rFonts w:hint="default" w:ascii="Times New Roman" w:hAnsi="Times New Roman" w:cs="Times New Roman"/>
                    </w:rPr>
                  </w:pPr>
                  <w:r>
                    <w:rPr>
                      <w:rFonts w:hint="default" w:ascii="Times New Roman" w:hAnsi="Times New Roman" w:cs="Times New Roman"/>
                    </w:rPr>
                    <w:t>20.9</w:t>
                  </w:r>
                </w:p>
              </w:tc>
              <w:tc>
                <w:tcPr>
                  <w:tcW w:w="176" w:type="pct"/>
                  <w:shd w:val="clear" w:color="auto" w:fill="FFFFFF"/>
                  <w:tcMar>
                    <w:top w:w="0" w:type="dxa"/>
                    <w:left w:w="0" w:type="dxa"/>
                    <w:bottom w:w="0" w:type="dxa"/>
                    <w:right w:w="0" w:type="dxa"/>
                  </w:tcMar>
                  <w:vAlign w:val="center"/>
                </w:tcPr>
                <w:p w14:paraId="79A11604">
                  <w:pPr>
                    <w:pStyle w:val="29"/>
                    <w:adjustRightInd w:val="0"/>
                    <w:snapToGrid w:val="0"/>
                    <w:rPr>
                      <w:rFonts w:hint="default" w:ascii="Times New Roman" w:hAnsi="Times New Roman" w:cs="Times New Roman"/>
                    </w:rPr>
                  </w:pPr>
                  <w:r>
                    <w:rPr>
                      <w:rFonts w:hint="default" w:ascii="Times New Roman" w:hAnsi="Times New Roman" w:cs="Times New Roman"/>
                    </w:rPr>
                    <w:t>47.3</w:t>
                  </w:r>
                </w:p>
              </w:tc>
              <w:tc>
                <w:tcPr>
                  <w:tcW w:w="176" w:type="pct"/>
                  <w:shd w:val="clear" w:color="auto" w:fill="FFFFFF"/>
                  <w:tcMar>
                    <w:top w:w="0" w:type="dxa"/>
                    <w:left w:w="0" w:type="dxa"/>
                    <w:bottom w:w="0" w:type="dxa"/>
                    <w:right w:w="0" w:type="dxa"/>
                  </w:tcMar>
                  <w:vAlign w:val="center"/>
                </w:tcPr>
                <w:p w14:paraId="33D69B1A">
                  <w:pPr>
                    <w:pStyle w:val="29"/>
                    <w:adjustRightInd w:val="0"/>
                    <w:snapToGrid w:val="0"/>
                    <w:rPr>
                      <w:rFonts w:hint="default" w:ascii="Times New Roman" w:hAnsi="Times New Roman" w:cs="Times New Roman"/>
                    </w:rPr>
                  </w:pPr>
                  <w:r>
                    <w:rPr>
                      <w:rFonts w:hint="default" w:ascii="Times New Roman" w:hAnsi="Times New Roman" w:cs="Times New Roman"/>
                    </w:rPr>
                    <w:t>22.4</w:t>
                  </w:r>
                </w:p>
              </w:tc>
              <w:tc>
                <w:tcPr>
                  <w:tcW w:w="186" w:type="pct"/>
                  <w:shd w:val="clear" w:color="auto" w:fill="FFFFFF"/>
                  <w:tcMar>
                    <w:top w:w="0" w:type="dxa"/>
                    <w:left w:w="0" w:type="dxa"/>
                    <w:bottom w:w="0" w:type="dxa"/>
                    <w:right w:w="0" w:type="dxa"/>
                  </w:tcMar>
                  <w:vAlign w:val="center"/>
                </w:tcPr>
                <w:p w14:paraId="4B0913D4">
                  <w:pPr>
                    <w:pStyle w:val="29"/>
                    <w:adjustRightInd w:val="0"/>
                    <w:snapToGrid w:val="0"/>
                    <w:rPr>
                      <w:rFonts w:hint="default" w:ascii="Times New Roman" w:hAnsi="Times New Roman" w:cs="Times New Roman"/>
                    </w:rPr>
                  </w:pPr>
                  <w:r>
                    <w:rPr>
                      <w:rFonts w:hint="default" w:ascii="Times New Roman" w:hAnsi="Times New Roman" w:cs="Times New Roman"/>
                    </w:rPr>
                    <w:t>4.0</w:t>
                  </w:r>
                </w:p>
              </w:tc>
              <w:tc>
                <w:tcPr>
                  <w:tcW w:w="174" w:type="pct"/>
                  <w:shd w:val="clear" w:color="auto" w:fill="FFFFFF"/>
                  <w:tcMar>
                    <w:top w:w="0" w:type="dxa"/>
                    <w:left w:w="0" w:type="dxa"/>
                    <w:bottom w:w="0" w:type="dxa"/>
                    <w:right w:w="0" w:type="dxa"/>
                  </w:tcMar>
                  <w:vAlign w:val="center"/>
                </w:tcPr>
                <w:p w14:paraId="364A8E9F">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654E4519">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75" w:type="pct"/>
                  <w:shd w:val="clear" w:color="auto" w:fill="FFFFFF"/>
                  <w:tcMar>
                    <w:top w:w="0" w:type="dxa"/>
                    <w:left w:w="0" w:type="dxa"/>
                    <w:bottom w:w="0" w:type="dxa"/>
                    <w:right w:w="0" w:type="dxa"/>
                  </w:tcMar>
                  <w:vAlign w:val="center"/>
                </w:tcPr>
                <w:p w14:paraId="06BDBA09">
                  <w:pPr>
                    <w:pStyle w:val="29"/>
                    <w:adjustRightInd w:val="0"/>
                    <w:snapToGrid w:val="0"/>
                    <w:rPr>
                      <w:rFonts w:hint="default" w:ascii="Times New Roman" w:hAnsi="Times New Roman" w:cs="Times New Roman"/>
                    </w:rPr>
                  </w:pPr>
                  <w:r>
                    <w:rPr>
                      <w:rFonts w:hint="default" w:ascii="Times New Roman" w:hAnsi="Times New Roman" w:cs="Times New Roman"/>
                    </w:rPr>
                    <w:t>69.1</w:t>
                  </w:r>
                </w:p>
              </w:tc>
              <w:tc>
                <w:tcPr>
                  <w:tcW w:w="137" w:type="pct"/>
                  <w:shd w:val="clear" w:color="auto" w:fill="FFFFFF"/>
                  <w:tcMar>
                    <w:top w:w="0" w:type="dxa"/>
                    <w:left w:w="0" w:type="dxa"/>
                    <w:bottom w:w="0" w:type="dxa"/>
                    <w:right w:w="0" w:type="dxa"/>
                  </w:tcMar>
                  <w:vAlign w:val="center"/>
                </w:tcPr>
                <w:p w14:paraId="3796989A">
                  <w:pPr>
                    <w:pStyle w:val="29"/>
                    <w:adjustRightInd w:val="0"/>
                    <w:snapToGrid w:val="0"/>
                    <w:rPr>
                      <w:rFonts w:hint="default" w:ascii="Times New Roman" w:hAnsi="Times New Roman" w:cs="Times New Roman"/>
                    </w:rPr>
                  </w:pPr>
                  <w:r>
                    <w:rPr>
                      <w:rFonts w:hint="default" w:ascii="Times New Roman" w:hAnsi="Times New Roman" w:cs="Times New Roman"/>
                    </w:rPr>
                    <w:t>69.4</w:t>
                  </w:r>
                </w:p>
              </w:tc>
              <w:tc>
                <w:tcPr>
                  <w:tcW w:w="236" w:type="pct"/>
                  <w:shd w:val="clear" w:color="auto" w:fill="FFFFFF"/>
                  <w:tcMar>
                    <w:top w:w="0" w:type="dxa"/>
                    <w:left w:w="0" w:type="dxa"/>
                    <w:bottom w:w="0" w:type="dxa"/>
                    <w:right w:w="0" w:type="dxa"/>
                  </w:tcMar>
                  <w:vAlign w:val="center"/>
                </w:tcPr>
                <w:p w14:paraId="276921AA">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073D48CF">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551EDCB4">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1C05C560">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2471C18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B192C3C">
                  <w:pPr>
                    <w:pStyle w:val="29"/>
                    <w:adjustRightInd w:val="0"/>
                    <w:snapToGrid w:val="0"/>
                    <w:rPr>
                      <w:rFonts w:hint="default" w:ascii="Times New Roman" w:hAnsi="Times New Roman" w:cs="Times New Roman"/>
                    </w:rPr>
                  </w:pPr>
                  <w:r>
                    <w:rPr>
                      <w:rFonts w:hint="default" w:ascii="Times New Roman" w:hAnsi="Times New Roman" w:cs="Times New Roman"/>
                    </w:rPr>
                    <w:t>52.1</w:t>
                  </w:r>
                </w:p>
              </w:tc>
              <w:tc>
                <w:tcPr>
                  <w:tcW w:w="186" w:type="pct"/>
                  <w:shd w:val="clear" w:color="auto" w:fill="FFFFFF"/>
                  <w:tcMar>
                    <w:top w:w="0" w:type="dxa"/>
                    <w:left w:w="0" w:type="dxa"/>
                    <w:bottom w:w="0" w:type="dxa"/>
                    <w:right w:w="0" w:type="dxa"/>
                  </w:tcMar>
                  <w:vAlign w:val="center"/>
                </w:tcPr>
                <w:p w14:paraId="4FC2C061">
                  <w:pPr>
                    <w:pStyle w:val="29"/>
                    <w:adjustRightInd w:val="0"/>
                    <w:snapToGrid w:val="0"/>
                    <w:rPr>
                      <w:rFonts w:hint="default" w:ascii="Times New Roman" w:hAnsi="Times New Roman" w:cs="Times New Roman"/>
                    </w:rPr>
                  </w:pPr>
                  <w:r>
                    <w:rPr>
                      <w:rFonts w:hint="default" w:ascii="Times New Roman" w:hAnsi="Times New Roman" w:cs="Times New Roman"/>
                    </w:rPr>
                    <w:t>51.1</w:t>
                  </w:r>
                </w:p>
              </w:tc>
              <w:tc>
                <w:tcPr>
                  <w:tcW w:w="181" w:type="pct"/>
                  <w:shd w:val="clear" w:color="auto" w:fill="FFFFFF"/>
                  <w:tcMar>
                    <w:top w:w="0" w:type="dxa"/>
                    <w:left w:w="0" w:type="dxa"/>
                    <w:bottom w:w="0" w:type="dxa"/>
                    <w:right w:w="0" w:type="dxa"/>
                  </w:tcMar>
                  <w:vAlign w:val="center"/>
                </w:tcPr>
                <w:p w14:paraId="7D5B271F">
                  <w:pPr>
                    <w:pStyle w:val="29"/>
                    <w:adjustRightInd w:val="0"/>
                    <w:snapToGrid w:val="0"/>
                    <w:rPr>
                      <w:rFonts w:hint="default" w:ascii="Times New Roman" w:hAnsi="Times New Roman" w:cs="Times New Roman"/>
                    </w:rPr>
                  </w:pPr>
                  <w:r>
                    <w:rPr>
                      <w:rFonts w:hint="default" w:ascii="Times New Roman" w:hAnsi="Times New Roman" w:cs="Times New Roman"/>
                    </w:rPr>
                    <w:t>50.1</w:t>
                  </w:r>
                </w:p>
              </w:tc>
              <w:tc>
                <w:tcPr>
                  <w:tcW w:w="176" w:type="pct"/>
                  <w:shd w:val="clear" w:color="auto" w:fill="FFFFFF"/>
                  <w:tcMar>
                    <w:top w:w="0" w:type="dxa"/>
                    <w:left w:w="0" w:type="dxa"/>
                    <w:bottom w:w="0" w:type="dxa"/>
                    <w:right w:w="0" w:type="dxa"/>
                  </w:tcMar>
                  <w:vAlign w:val="center"/>
                </w:tcPr>
                <w:p w14:paraId="2CF8C0F5">
                  <w:pPr>
                    <w:pStyle w:val="29"/>
                    <w:adjustRightInd w:val="0"/>
                    <w:snapToGrid w:val="0"/>
                    <w:rPr>
                      <w:rFonts w:hint="default" w:ascii="Times New Roman" w:hAnsi="Times New Roman" w:cs="Times New Roman"/>
                    </w:rPr>
                  </w:pPr>
                  <w:r>
                    <w:rPr>
                      <w:rFonts w:hint="default" w:ascii="Times New Roman" w:hAnsi="Times New Roman" w:cs="Times New Roman"/>
                    </w:rPr>
                    <w:t>49.4</w:t>
                  </w:r>
                </w:p>
              </w:tc>
              <w:tc>
                <w:tcPr>
                  <w:tcW w:w="261" w:type="pct"/>
                  <w:shd w:val="clear" w:color="auto" w:fill="FFFFFF"/>
                  <w:tcMar>
                    <w:top w:w="0" w:type="dxa"/>
                    <w:left w:w="0" w:type="dxa"/>
                    <w:bottom w:w="0" w:type="dxa"/>
                    <w:right w:w="0" w:type="dxa"/>
                  </w:tcMar>
                  <w:vAlign w:val="center"/>
                </w:tcPr>
                <w:p w14:paraId="5E0F31AC">
                  <w:pPr>
                    <w:pStyle w:val="29"/>
                    <w:adjustRightInd w:val="0"/>
                    <w:snapToGrid w:val="0"/>
                    <w:rPr>
                      <w:rFonts w:hint="default" w:ascii="Times New Roman" w:hAnsi="Times New Roman" w:cs="Times New Roman"/>
                    </w:rPr>
                  </w:pPr>
                  <w:r>
                    <w:rPr>
                      <w:rFonts w:hint="default" w:ascii="Times New Roman" w:hAnsi="Times New Roman" w:cs="Times New Roman"/>
                    </w:rPr>
                    <w:t>1</w:t>
                  </w:r>
                </w:p>
              </w:tc>
            </w:tr>
            <w:tr w14:paraId="4B5BF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0" w:hRule="atLeast"/>
                <w:jc w:val="center"/>
              </w:trPr>
              <w:tc>
                <w:tcPr>
                  <w:tcW w:w="147" w:type="pct"/>
                  <w:shd w:val="clear" w:color="auto" w:fill="FFFFFF"/>
                  <w:tcMar>
                    <w:top w:w="0" w:type="dxa"/>
                    <w:left w:w="0" w:type="dxa"/>
                    <w:bottom w:w="0" w:type="dxa"/>
                    <w:right w:w="0" w:type="dxa"/>
                  </w:tcMar>
                  <w:vAlign w:val="center"/>
                </w:tcPr>
                <w:p w14:paraId="55466BF3">
                  <w:pPr>
                    <w:pStyle w:val="29"/>
                    <w:adjustRightInd w:val="0"/>
                    <w:snapToGrid w:val="0"/>
                    <w:rPr>
                      <w:rFonts w:hint="default" w:ascii="Times New Roman" w:hAnsi="Times New Roman" w:cs="Times New Roman"/>
                    </w:rPr>
                  </w:pPr>
                  <w:r>
                    <w:rPr>
                      <w:rFonts w:hint="default" w:ascii="Times New Roman" w:hAnsi="Times New Roman" w:cs="Times New Roman"/>
                    </w:rPr>
                    <w:t>24</w:t>
                  </w:r>
                </w:p>
              </w:tc>
              <w:tc>
                <w:tcPr>
                  <w:tcW w:w="233" w:type="pct"/>
                  <w:vMerge w:val="continue"/>
                  <w:shd w:val="clear" w:color="auto" w:fill="FFFFFF"/>
                  <w:tcMar>
                    <w:top w:w="0" w:type="dxa"/>
                    <w:left w:w="0" w:type="dxa"/>
                    <w:bottom w:w="0" w:type="dxa"/>
                    <w:right w:w="0" w:type="dxa"/>
                  </w:tcMar>
                  <w:vAlign w:val="center"/>
                </w:tcPr>
                <w:p w14:paraId="09A83B79">
                  <w:pPr>
                    <w:pStyle w:val="29"/>
                    <w:adjustRightInd w:val="0"/>
                    <w:snapToGrid w:val="0"/>
                    <w:rPr>
                      <w:rFonts w:hint="default" w:ascii="Times New Roman" w:hAnsi="Times New Roman" w:cs="Times New Roman"/>
                    </w:rPr>
                  </w:pPr>
                </w:p>
              </w:tc>
              <w:tc>
                <w:tcPr>
                  <w:tcW w:w="266" w:type="pct"/>
                  <w:shd w:val="clear" w:color="auto" w:fill="FFFFFF"/>
                  <w:tcMar>
                    <w:top w:w="0" w:type="dxa"/>
                    <w:left w:w="0" w:type="dxa"/>
                    <w:bottom w:w="0" w:type="dxa"/>
                    <w:right w:w="0" w:type="dxa"/>
                  </w:tcMar>
                  <w:vAlign w:val="center"/>
                </w:tcPr>
                <w:p w14:paraId="15FE3D8B">
                  <w:pPr>
                    <w:pStyle w:val="29"/>
                    <w:adjustRightInd w:val="0"/>
                    <w:snapToGrid w:val="0"/>
                    <w:rPr>
                      <w:rFonts w:hint="default" w:ascii="Times New Roman" w:hAnsi="Times New Roman" w:cs="Times New Roman"/>
                    </w:rPr>
                  </w:pPr>
                  <w:r>
                    <w:rPr>
                      <w:rFonts w:hint="default" w:ascii="Times New Roman" w:hAnsi="Times New Roman" w:cs="Times New Roman"/>
                    </w:rPr>
                    <w:t>搅拌机</w:t>
                  </w:r>
                </w:p>
              </w:tc>
              <w:tc>
                <w:tcPr>
                  <w:tcW w:w="147" w:type="pct"/>
                  <w:shd w:val="clear" w:color="auto" w:fill="FFFFFF"/>
                  <w:tcMar>
                    <w:top w:w="0" w:type="dxa"/>
                    <w:left w:w="0" w:type="dxa"/>
                    <w:bottom w:w="0" w:type="dxa"/>
                    <w:right w:w="0" w:type="dxa"/>
                  </w:tcMar>
                  <w:vAlign w:val="center"/>
                </w:tcPr>
                <w:p w14:paraId="558BB3E5">
                  <w:pPr>
                    <w:adjustRightInd w:val="0"/>
                    <w:snapToGrid w:val="0"/>
                    <w:jc w:val="center"/>
                    <w:rPr>
                      <w:rFonts w:hint="default" w:ascii="Times New Roman" w:hAnsi="Times New Roman" w:cs="Times New Roman"/>
                    </w:rPr>
                  </w:pPr>
                  <w:r>
                    <w:rPr>
                      <w:rFonts w:hint="default" w:ascii="Times New Roman" w:hAnsi="Times New Roman" w:cs="Times New Roman"/>
                      <w:lang w:val="en-US" w:eastAsia="zh-CN"/>
                    </w:rPr>
                    <w:t>/</w:t>
                  </w:r>
                </w:p>
              </w:tc>
              <w:tc>
                <w:tcPr>
                  <w:tcW w:w="285" w:type="pct"/>
                  <w:shd w:val="clear" w:color="auto" w:fill="FFFFFF"/>
                  <w:tcMar>
                    <w:top w:w="0" w:type="dxa"/>
                    <w:left w:w="0" w:type="dxa"/>
                    <w:bottom w:w="0" w:type="dxa"/>
                    <w:right w:w="0" w:type="dxa"/>
                  </w:tcMar>
                  <w:vAlign w:val="center"/>
                </w:tcPr>
                <w:p w14:paraId="6B812D15">
                  <w:pPr>
                    <w:pStyle w:val="29"/>
                    <w:adjustRightInd w:val="0"/>
                    <w:snapToGrid w:val="0"/>
                    <w:rPr>
                      <w:rFonts w:hint="default" w:ascii="Times New Roman" w:hAnsi="Times New Roman" w:cs="Times New Roman"/>
                    </w:rPr>
                  </w:pPr>
                  <w:r>
                    <w:rPr>
                      <w:rFonts w:hint="default" w:ascii="Times New Roman" w:hAnsi="Times New Roman" w:cs="Times New Roman"/>
                    </w:rPr>
                    <w:t>75</w:t>
                  </w:r>
                </w:p>
              </w:tc>
              <w:tc>
                <w:tcPr>
                  <w:tcW w:w="254" w:type="pct"/>
                  <w:vMerge w:val="continue"/>
                  <w:shd w:val="clear" w:color="auto" w:fill="FFFFFF"/>
                  <w:tcMar>
                    <w:top w:w="0" w:type="dxa"/>
                    <w:left w:w="0" w:type="dxa"/>
                    <w:bottom w:w="0" w:type="dxa"/>
                    <w:right w:w="0" w:type="dxa"/>
                  </w:tcMar>
                  <w:vAlign w:val="center"/>
                </w:tcPr>
                <w:p w14:paraId="55AB771D">
                  <w:pPr>
                    <w:pStyle w:val="29"/>
                    <w:adjustRightInd w:val="0"/>
                    <w:snapToGrid w:val="0"/>
                    <w:rPr>
                      <w:rFonts w:hint="default" w:ascii="Times New Roman" w:hAnsi="Times New Roman" w:cs="Times New Roman"/>
                    </w:rPr>
                  </w:pPr>
                </w:p>
              </w:tc>
              <w:tc>
                <w:tcPr>
                  <w:tcW w:w="175" w:type="pct"/>
                  <w:shd w:val="clear" w:color="auto" w:fill="FFFFFF"/>
                  <w:tcMar>
                    <w:top w:w="0" w:type="dxa"/>
                    <w:left w:w="0" w:type="dxa"/>
                    <w:bottom w:w="0" w:type="dxa"/>
                    <w:right w:w="0" w:type="dxa"/>
                  </w:tcMar>
                  <w:vAlign w:val="center"/>
                </w:tcPr>
                <w:p w14:paraId="2E05705F">
                  <w:pPr>
                    <w:pStyle w:val="29"/>
                    <w:adjustRightInd w:val="0"/>
                    <w:snapToGrid w:val="0"/>
                    <w:rPr>
                      <w:rFonts w:hint="default" w:ascii="Times New Roman" w:hAnsi="Times New Roman" w:cs="Times New Roman"/>
                    </w:rPr>
                  </w:pPr>
                  <w:r>
                    <w:rPr>
                      <w:rFonts w:hint="default" w:ascii="Times New Roman" w:hAnsi="Times New Roman" w:cs="Times New Roman"/>
                    </w:rPr>
                    <w:t>722</w:t>
                  </w:r>
                </w:p>
              </w:tc>
              <w:tc>
                <w:tcPr>
                  <w:tcW w:w="143" w:type="pct"/>
                  <w:shd w:val="clear" w:color="auto" w:fill="FFFFFF"/>
                  <w:tcMar>
                    <w:top w:w="0" w:type="dxa"/>
                    <w:left w:w="0" w:type="dxa"/>
                    <w:bottom w:w="0" w:type="dxa"/>
                    <w:right w:w="0" w:type="dxa"/>
                  </w:tcMar>
                  <w:vAlign w:val="center"/>
                </w:tcPr>
                <w:p w14:paraId="21B4C860">
                  <w:pPr>
                    <w:pStyle w:val="29"/>
                    <w:adjustRightInd w:val="0"/>
                    <w:snapToGrid w:val="0"/>
                    <w:rPr>
                      <w:rFonts w:hint="default" w:ascii="Times New Roman" w:hAnsi="Times New Roman" w:cs="Times New Roman"/>
                    </w:rPr>
                  </w:pPr>
                  <w:r>
                    <w:rPr>
                      <w:rFonts w:hint="default" w:ascii="Times New Roman" w:hAnsi="Times New Roman" w:cs="Times New Roman"/>
                    </w:rPr>
                    <w:t>-34.9</w:t>
                  </w:r>
                </w:p>
              </w:tc>
              <w:tc>
                <w:tcPr>
                  <w:tcW w:w="128" w:type="pct"/>
                  <w:shd w:val="clear" w:color="auto" w:fill="FFFFFF"/>
                  <w:tcMar>
                    <w:top w:w="0" w:type="dxa"/>
                    <w:left w:w="0" w:type="dxa"/>
                    <w:bottom w:w="0" w:type="dxa"/>
                    <w:right w:w="0" w:type="dxa"/>
                  </w:tcMar>
                  <w:vAlign w:val="center"/>
                </w:tcPr>
                <w:p w14:paraId="2F77D8E0">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56" w:type="pct"/>
                  <w:shd w:val="clear" w:color="auto" w:fill="FFFFFF"/>
                  <w:tcMar>
                    <w:top w:w="0" w:type="dxa"/>
                    <w:left w:w="0" w:type="dxa"/>
                    <w:bottom w:w="0" w:type="dxa"/>
                    <w:right w:w="0" w:type="dxa"/>
                  </w:tcMar>
                  <w:vAlign w:val="center"/>
                </w:tcPr>
                <w:p w14:paraId="23C7E696">
                  <w:pPr>
                    <w:pStyle w:val="29"/>
                    <w:adjustRightInd w:val="0"/>
                    <w:snapToGrid w:val="0"/>
                    <w:rPr>
                      <w:rFonts w:hint="default" w:ascii="Times New Roman" w:hAnsi="Times New Roman" w:cs="Times New Roman"/>
                    </w:rPr>
                  </w:pPr>
                  <w:r>
                    <w:rPr>
                      <w:rFonts w:hint="default" w:ascii="Times New Roman" w:hAnsi="Times New Roman" w:cs="Times New Roman"/>
                    </w:rPr>
                    <w:t>30.5</w:t>
                  </w:r>
                </w:p>
              </w:tc>
              <w:tc>
                <w:tcPr>
                  <w:tcW w:w="176" w:type="pct"/>
                  <w:shd w:val="clear" w:color="auto" w:fill="FFFFFF"/>
                  <w:tcMar>
                    <w:top w:w="0" w:type="dxa"/>
                    <w:left w:w="0" w:type="dxa"/>
                    <w:bottom w:w="0" w:type="dxa"/>
                    <w:right w:w="0" w:type="dxa"/>
                  </w:tcMar>
                  <w:vAlign w:val="center"/>
                </w:tcPr>
                <w:p w14:paraId="46E5E0D5">
                  <w:pPr>
                    <w:pStyle w:val="29"/>
                    <w:adjustRightInd w:val="0"/>
                    <w:snapToGrid w:val="0"/>
                    <w:rPr>
                      <w:rFonts w:hint="default" w:ascii="Times New Roman" w:hAnsi="Times New Roman" w:cs="Times New Roman"/>
                    </w:rPr>
                  </w:pPr>
                  <w:r>
                    <w:rPr>
                      <w:rFonts w:hint="default" w:ascii="Times New Roman" w:hAnsi="Times New Roman" w:cs="Times New Roman"/>
                    </w:rPr>
                    <w:t>11.0</w:t>
                  </w:r>
                </w:p>
              </w:tc>
              <w:tc>
                <w:tcPr>
                  <w:tcW w:w="176" w:type="pct"/>
                  <w:shd w:val="clear" w:color="auto" w:fill="FFFFFF"/>
                  <w:tcMar>
                    <w:top w:w="0" w:type="dxa"/>
                    <w:left w:w="0" w:type="dxa"/>
                    <w:bottom w:w="0" w:type="dxa"/>
                    <w:right w:w="0" w:type="dxa"/>
                  </w:tcMar>
                  <w:vAlign w:val="center"/>
                </w:tcPr>
                <w:p w14:paraId="7BEF2B22">
                  <w:pPr>
                    <w:pStyle w:val="29"/>
                    <w:adjustRightInd w:val="0"/>
                    <w:snapToGrid w:val="0"/>
                    <w:rPr>
                      <w:rFonts w:hint="default" w:ascii="Times New Roman" w:hAnsi="Times New Roman" w:cs="Times New Roman"/>
                    </w:rPr>
                  </w:pPr>
                  <w:r>
                    <w:rPr>
                      <w:rFonts w:hint="default" w:ascii="Times New Roman" w:hAnsi="Times New Roman" w:cs="Times New Roman"/>
                    </w:rPr>
                    <w:t>94.6</w:t>
                  </w:r>
                </w:p>
              </w:tc>
              <w:tc>
                <w:tcPr>
                  <w:tcW w:w="186" w:type="pct"/>
                  <w:shd w:val="clear" w:color="auto" w:fill="FFFFFF"/>
                  <w:tcMar>
                    <w:top w:w="0" w:type="dxa"/>
                    <w:left w:w="0" w:type="dxa"/>
                    <w:bottom w:w="0" w:type="dxa"/>
                    <w:right w:w="0" w:type="dxa"/>
                  </w:tcMar>
                  <w:vAlign w:val="center"/>
                </w:tcPr>
                <w:p w14:paraId="2156BCCD">
                  <w:pPr>
                    <w:pStyle w:val="29"/>
                    <w:adjustRightInd w:val="0"/>
                    <w:snapToGrid w:val="0"/>
                    <w:rPr>
                      <w:rFonts w:hint="default" w:ascii="Times New Roman" w:hAnsi="Times New Roman" w:cs="Times New Roman"/>
                    </w:rPr>
                  </w:pPr>
                  <w:r>
                    <w:rPr>
                      <w:rFonts w:hint="default" w:ascii="Times New Roman" w:hAnsi="Times New Roman" w:cs="Times New Roman"/>
                    </w:rPr>
                    <w:t>10.5</w:t>
                  </w:r>
                </w:p>
              </w:tc>
              <w:tc>
                <w:tcPr>
                  <w:tcW w:w="174" w:type="pct"/>
                  <w:shd w:val="clear" w:color="auto" w:fill="FFFFFF"/>
                  <w:tcMar>
                    <w:top w:w="0" w:type="dxa"/>
                    <w:left w:w="0" w:type="dxa"/>
                    <w:bottom w:w="0" w:type="dxa"/>
                    <w:right w:w="0" w:type="dxa"/>
                  </w:tcMar>
                  <w:vAlign w:val="center"/>
                </w:tcPr>
                <w:p w14:paraId="1795CB48">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75" w:type="pct"/>
                  <w:shd w:val="clear" w:color="auto" w:fill="FFFFFF"/>
                  <w:tcMar>
                    <w:top w:w="0" w:type="dxa"/>
                    <w:left w:w="0" w:type="dxa"/>
                    <w:bottom w:w="0" w:type="dxa"/>
                    <w:right w:w="0" w:type="dxa"/>
                  </w:tcMar>
                  <w:vAlign w:val="center"/>
                </w:tcPr>
                <w:p w14:paraId="68A45595">
                  <w:pPr>
                    <w:pStyle w:val="29"/>
                    <w:adjustRightInd w:val="0"/>
                    <w:snapToGrid w:val="0"/>
                    <w:rPr>
                      <w:rFonts w:hint="default" w:ascii="Times New Roman" w:hAnsi="Times New Roman" w:cs="Times New Roman"/>
                    </w:rPr>
                  </w:pPr>
                  <w:r>
                    <w:rPr>
                      <w:rFonts w:hint="default" w:ascii="Times New Roman" w:hAnsi="Times New Roman" w:cs="Times New Roman"/>
                    </w:rPr>
                    <w:t>65.3</w:t>
                  </w:r>
                </w:p>
              </w:tc>
              <w:tc>
                <w:tcPr>
                  <w:tcW w:w="175" w:type="pct"/>
                  <w:shd w:val="clear" w:color="auto" w:fill="FFFFFF"/>
                  <w:tcMar>
                    <w:top w:w="0" w:type="dxa"/>
                    <w:left w:w="0" w:type="dxa"/>
                    <w:bottom w:w="0" w:type="dxa"/>
                    <w:right w:w="0" w:type="dxa"/>
                  </w:tcMar>
                  <w:vAlign w:val="center"/>
                </w:tcPr>
                <w:p w14:paraId="03741976">
                  <w:pPr>
                    <w:pStyle w:val="29"/>
                    <w:adjustRightInd w:val="0"/>
                    <w:snapToGrid w:val="0"/>
                    <w:rPr>
                      <w:rFonts w:hint="default" w:ascii="Times New Roman" w:hAnsi="Times New Roman" w:cs="Times New Roman"/>
                    </w:rPr>
                  </w:pPr>
                  <w:r>
                    <w:rPr>
                      <w:rFonts w:hint="default" w:ascii="Times New Roman" w:hAnsi="Times New Roman" w:cs="Times New Roman"/>
                    </w:rPr>
                    <w:t>65.2</w:t>
                  </w:r>
                </w:p>
              </w:tc>
              <w:tc>
                <w:tcPr>
                  <w:tcW w:w="137" w:type="pct"/>
                  <w:shd w:val="clear" w:color="auto" w:fill="FFFFFF"/>
                  <w:tcMar>
                    <w:top w:w="0" w:type="dxa"/>
                    <w:left w:w="0" w:type="dxa"/>
                    <w:bottom w:w="0" w:type="dxa"/>
                    <w:right w:w="0" w:type="dxa"/>
                  </w:tcMar>
                  <w:vAlign w:val="center"/>
                </w:tcPr>
                <w:p w14:paraId="18017FAA">
                  <w:pPr>
                    <w:pStyle w:val="29"/>
                    <w:adjustRightInd w:val="0"/>
                    <w:snapToGrid w:val="0"/>
                    <w:rPr>
                      <w:rFonts w:hint="default" w:ascii="Times New Roman" w:hAnsi="Times New Roman" w:cs="Times New Roman"/>
                    </w:rPr>
                  </w:pPr>
                  <w:r>
                    <w:rPr>
                      <w:rFonts w:hint="default" w:ascii="Times New Roman" w:hAnsi="Times New Roman" w:cs="Times New Roman"/>
                    </w:rPr>
                    <w:t>65.3</w:t>
                  </w:r>
                </w:p>
              </w:tc>
              <w:tc>
                <w:tcPr>
                  <w:tcW w:w="236" w:type="pct"/>
                  <w:shd w:val="clear" w:color="auto" w:fill="FFFFFF"/>
                  <w:tcMar>
                    <w:top w:w="0" w:type="dxa"/>
                    <w:left w:w="0" w:type="dxa"/>
                    <w:bottom w:w="0" w:type="dxa"/>
                    <w:right w:w="0" w:type="dxa"/>
                  </w:tcMar>
                  <w:vAlign w:val="center"/>
                </w:tcPr>
                <w:p w14:paraId="0C8B4E4A">
                  <w:pPr>
                    <w:pStyle w:val="29"/>
                    <w:adjustRightInd w:val="0"/>
                    <w:snapToGrid w:val="0"/>
                    <w:rPr>
                      <w:rFonts w:hint="default" w:ascii="Times New Roman" w:hAnsi="Times New Roman" w:cs="Times New Roman"/>
                    </w:rPr>
                  </w:pPr>
                  <w:r>
                    <w:rPr>
                      <w:rFonts w:hint="default" w:ascii="Times New Roman" w:hAnsi="Times New Roman" w:cs="Times New Roman"/>
                    </w:rPr>
                    <w:t>12</w:t>
                  </w:r>
                </w:p>
              </w:tc>
              <w:tc>
                <w:tcPr>
                  <w:tcW w:w="161" w:type="pct"/>
                  <w:shd w:val="clear" w:color="auto" w:fill="FFFFFF"/>
                  <w:tcMar>
                    <w:top w:w="0" w:type="dxa"/>
                    <w:left w:w="0" w:type="dxa"/>
                    <w:bottom w:w="0" w:type="dxa"/>
                    <w:right w:w="0" w:type="dxa"/>
                  </w:tcMar>
                  <w:vAlign w:val="center"/>
                </w:tcPr>
                <w:p w14:paraId="574722D5">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6" w:type="pct"/>
                  <w:shd w:val="clear" w:color="auto" w:fill="FFFFFF"/>
                  <w:tcMar>
                    <w:top w:w="0" w:type="dxa"/>
                    <w:left w:w="0" w:type="dxa"/>
                    <w:bottom w:w="0" w:type="dxa"/>
                    <w:right w:w="0" w:type="dxa"/>
                  </w:tcMar>
                  <w:vAlign w:val="center"/>
                </w:tcPr>
                <w:p w14:paraId="5F1016D3">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59" w:type="pct"/>
                  <w:shd w:val="clear" w:color="auto" w:fill="FFFFFF"/>
                  <w:tcMar>
                    <w:top w:w="0" w:type="dxa"/>
                    <w:left w:w="0" w:type="dxa"/>
                    <w:bottom w:w="0" w:type="dxa"/>
                    <w:right w:w="0" w:type="dxa"/>
                  </w:tcMar>
                  <w:vAlign w:val="center"/>
                </w:tcPr>
                <w:p w14:paraId="07488781">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60" w:type="pct"/>
                  <w:shd w:val="clear" w:color="auto" w:fill="FFFFFF"/>
                  <w:tcMar>
                    <w:top w:w="0" w:type="dxa"/>
                    <w:left w:w="0" w:type="dxa"/>
                    <w:bottom w:w="0" w:type="dxa"/>
                    <w:right w:w="0" w:type="dxa"/>
                  </w:tcMar>
                  <w:vAlign w:val="center"/>
                </w:tcPr>
                <w:p w14:paraId="04831418">
                  <w:pPr>
                    <w:pStyle w:val="29"/>
                    <w:adjustRightInd w:val="0"/>
                    <w:snapToGrid w:val="0"/>
                    <w:rPr>
                      <w:rFonts w:hint="default" w:ascii="Times New Roman" w:hAnsi="Times New Roman" w:cs="Times New Roman"/>
                    </w:rPr>
                  </w:pPr>
                  <w:r>
                    <w:rPr>
                      <w:rFonts w:hint="default" w:ascii="Times New Roman" w:hAnsi="Times New Roman" w:cs="Times New Roman"/>
                    </w:rPr>
                    <w:t>9.0</w:t>
                  </w:r>
                </w:p>
              </w:tc>
              <w:tc>
                <w:tcPr>
                  <w:tcW w:w="176" w:type="pct"/>
                  <w:shd w:val="clear" w:color="auto" w:fill="FFFFFF"/>
                  <w:tcMar>
                    <w:top w:w="0" w:type="dxa"/>
                    <w:left w:w="0" w:type="dxa"/>
                    <w:bottom w:w="0" w:type="dxa"/>
                    <w:right w:w="0" w:type="dxa"/>
                  </w:tcMar>
                  <w:vAlign w:val="center"/>
                </w:tcPr>
                <w:p w14:paraId="33A680FC">
                  <w:pPr>
                    <w:pStyle w:val="29"/>
                    <w:adjustRightInd w:val="0"/>
                    <w:snapToGrid w:val="0"/>
                    <w:rPr>
                      <w:rFonts w:hint="default" w:ascii="Times New Roman" w:hAnsi="Times New Roman" w:cs="Times New Roman"/>
                    </w:rPr>
                  </w:pPr>
                  <w:r>
                    <w:rPr>
                      <w:rFonts w:hint="default" w:ascii="Times New Roman" w:hAnsi="Times New Roman" w:cs="Times New Roman"/>
                    </w:rPr>
                    <w:t>58.3</w:t>
                  </w:r>
                </w:p>
              </w:tc>
              <w:tc>
                <w:tcPr>
                  <w:tcW w:w="186" w:type="pct"/>
                  <w:shd w:val="clear" w:color="auto" w:fill="FFFFFF"/>
                  <w:tcMar>
                    <w:top w:w="0" w:type="dxa"/>
                    <w:left w:w="0" w:type="dxa"/>
                    <w:bottom w:w="0" w:type="dxa"/>
                    <w:right w:w="0" w:type="dxa"/>
                  </w:tcMar>
                  <w:vAlign w:val="center"/>
                </w:tcPr>
                <w:p w14:paraId="15AF1A18">
                  <w:pPr>
                    <w:pStyle w:val="29"/>
                    <w:adjustRightInd w:val="0"/>
                    <w:snapToGrid w:val="0"/>
                    <w:rPr>
                      <w:rFonts w:hint="default" w:ascii="Times New Roman" w:hAnsi="Times New Roman" w:cs="Times New Roman"/>
                    </w:rPr>
                  </w:pPr>
                  <w:r>
                    <w:rPr>
                      <w:rFonts w:hint="default" w:ascii="Times New Roman" w:hAnsi="Times New Roman" w:cs="Times New Roman"/>
                    </w:rPr>
                    <w:t>56.3</w:t>
                  </w:r>
                </w:p>
              </w:tc>
              <w:tc>
                <w:tcPr>
                  <w:tcW w:w="181" w:type="pct"/>
                  <w:shd w:val="clear" w:color="auto" w:fill="FFFFFF"/>
                  <w:tcMar>
                    <w:top w:w="0" w:type="dxa"/>
                    <w:left w:w="0" w:type="dxa"/>
                    <w:bottom w:w="0" w:type="dxa"/>
                    <w:right w:w="0" w:type="dxa"/>
                  </w:tcMar>
                  <w:vAlign w:val="center"/>
                </w:tcPr>
                <w:p w14:paraId="7988B653">
                  <w:pPr>
                    <w:pStyle w:val="29"/>
                    <w:adjustRightInd w:val="0"/>
                    <w:snapToGrid w:val="0"/>
                    <w:rPr>
                      <w:rFonts w:hint="default" w:ascii="Times New Roman" w:hAnsi="Times New Roman" w:cs="Times New Roman"/>
                    </w:rPr>
                  </w:pPr>
                  <w:r>
                    <w:rPr>
                      <w:rFonts w:hint="default" w:ascii="Times New Roman" w:hAnsi="Times New Roman" w:cs="Times New Roman"/>
                    </w:rPr>
                    <w:t>56.2</w:t>
                  </w:r>
                </w:p>
              </w:tc>
              <w:tc>
                <w:tcPr>
                  <w:tcW w:w="176" w:type="pct"/>
                  <w:shd w:val="clear" w:color="auto" w:fill="FFFFFF"/>
                  <w:tcMar>
                    <w:top w:w="0" w:type="dxa"/>
                    <w:left w:w="0" w:type="dxa"/>
                    <w:bottom w:w="0" w:type="dxa"/>
                    <w:right w:w="0" w:type="dxa"/>
                  </w:tcMar>
                  <w:vAlign w:val="center"/>
                </w:tcPr>
                <w:p w14:paraId="0CC7836B">
                  <w:pPr>
                    <w:pStyle w:val="29"/>
                    <w:adjustRightInd w:val="0"/>
                    <w:snapToGrid w:val="0"/>
                    <w:rPr>
                      <w:rFonts w:hint="default" w:ascii="Times New Roman" w:hAnsi="Times New Roman" w:cs="Times New Roman"/>
                    </w:rPr>
                  </w:pPr>
                  <w:r>
                    <w:rPr>
                      <w:rFonts w:hint="default" w:ascii="Times New Roman" w:hAnsi="Times New Roman" w:cs="Times New Roman"/>
                    </w:rPr>
                    <w:t>56.3</w:t>
                  </w:r>
                </w:p>
              </w:tc>
              <w:tc>
                <w:tcPr>
                  <w:tcW w:w="261" w:type="pct"/>
                  <w:shd w:val="clear" w:color="auto" w:fill="FFFFFF"/>
                  <w:tcMar>
                    <w:top w:w="0" w:type="dxa"/>
                    <w:left w:w="0" w:type="dxa"/>
                    <w:bottom w:w="0" w:type="dxa"/>
                    <w:right w:w="0" w:type="dxa"/>
                  </w:tcMar>
                  <w:vAlign w:val="center"/>
                </w:tcPr>
                <w:p w14:paraId="5D095DAF">
                  <w:pPr>
                    <w:pStyle w:val="29"/>
                    <w:adjustRightInd w:val="0"/>
                    <w:snapToGrid w:val="0"/>
                    <w:rPr>
                      <w:rFonts w:hint="default" w:ascii="Times New Roman" w:hAnsi="Times New Roman" w:cs="Times New Roman"/>
                    </w:rPr>
                  </w:pPr>
                  <w:r>
                    <w:rPr>
                      <w:rFonts w:hint="default" w:ascii="Times New Roman" w:hAnsi="Times New Roman" w:cs="Times New Roman"/>
                    </w:rPr>
                    <w:t>1</w:t>
                  </w:r>
                </w:p>
              </w:tc>
            </w:tr>
          </w:tbl>
          <w:p w14:paraId="230BC7AB">
            <w:pPr>
              <w:pStyle w:val="42"/>
              <w:framePr w:hSpace="0" w:wrap="auto" w:vAnchor="margin" w:hAnchor="text" w:xAlign="left" w:yAlign="inline"/>
              <w:rPr>
                <w:rFonts w:hint="default" w:ascii="Times New Roman" w:hAnsi="Times New Roman" w:cs="Times New Roman"/>
                <w:lang w:bidi="ar"/>
              </w:rPr>
            </w:pPr>
            <w:r>
              <w:rPr>
                <w:rFonts w:hint="default" w:ascii="Times New Roman" w:hAnsi="Times New Roman" w:cs="Times New Roman"/>
                <w:lang w:bidi="ar"/>
              </w:rPr>
              <w:t>表</w:t>
            </w:r>
            <w:r>
              <w:rPr>
                <w:rFonts w:hint="default" w:ascii="Times New Roman" w:hAnsi="Times New Roman" w:cs="Times New Roman"/>
              </w:rPr>
              <w:t>4-</w:t>
            </w:r>
            <w:r>
              <w:rPr>
                <w:rFonts w:hint="eastAsia" w:cs="Times New Roman"/>
                <w:lang w:val="en-US" w:eastAsia="zh-CN"/>
              </w:rPr>
              <w:t>20</w:t>
            </w:r>
            <w:r>
              <w:rPr>
                <w:rFonts w:hint="default" w:ascii="Times New Roman" w:hAnsi="Times New Roman" w:cs="Times New Roman"/>
              </w:rPr>
              <w:t xml:space="preserve">-2 </w:t>
            </w:r>
            <w:r>
              <w:rPr>
                <w:rFonts w:hint="default" w:ascii="Times New Roman" w:hAnsi="Times New Roman" w:cs="Times New Roman"/>
                <w:lang w:bidi="ar"/>
              </w:rPr>
              <w:t xml:space="preserve"> 工业企业噪声源强调查清单（室外声源）</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90"/>
              <w:gridCol w:w="1376"/>
              <w:gridCol w:w="1076"/>
              <w:gridCol w:w="1338"/>
              <w:gridCol w:w="1338"/>
              <w:gridCol w:w="1497"/>
              <w:gridCol w:w="2287"/>
              <w:gridCol w:w="1923"/>
              <w:gridCol w:w="1851"/>
            </w:tblGrid>
            <w:tr w14:paraId="1D19F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8" w:hRule="atLeast"/>
                <w:jc w:val="center"/>
              </w:trPr>
              <w:tc>
                <w:tcPr>
                  <w:tcW w:w="293" w:type="pct"/>
                  <w:vMerge w:val="restart"/>
                  <w:tcBorders>
                    <w:top w:val="single" w:color="auto" w:sz="4" w:space="0"/>
                    <w:left w:val="single" w:color="auto" w:sz="4" w:space="0"/>
                    <w:bottom w:val="single" w:color="auto" w:sz="4" w:space="0"/>
                    <w:right w:val="single" w:color="auto" w:sz="4" w:space="0"/>
                  </w:tcBorders>
                  <w:vAlign w:val="center"/>
                </w:tcPr>
                <w:p w14:paraId="15F7A053">
                  <w:pPr>
                    <w:pStyle w:val="38"/>
                    <w:framePr w:hSpace="0" w:wrap="auto" w:vAnchor="margin" w:hAnchor="text" w:xAlign="left" w:yAlign="inline"/>
                    <w:rPr>
                      <w:rFonts w:cs="Times New Roman"/>
                      <w:b/>
                      <w:bCs/>
                      <w:sz w:val="21"/>
                      <w:szCs w:val="21"/>
                    </w:rPr>
                  </w:pPr>
                  <w:r>
                    <w:rPr>
                      <w:rFonts w:cs="Times New Roman"/>
                      <w:b/>
                      <w:bCs/>
                      <w:sz w:val="21"/>
                      <w:szCs w:val="21"/>
                    </w:rPr>
                    <w:t>序号</w:t>
                  </w:r>
                </w:p>
              </w:tc>
              <w:tc>
                <w:tcPr>
                  <w:tcW w:w="510" w:type="pct"/>
                  <w:vMerge w:val="restart"/>
                  <w:tcBorders>
                    <w:top w:val="single" w:color="auto" w:sz="4" w:space="0"/>
                    <w:left w:val="single" w:color="auto" w:sz="4" w:space="0"/>
                    <w:bottom w:val="single" w:color="auto" w:sz="4" w:space="0"/>
                    <w:right w:val="single" w:color="auto" w:sz="4" w:space="0"/>
                  </w:tcBorders>
                  <w:vAlign w:val="center"/>
                </w:tcPr>
                <w:p w14:paraId="57CE4247">
                  <w:pPr>
                    <w:pStyle w:val="38"/>
                    <w:framePr w:hSpace="0" w:wrap="auto" w:vAnchor="margin" w:hAnchor="text" w:xAlign="left" w:yAlign="inline"/>
                    <w:rPr>
                      <w:rFonts w:cs="Times New Roman"/>
                      <w:b/>
                      <w:bCs/>
                      <w:sz w:val="21"/>
                      <w:szCs w:val="21"/>
                    </w:rPr>
                  </w:pPr>
                  <w:r>
                    <w:rPr>
                      <w:rFonts w:cs="Times New Roman"/>
                      <w:b/>
                      <w:bCs/>
                      <w:sz w:val="21"/>
                      <w:szCs w:val="21"/>
                    </w:rPr>
                    <w:t>声源名称</w:t>
                  </w:r>
                </w:p>
              </w:tc>
              <w:tc>
                <w:tcPr>
                  <w:tcW w:w="399" w:type="pct"/>
                  <w:vMerge w:val="restart"/>
                  <w:tcBorders>
                    <w:top w:val="single" w:color="auto" w:sz="4" w:space="0"/>
                    <w:left w:val="single" w:color="auto" w:sz="4" w:space="0"/>
                    <w:bottom w:val="single" w:color="auto" w:sz="4" w:space="0"/>
                    <w:right w:val="single" w:color="auto" w:sz="4" w:space="0"/>
                  </w:tcBorders>
                  <w:vAlign w:val="center"/>
                </w:tcPr>
                <w:p w14:paraId="1ED18B7E">
                  <w:pPr>
                    <w:pStyle w:val="38"/>
                    <w:framePr w:hSpace="0" w:wrap="auto" w:vAnchor="margin" w:hAnchor="text" w:xAlign="left" w:yAlign="inline"/>
                    <w:rPr>
                      <w:rFonts w:cs="Times New Roman"/>
                      <w:b/>
                      <w:bCs/>
                      <w:sz w:val="21"/>
                      <w:szCs w:val="21"/>
                    </w:rPr>
                  </w:pPr>
                  <w:r>
                    <w:rPr>
                      <w:rFonts w:cs="Times New Roman"/>
                      <w:b/>
                      <w:bCs/>
                      <w:sz w:val="21"/>
                      <w:szCs w:val="21"/>
                    </w:rPr>
                    <w:t>型号</w:t>
                  </w:r>
                </w:p>
              </w:tc>
              <w:tc>
                <w:tcPr>
                  <w:tcW w:w="1547" w:type="pct"/>
                  <w:gridSpan w:val="3"/>
                  <w:tcBorders>
                    <w:top w:val="single" w:color="auto" w:sz="4" w:space="0"/>
                    <w:left w:val="single" w:color="auto" w:sz="4" w:space="0"/>
                    <w:bottom w:val="single" w:color="auto" w:sz="4" w:space="0"/>
                    <w:right w:val="single" w:color="auto" w:sz="4" w:space="0"/>
                  </w:tcBorders>
                  <w:vAlign w:val="center"/>
                </w:tcPr>
                <w:p w14:paraId="67E11140">
                  <w:pPr>
                    <w:pStyle w:val="38"/>
                    <w:framePr w:hSpace="0" w:wrap="auto" w:vAnchor="margin" w:hAnchor="text" w:xAlign="left" w:yAlign="inline"/>
                    <w:rPr>
                      <w:rFonts w:cs="Times New Roman"/>
                      <w:b/>
                      <w:bCs/>
                      <w:sz w:val="21"/>
                      <w:szCs w:val="21"/>
                    </w:rPr>
                  </w:pPr>
                  <w:r>
                    <w:rPr>
                      <w:rFonts w:cs="Times New Roman"/>
                      <w:b/>
                      <w:bCs/>
                      <w:sz w:val="21"/>
                      <w:szCs w:val="21"/>
                    </w:rPr>
                    <w:t>空间相对位置/m</w:t>
                  </w:r>
                </w:p>
              </w:tc>
              <w:tc>
                <w:tcPr>
                  <w:tcW w:w="848" w:type="pct"/>
                  <w:tcBorders>
                    <w:top w:val="single" w:color="auto" w:sz="4" w:space="0"/>
                    <w:left w:val="single" w:color="auto" w:sz="4" w:space="0"/>
                    <w:bottom w:val="single" w:color="auto" w:sz="4" w:space="0"/>
                    <w:right w:val="single" w:color="auto" w:sz="4" w:space="0"/>
                  </w:tcBorders>
                  <w:vAlign w:val="center"/>
                </w:tcPr>
                <w:p w14:paraId="405FB218">
                  <w:pPr>
                    <w:pStyle w:val="38"/>
                    <w:framePr w:hSpace="0" w:wrap="auto" w:vAnchor="margin" w:hAnchor="text" w:xAlign="left" w:yAlign="inline"/>
                    <w:rPr>
                      <w:rFonts w:cs="Times New Roman"/>
                      <w:b/>
                      <w:bCs/>
                      <w:sz w:val="21"/>
                      <w:szCs w:val="21"/>
                    </w:rPr>
                  </w:pPr>
                  <w:r>
                    <w:rPr>
                      <w:rFonts w:cs="Times New Roman"/>
                      <w:b/>
                      <w:bCs/>
                      <w:sz w:val="21"/>
                      <w:szCs w:val="21"/>
                    </w:rPr>
                    <w:t>声源源强</w:t>
                  </w:r>
                </w:p>
              </w:tc>
              <w:tc>
                <w:tcPr>
                  <w:tcW w:w="713" w:type="pct"/>
                  <w:vMerge w:val="restart"/>
                  <w:tcBorders>
                    <w:top w:val="single" w:color="auto" w:sz="4" w:space="0"/>
                    <w:left w:val="single" w:color="auto" w:sz="4" w:space="0"/>
                    <w:bottom w:val="single" w:color="auto" w:sz="4" w:space="0"/>
                    <w:right w:val="single" w:color="auto" w:sz="4" w:space="0"/>
                  </w:tcBorders>
                  <w:vAlign w:val="center"/>
                </w:tcPr>
                <w:p w14:paraId="32402780">
                  <w:pPr>
                    <w:pStyle w:val="38"/>
                    <w:framePr w:hSpace="0" w:wrap="auto" w:vAnchor="margin" w:hAnchor="text" w:xAlign="left" w:yAlign="inline"/>
                    <w:rPr>
                      <w:rFonts w:cs="Times New Roman"/>
                      <w:b/>
                      <w:bCs/>
                      <w:sz w:val="21"/>
                      <w:szCs w:val="21"/>
                    </w:rPr>
                  </w:pPr>
                  <w:r>
                    <w:rPr>
                      <w:rFonts w:cs="Times New Roman"/>
                      <w:b/>
                      <w:bCs/>
                      <w:sz w:val="21"/>
                      <w:szCs w:val="21"/>
                    </w:rPr>
                    <w:t>声源控制措施</w:t>
                  </w:r>
                </w:p>
              </w:tc>
              <w:tc>
                <w:tcPr>
                  <w:tcW w:w="686" w:type="pct"/>
                  <w:vMerge w:val="restart"/>
                  <w:tcBorders>
                    <w:top w:val="single" w:color="auto" w:sz="4" w:space="0"/>
                    <w:left w:val="single" w:color="auto" w:sz="4" w:space="0"/>
                    <w:bottom w:val="single" w:color="auto" w:sz="4" w:space="0"/>
                    <w:right w:val="single" w:color="auto" w:sz="4" w:space="0"/>
                  </w:tcBorders>
                  <w:vAlign w:val="center"/>
                </w:tcPr>
                <w:p w14:paraId="623818BD">
                  <w:pPr>
                    <w:pStyle w:val="38"/>
                    <w:framePr w:hSpace="0" w:wrap="auto" w:vAnchor="margin" w:hAnchor="text" w:xAlign="left" w:yAlign="inline"/>
                    <w:rPr>
                      <w:rFonts w:cs="Times New Roman"/>
                      <w:b/>
                      <w:bCs/>
                      <w:sz w:val="21"/>
                      <w:szCs w:val="21"/>
                    </w:rPr>
                  </w:pPr>
                  <w:r>
                    <w:rPr>
                      <w:rFonts w:cs="Times New Roman"/>
                      <w:b/>
                      <w:bCs/>
                      <w:sz w:val="21"/>
                      <w:szCs w:val="21"/>
                    </w:rPr>
                    <w:t>运行时段</w:t>
                  </w:r>
                </w:p>
              </w:tc>
            </w:tr>
            <w:tr w14:paraId="37D80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8" w:hRule="atLeast"/>
                <w:jc w:val="center"/>
              </w:trPr>
              <w:tc>
                <w:tcPr>
                  <w:tcW w:w="293" w:type="pct"/>
                  <w:vMerge w:val="continue"/>
                  <w:tcBorders>
                    <w:top w:val="single" w:color="auto" w:sz="4" w:space="0"/>
                    <w:left w:val="single" w:color="auto" w:sz="4" w:space="0"/>
                    <w:bottom w:val="single" w:color="auto" w:sz="4" w:space="0"/>
                    <w:right w:val="single" w:color="auto" w:sz="4" w:space="0"/>
                  </w:tcBorders>
                  <w:vAlign w:val="center"/>
                </w:tcPr>
                <w:p w14:paraId="07204000">
                  <w:pPr>
                    <w:pStyle w:val="38"/>
                    <w:framePr w:hSpace="0" w:wrap="auto" w:vAnchor="margin" w:hAnchor="text" w:xAlign="left" w:yAlign="inline"/>
                    <w:rPr>
                      <w:rFonts w:cs="Times New Roman"/>
                      <w:b/>
                      <w:bCs/>
                      <w:sz w:val="21"/>
                      <w:szCs w:val="21"/>
                    </w:rPr>
                  </w:pP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7B43FC50">
                  <w:pPr>
                    <w:pStyle w:val="38"/>
                    <w:framePr w:hSpace="0" w:wrap="auto" w:vAnchor="margin" w:hAnchor="text" w:xAlign="left" w:yAlign="inline"/>
                    <w:rPr>
                      <w:rFonts w:cs="Times New Roman"/>
                      <w:b/>
                      <w:bCs/>
                      <w:sz w:val="21"/>
                      <w:szCs w:val="21"/>
                    </w:rPr>
                  </w:pPr>
                </w:p>
              </w:tc>
              <w:tc>
                <w:tcPr>
                  <w:tcW w:w="399" w:type="pct"/>
                  <w:vMerge w:val="continue"/>
                  <w:tcBorders>
                    <w:top w:val="single" w:color="auto" w:sz="4" w:space="0"/>
                    <w:left w:val="single" w:color="auto" w:sz="4" w:space="0"/>
                    <w:bottom w:val="single" w:color="auto" w:sz="4" w:space="0"/>
                    <w:right w:val="single" w:color="auto" w:sz="4" w:space="0"/>
                  </w:tcBorders>
                  <w:vAlign w:val="center"/>
                </w:tcPr>
                <w:p w14:paraId="7A3391BA">
                  <w:pPr>
                    <w:pStyle w:val="38"/>
                    <w:framePr w:hSpace="0" w:wrap="auto" w:vAnchor="margin" w:hAnchor="text" w:xAlign="left" w:yAlign="inline"/>
                    <w:rPr>
                      <w:rFonts w:cs="Times New Roman"/>
                      <w:b/>
                      <w:bCs/>
                      <w:sz w:val="21"/>
                      <w:szCs w:val="21"/>
                    </w:rPr>
                  </w:pPr>
                </w:p>
              </w:tc>
              <w:tc>
                <w:tcPr>
                  <w:tcW w:w="496" w:type="pct"/>
                  <w:tcBorders>
                    <w:top w:val="single" w:color="auto" w:sz="4" w:space="0"/>
                    <w:left w:val="single" w:color="auto" w:sz="4" w:space="0"/>
                    <w:bottom w:val="single" w:color="auto" w:sz="4" w:space="0"/>
                    <w:right w:val="single" w:color="auto" w:sz="4" w:space="0"/>
                  </w:tcBorders>
                  <w:vAlign w:val="center"/>
                </w:tcPr>
                <w:p w14:paraId="276A98C3">
                  <w:pPr>
                    <w:pStyle w:val="38"/>
                    <w:framePr w:hSpace="0" w:wrap="auto" w:vAnchor="margin" w:hAnchor="text" w:xAlign="left" w:yAlign="inline"/>
                    <w:rPr>
                      <w:rFonts w:cs="Times New Roman"/>
                      <w:b/>
                      <w:bCs/>
                      <w:sz w:val="21"/>
                      <w:szCs w:val="21"/>
                    </w:rPr>
                  </w:pPr>
                  <w:r>
                    <w:rPr>
                      <w:rFonts w:cs="Times New Roman"/>
                      <w:b/>
                      <w:bCs/>
                      <w:sz w:val="21"/>
                      <w:szCs w:val="21"/>
                    </w:rPr>
                    <w:t>X</w:t>
                  </w:r>
                </w:p>
              </w:tc>
              <w:tc>
                <w:tcPr>
                  <w:tcW w:w="496" w:type="pct"/>
                  <w:tcBorders>
                    <w:top w:val="single" w:color="auto" w:sz="4" w:space="0"/>
                    <w:left w:val="single" w:color="auto" w:sz="4" w:space="0"/>
                    <w:bottom w:val="single" w:color="auto" w:sz="4" w:space="0"/>
                    <w:right w:val="single" w:color="auto" w:sz="4" w:space="0"/>
                  </w:tcBorders>
                  <w:vAlign w:val="center"/>
                </w:tcPr>
                <w:p w14:paraId="3F7344FC">
                  <w:pPr>
                    <w:pStyle w:val="38"/>
                    <w:framePr w:hSpace="0" w:wrap="auto" w:vAnchor="margin" w:hAnchor="text" w:xAlign="left" w:yAlign="inline"/>
                    <w:rPr>
                      <w:rFonts w:cs="Times New Roman"/>
                      <w:b/>
                      <w:bCs/>
                      <w:sz w:val="21"/>
                      <w:szCs w:val="21"/>
                    </w:rPr>
                  </w:pPr>
                  <w:r>
                    <w:rPr>
                      <w:rFonts w:cs="Times New Roman"/>
                      <w:b/>
                      <w:bCs/>
                      <w:sz w:val="21"/>
                      <w:szCs w:val="21"/>
                    </w:rPr>
                    <w:t>Y</w:t>
                  </w:r>
                </w:p>
              </w:tc>
              <w:tc>
                <w:tcPr>
                  <w:tcW w:w="555" w:type="pct"/>
                  <w:tcBorders>
                    <w:top w:val="single" w:color="auto" w:sz="4" w:space="0"/>
                    <w:left w:val="single" w:color="auto" w:sz="4" w:space="0"/>
                    <w:bottom w:val="single" w:color="auto" w:sz="4" w:space="0"/>
                    <w:right w:val="single" w:color="auto" w:sz="4" w:space="0"/>
                  </w:tcBorders>
                  <w:vAlign w:val="center"/>
                </w:tcPr>
                <w:p w14:paraId="442A50B6">
                  <w:pPr>
                    <w:pStyle w:val="38"/>
                    <w:framePr w:hSpace="0" w:wrap="auto" w:vAnchor="margin" w:hAnchor="text" w:xAlign="left" w:yAlign="inline"/>
                    <w:rPr>
                      <w:rFonts w:cs="Times New Roman"/>
                      <w:b/>
                      <w:bCs/>
                      <w:sz w:val="21"/>
                      <w:szCs w:val="21"/>
                    </w:rPr>
                  </w:pPr>
                  <w:r>
                    <w:rPr>
                      <w:rFonts w:cs="Times New Roman"/>
                      <w:b/>
                      <w:bCs/>
                      <w:sz w:val="21"/>
                      <w:szCs w:val="21"/>
                    </w:rPr>
                    <w:t>Z</w:t>
                  </w:r>
                </w:p>
              </w:tc>
              <w:tc>
                <w:tcPr>
                  <w:tcW w:w="848" w:type="pct"/>
                  <w:tcBorders>
                    <w:top w:val="single" w:color="auto" w:sz="4" w:space="0"/>
                    <w:left w:val="single" w:color="auto" w:sz="4" w:space="0"/>
                    <w:bottom w:val="single" w:color="auto" w:sz="4" w:space="0"/>
                    <w:right w:val="single" w:color="auto" w:sz="4" w:space="0"/>
                  </w:tcBorders>
                  <w:vAlign w:val="center"/>
                </w:tcPr>
                <w:p w14:paraId="266735CD">
                  <w:pPr>
                    <w:pStyle w:val="38"/>
                    <w:framePr w:hSpace="0" w:wrap="auto" w:vAnchor="margin" w:hAnchor="text" w:xAlign="left" w:yAlign="inline"/>
                    <w:rPr>
                      <w:rFonts w:cs="Times New Roman"/>
                      <w:b/>
                      <w:bCs/>
                      <w:sz w:val="21"/>
                      <w:szCs w:val="21"/>
                    </w:rPr>
                  </w:pPr>
                  <w:r>
                    <w:rPr>
                      <w:rFonts w:cs="Times New Roman"/>
                      <w:b/>
                      <w:bCs/>
                      <w:sz w:val="21"/>
                      <w:szCs w:val="21"/>
                    </w:rPr>
                    <w:t>声功率级/dB(A)</w:t>
                  </w:r>
                </w:p>
              </w:tc>
              <w:tc>
                <w:tcPr>
                  <w:tcW w:w="713" w:type="pct"/>
                  <w:vMerge w:val="continue"/>
                  <w:tcBorders>
                    <w:top w:val="single" w:color="auto" w:sz="4" w:space="0"/>
                    <w:left w:val="single" w:color="auto" w:sz="4" w:space="0"/>
                    <w:bottom w:val="single" w:color="auto" w:sz="4" w:space="0"/>
                    <w:right w:val="single" w:color="auto" w:sz="4" w:space="0"/>
                  </w:tcBorders>
                  <w:vAlign w:val="center"/>
                </w:tcPr>
                <w:p w14:paraId="6087D196">
                  <w:pPr>
                    <w:pStyle w:val="38"/>
                    <w:framePr w:hSpace="0" w:wrap="auto" w:vAnchor="margin" w:hAnchor="text" w:xAlign="left" w:yAlign="inline"/>
                    <w:rPr>
                      <w:rFonts w:cs="Times New Roman"/>
                      <w:sz w:val="21"/>
                      <w:szCs w:val="21"/>
                    </w:rPr>
                  </w:pPr>
                </w:p>
              </w:tc>
              <w:tc>
                <w:tcPr>
                  <w:tcW w:w="686" w:type="pct"/>
                  <w:vMerge w:val="continue"/>
                  <w:tcBorders>
                    <w:top w:val="single" w:color="auto" w:sz="4" w:space="0"/>
                    <w:left w:val="single" w:color="auto" w:sz="4" w:space="0"/>
                    <w:bottom w:val="single" w:color="auto" w:sz="4" w:space="0"/>
                    <w:right w:val="single" w:color="auto" w:sz="4" w:space="0"/>
                  </w:tcBorders>
                  <w:vAlign w:val="center"/>
                </w:tcPr>
                <w:p w14:paraId="558058B5">
                  <w:pPr>
                    <w:pStyle w:val="38"/>
                    <w:framePr w:hSpace="0" w:wrap="auto" w:vAnchor="margin" w:hAnchor="text" w:xAlign="left" w:yAlign="inline"/>
                    <w:rPr>
                      <w:rFonts w:cs="Times New Roman"/>
                      <w:sz w:val="21"/>
                      <w:szCs w:val="21"/>
                    </w:rPr>
                  </w:pPr>
                </w:p>
              </w:tc>
            </w:tr>
            <w:tr w14:paraId="5B8C3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3" w:hRule="atLeast"/>
                <w:jc w:val="center"/>
              </w:trPr>
              <w:tc>
                <w:tcPr>
                  <w:tcW w:w="293" w:type="pct"/>
                  <w:tcBorders>
                    <w:top w:val="single" w:color="auto" w:sz="4" w:space="0"/>
                    <w:left w:val="single" w:color="auto" w:sz="4" w:space="0"/>
                    <w:bottom w:val="single" w:color="auto" w:sz="4" w:space="0"/>
                    <w:right w:val="single" w:color="auto" w:sz="4" w:space="0"/>
                  </w:tcBorders>
                  <w:vAlign w:val="center"/>
                </w:tcPr>
                <w:p w14:paraId="74FFA77F">
                  <w:pPr>
                    <w:pStyle w:val="38"/>
                    <w:framePr w:hSpace="0" w:wrap="auto" w:vAnchor="margin" w:hAnchor="text" w:xAlign="left" w:yAlign="inline"/>
                    <w:rPr>
                      <w:rFonts w:cs="Times New Roman"/>
                      <w:sz w:val="21"/>
                      <w:szCs w:val="21"/>
                    </w:rPr>
                  </w:pPr>
                  <w:r>
                    <w:rPr>
                      <w:rFonts w:cs="Times New Roman"/>
                      <w:sz w:val="21"/>
                      <w:szCs w:val="21"/>
                    </w:rPr>
                    <w:t>1</w:t>
                  </w:r>
                </w:p>
              </w:tc>
              <w:tc>
                <w:tcPr>
                  <w:tcW w:w="510" w:type="pct"/>
                  <w:tcBorders>
                    <w:top w:val="single" w:color="auto" w:sz="4" w:space="0"/>
                    <w:left w:val="single" w:color="auto" w:sz="4" w:space="0"/>
                    <w:bottom w:val="single" w:color="auto" w:sz="4" w:space="0"/>
                    <w:right w:val="single" w:color="auto" w:sz="4" w:space="0"/>
                  </w:tcBorders>
                  <w:vAlign w:val="center"/>
                </w:tcPr>
                <w:p w14:paraId="0EC9A987">
                  <w:pPr>
                    <w:pStyle w:val="38"/>
                    <w:framePr w:hSpace="0" w:wrap="auto" w:vAnchor="margin" w:hAnchor="text" w:xAlign="left" w:yAlign="inline"/>
                    <w:rPr>
                      <w:rFonts w:cs="Times New Roman"/>
                      <w:sz w:val="21"/>
                      <w:szCs w:val="21"/>
                    </w:rPr>
                  </w:pPr>
                  <w:r>
                    <w:rPr>
                      <w:rFonts w:cs="Times New Roman"/>
                      <w:sz w:val="21"/>
                      <w:szCs w:val="21"/>
                    </w:rPr>
                    <w:t>环保风机1</w:t>
                  </w:r>
                </w:p>
              </w:tc>
              <w:tc>
                <w:tcPr>
                  <w:tcW w:w="399" w:type="pct"/>
                  <w:tcBorders>
                    <w:top w:val="single" w:color="auto" w:sz="4" w:space="0"/>
                    <w:left w:val="single" w:color="auto" w:sz="4" w:space="0"/>
                    <w:bottom w:val="single" w:color="auto" w:sz="4" w:space="0"/>
                    <w:right w:val="single" w:color="auto" w:sz="4" w:space="0"/>
                  </w:tcBorders>
                  <w:vAlign w:val="center"/>
                </w:tcPr>
                <w:p w14:paraId="69795337">
                  <w:pPr>
                    <w:pStyle w:val="38"/>
                    <w:framePr w:hSpace="0" w:wrap="auto" w:vAnchor="margin" w:hAnchor="text" w:xAlign="left" w:yAlign="inline"/>
                    <w:rPr>
                      <w:rFonts w:cs="Times New Roman"/>
                      <w:sz w:val="21"/>
                      <w:szCs w:val="21"/>
                    </w:rPr>
                  </w:pPr>
                  <w:r>
                    <w:rPr>
                      <w:rFonts w:cs="Times New Roman"/>
                      <w:sz w:val="21"/>
                      <w:szCs w:val="21"/>
                    </w:rPr>
                    <w:t>/</w:t>
                  </w:r>
                </w:p>
              </w:tc>
              <w:tc>
                <w:tcPr>
                  <w:tcW w:w="496" w:type="pct"/>
                  <w:tcBorders>
                    <w:top w:val="single" w:color="auto" w:sz="4" w:space="0"/>
                    <w:left w:val="single" w:color="auto" w:sz="4" w:space="0"/>
                    <w:bottom w:val="single" w:color="auto" w:sz="4" w:space="0"/>
                    <w:right w:val="single" w:color="auto" w:sz="4" w:space="0"/>
                  </w:tcBorders>
                  <w:vAlign w:val="center"/>
                </w:tcPr>
                <w:p w14:paraId="6E7A6781">
                  <w:pPr>
                    <w:pStyle w:val="38"/>
                    <w:framePr w:hSpace="0" w:wrap="auto" w:vAnchor="margin" w:hAnchor="text" w:xAlign="left" w:yAlign="inline"/>
                    <w:rPr>
                      <w:rFonts w:cs="Times New Roman"/>
                      <w:sz w:val="21"/>
                      <w:szCs w:val="21"/>
                    </w:rPr>
                  </w:pPr>
                  <w:r>
                    <w:rPr>
                      <w:rFonts w:cs="Times New Roman"/>
                      <w:sz w:val="21"/>
                      <w:szCs w:val="21"/>
                    </w:rPr>
                    <w:t>-69.2</w:t>
                  </w:r>
                </w:p>
              </w:tc>
              <w:tc>
                <w:tcPr>
                  <w:tcW w:w="496" w:type="pct"/>
                  <w:tcBorders>
                    <w:top w:val="single" w:color="auto" w:sz="4" w:space="0"/>
                    <w:left w:val="single" w:color="auto" w:sz="4" w:space="0"/>
                    <w:bottom w:val="single" w:color="auto" w:sz="4" w:space="0"/>
                    <w:right w:val="single" w:color="auto" w:sz="4" w:space="0"/>
                  </w:tcBorders>
                  <w:vAlign w:val="center"/>
                </w:tcPr>
                <w:p w14:paraId="68E1A9BC">
                  <w:pPr>
                    <w:pStyle w:val="38"/>
                    <w:framePr w:hSpace="0" w:wrap="auto" w:vAnchor="margin" w:hAnchor="text" w:xAlign="left" w:yAlign="inline"/>
                    <w:rPr>
                      <w:rFonts w:cs="Times New Roman"/>
                      <w:sz w:val="21"/>
                      <w:szCs w:val="21"/>
                    </w:rPr>
                  </w:pPr>
                  <w:r>
                    <w:rPr>
                      <w:rFonts w:cs="Times New Roman"/>
                      <w:sz w:val="21"/>
                      <w:szCs w:val="21"/>
                    </w:rPr>
                    <w:t>97.4</w:t>
                  </w:r>
                </w:p>
              </w:tc>
              <w:tc>
                <w:tcPr>
                  <w:tcW w:w="555" w:type="pct"/>
                  <w:tcBorders>
                    <w:top w:val="single" w:color="auto" w:sz="4" w:space="0"/>
                    <w:left w:val="single" w:color="auto" w:sz="4" w:space="0"/>
                    <w:bottom w:val="single" w:color="auto" w:sz="4" w:space="0"/>
                    <w:right w:val="single" w:color="auto" w:sz="4" w:space="0"/>
                  </w:tcBorders>
                  <w:vAlign w:val="center"/>
                </w:tcPr>
                <w:p w14:paraId="34398476">
                  <w:pPr>
                    <w:pStyle w:val="38"/>
                    <w:framePr w:hSpace="0" w:wrap="auto" w:vAnchor="margin" w:hAnchor="text" w:xAlign="left" w:yAlign="inline"/>
                    <w:rPr>
                      <w:rFonts w:cs="Times New Roman"/>
                      <w:sz w:val="21"/>
                      <w:szCs w:val="21"/>
                    </w:rPr>
                  </w:pPr>
                  <w:r>
                    <w:rPr>
                      <w:rFonts w:cs="Times New Roman"/>
                      <w:sz w:val="21"/>
                      <w:szCs w:val="21"/>
                    </w:rPr>
                    <w:t>1.2</w:t>
                  </w:r>
                </w:p>
              </w:tc>
              <w:tc>
                <w:tcPr>
                  <w:tcW w:w="848" w:type="pct"/>
                  <w:tcBorders>
                    <w:top w:val="single" w:color="auto" w:sz="4" w:space="0"/>
                    <w:left w:val="single" w:color="auto" w:sz="4" w:space="0"/>
                    <w:bottom w:val="single" w:color="auto" w:sz="4" w:space="0"/>
                    <w:right w:val="single" w:color="auto" w:sz="4" w:space="0"/>
                  </w:tcBorders>
                  <w:vAlign w:val="center"/>
                </w:tcPr>
                <w:p w14:paraId="1D9B83AD">
                  <w:pPr>
                    <w:pStyle w:val="38"/>
                    <w:framePr w:hSpace="0" w:wrap="auto" w:vAnchor="margin" w:hAnchor="text" w:xAlign="left" w:yAlign="inline"/>
                    <w:rPr>
                      <w:rFonts w:cs="Times New Roman"/>
                      <w:sz w:val="21"/>
                      <w:szCs w:val="21"/>
                    </w:rPr>
                  </w:pPr>
                  <w:r>
                    <w:rPr>
                      <w:rFonts w:cs="Times New Roman"/>
                      <w:sz w:val="21"/>
                      <w:szCs w:val="21"/>
                    </w:rPr>
                    <w:t>85</w:t>
                  </w:r>
                </w:p>
              </w:tc>
              <w:tc>
                <w:tcPr>
                  <w:tcW w:w="713" w:type="pct"/>
                  <w:tcBorders>
                    <w:top w:val="single" w:color="auto" w:sz="4" w:space="0"/>
                    <w:left w:val="single" w:color="auto" w:sz="4" w:space="0"/>
                    <w:bottom w:val="single" w:color="auto" w:sz="4" w:space="0"/>
                    <w:right w:val="single" w:color="auto" w:sz="4" w:space="0"/>
                  </w:tcBorders>
                  <w:vAlign w:val="center"/>
                </w:tcPr>
                <w:p w14:paraId="72175165">
                  <w:pPr>
                    <w:pStyle w:val="38"/>
                    <w:framePr w:hSpace="0" w:wrap="auto" w:vAnchor="margin" w:hAnchor="text" w:xAlign="left" w:yAlign="inline"/>
                    <w:rPr>
                      <w:rFonts w:cs="Times New Roman"/>
                      <w:sz w:val="21"/>
                      <w:szCs w:val="21"/>
                    </w:rPr>
                  </w:pPr>
                  <w:r>
                    <w:rPr>
                      <w:rFonts w:cs="Times New Roman"/>
                      <w:sz w:val="21"/>
                      <w:szCs w:val="21"/>
                    </w:rPr>
                    <w:t>消声、减震</w:t>
                  </w:r>
                </w:p>
              </w:tc>
              <w:tc>
                <w:tcPr>
                  <w:tcW w:w="686" w:type="pct"/>
                  <w:tcBorders>
                    <w:top w:val="single" w:color="auto" w:sz="4" w:space="0"/>
                    <w:left w:val="single" w:color="auto" w:sz="4" w:space="0"/>
                    <w:bottom w:val="single" w:color="auto" w:sz="4" w:space="0"/>
                    <w:right w:val="single" w:color="auto" w:sz="4" w:space="0"/>
                  </w:tcBorders>
                  <w:vAlign w:val="center"/>
                </w:tcPr>
                <w:p w14:paraId="039A8FD3">
                  <w:pPr>
                    <w:pStyle w:val="38"/>
                    <w:framePr w:hSpace="0" w:wrap="auto" w:vAnchor="margin" w:hAnchor="text" w:xAlign="left" w:yAlign="inline"/>
                    <w:rPr>
                      <w:rFonts w:cs="Times New Roman"/>
                      <w:sz w:val="21"/>
                      <w:szCs w:val="21"/>
                    </w:rPr>
                  </w:pPr>
                  <w:r>
                    <w:rPr>
                      <w:rFonts w:cs="Times New Roman"/>
                      <w:sz w:val="21"/>
                      <w:szCs w:val="21"/>
                    </w:rPr>
                    <w:t>昼间</w:t>
                  </w:r>
                </w:p>
              </w:tc>
            </w:tr>
          </w:tbl>
          <w:p w14:paraId="2D05EE87">
            <w:pPr>
              <w:pStyle w:val="36"/>
              <w:wordWrap/>
              <w:ind w:firstLine="360"/>
              <w:rPr>
                <w:rFonts w:hint="default" w:ascii="Times New Roman" w:hAnsi="Times New Roman" w:cs="Times New Roman"/>
              </w:rPr>
            </w:pPr>
            <w:r>
              <w:rPr>
                <w:rFonts w:hint="default" w:ascii="Times New Roman" w:hAnsi="Times New Roman" w:cs="Times New Roman"/>
                <w:bCs/>
                <w:sz w:val="18"/>
                <w:szCs w:val="13"/>
              </w:rPr>
              <w:t>表中坐标以厂界中心（</w:t>
            </w:r>
            <w:bookmarkStart w:id="10" w:name="PO_7"/>
            <w:r>
              <w:rPr>
                <w:rFonts w:hint="default" w:ascii="Times New Roman" w:hAnsi="Times New Roman" w:cs="Times New Roman"/>
                <w:bCs/>
                <w:sz w:val="18"/>
                <w:szCs w:val="13"/>
              </w:rPr>
              <w:t>116.892219,32.564380</w:t>
            </w:r>
            <w:bookmarkEnd w:id="10"/>
            <w:r>
              <w:rPr>
                <w:rFonts w:hint="default" w:ascii="Times New Roman" w:hAnsi="Times New Roman" w:cs="Times New Roman"/>
                <w:bCs/>
                <w:sz w:val="18"/>
                <w:szCs w:val="13"/>
              </w:rPr>
              <w:t>）为坐标原点，正东向为X轴正方向，正北向为Y轴正方向。</w:t>
            </w:r>
          </w:p>
        </w:tc>
      </w:tr>
    </w:tbl>
    <w:p w14:paraId="2880B4B1">
      <w:pPr>
        <w:rPr>
          <w:rFonts w:hint="default" w:ascii="Times New Roman" w:hAnsi="Times New Roman" w:cs="Times New Roman"/>
        </w:rPr>
        <w:sectPr>
          <w:pgSz w:w="16838" w:h="11906" w:orient="landscape"/>
          <w:pgMar w:top="1800" w:right="1440" w:bottom="1800" w:left="1440" w:header="851" w:footer="992" w:gutter="0"/>
          <w:cols w:space="425" w:num="1"/>
          <w:docGrid w:type="lines" w:linePitch="312" w:charSpace="0"/>
        </w:sectPr>
      </w:pPr>
    </w:p>
    <w:tbl>
      <w:tblPr>
        <w:tblStyle w:val="21"/>
        <w:tblpPr w:leftFromText="180" w:rightFromText="180" w:vertAnchor="text" w:tblpXSpec="center" w:tblpY="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64"/>
        <w:gridCol w:w="8178"/>
      </w:tblGrid>
      <w:tr w14:paraId="1FE2F2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68" w:hRule="atLeast"/>
        </w:trPr>
        <w:tc>
          <w:tcPr>
            <w:tcW w:w="588" w:type="dxa"/>
            <w:tcMar>
              <w:left w:w="28" w:type="dxa"/>
              <w:right w:w="28" w:type="dxa"/>
            </w:tcMar>
            <w:vAlign w:val="center"/>
          </w:tcPr>
          <w:p w14:paraId="6CA0C3D6">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运营</w:t>
            </w:r>
          </w:p>
          <w:p w14:paraId="6E85EB44">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期环</w:t>
            </w:r>
          </w:p>
          <w:p w14:paraId="229F79BB">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境影</w:t>
            </w:r>
          </w:p>
          <w:p w14:paraId="5B0DAF4F">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响和</w:t>
            </w:r>
          </w:p>
          <w:p w14:paraId="370B4244">
            <w:pPr>
              <w:adjustRightInd w:val="0"/>
              <w:snapToGrid w:val="0"/>
              <w:jc w:val="center"/>
              <w:rPr>
                <w:rFonts w:hint="default" w:ascii="Times New Roman" w:hAnsi="Times New Roman" w:cs="Times New Roman"/>
                <w:sz w:val="21"/>
                <w:szCs w:val="21"/>
              </w:rPr>
            </w:pPr>
            <w:r>
              <w:rPr>
                <w:rFonts w:hint="default" w:ascii="Times New Roman" w:hAnsi="Times New Roman" w:cs="Times New Roman"/>
                <w:sz w:val="21"/>
                <w:szCs w:val="21"/>
              </w:rPr>
              <w:t>保护</w:t>
            </w:r>
          </w:p>
          <w:p w14:paraId="45F9F901">
            <w:pPr>
              <w:adjustRightInd w:val="0"/>
              <w:snapToGrid w:val="0"/>
              <w:jc w:val="center"/>
              <w:rPr>
                <w:rFonts w:hint="default" w:ascii="Times New Roman" w:hAnsi="Times New Roman" w:cs="Times New Roman"/>
                <w:b/>
                <w:bCs/>
                <w:sz w:val="21"/>
                <w:szCs w:val="21"/>
              </w:rPr>
            </w:pPr>
            <w:r>
              <w:rPr>
                <w:rFonts w:hint="default" w:ascii="Times New Roman" w:hAnsi="Times New Roman" w:cs="Times New Roman"/>
                <w:sz w:val="21"/>
                <w:szCs w:val="21"/>
              </w:rPr>
              <w:t>措施</w:t>
            </w:r>
          </w:p>
        </w:tc>
        <w:tc>
          <w:tcPr>
            <w:tcW w:w="10884" w:type="dxa"/>
            <w:shd w:val="clear" w:color="auto" w:fill="auto"/>
            <w:vAlign w:val="center"/>
          </w:tcPr>
          <w:p w14:paraId="21D26E16">
            <w:pPr>
              <w:pStyle w:val="37"/>
              <w:ind w:firstLine="0" w:firstLineChars="0"/>
              <w:rPr>
                <w:rFonts w:hint="default" w:ascii="Times New Roman" w:hAnsi="Times New Roman" w:cs="Times New Roman"/>
                <w:b/>
                <w:bCs/>
                <w:shd w:val="clear" w:color="auto" w:fill="FFFFFF"/>
              </w:rPr>
            </w:pPr>
            <w:r>
              <w:rPr>
                <w:rFonts w:hint="default" w:ascii="Times New Roman" w:hAnsi="Times New Roman" w:cs="Times New Roman" w:eastAsiaTheme="minorEastAsia"/>
                <w:b/>
                <w:bCs/>
                <w:shd w:val="clear" w:color="auto" w:fill="FFFFFF"/>
              </w:rPr>
              <w:t>4.4.2</w:t>
            </w:r>
            <w:r>
              <w:rPr>
                <w:rFonts w:hint="default" w:ascii="Times New Roman" w:hAnsi="Times New Roman" w:cs="Times New Roman"/>
                <w:b/>
                <w:bCs/>
                <w:shd w:val="clear" w:color="auto" w:fill="FFFFFF"/>
              </w:rPr>
              <w:t>项目噪声预测情况</w:t>
            </w:r>
          </w:p>
          <w:p w14:paraId="20D609DA">
            <w:pPr>
              <w:pStyle w:val="37"/>
              <w:ind w:firstLine="480"/>
              <w:rPr>
                <w:rFonts w:hint="default" w:ascii="Times New Roman" w:hAnsi="Times New Roman" w:cs="Times New Roman"/>
              </w:rPr>
            </w:pPr>
            <w:r>
              <w:rPr>
                <w:rFonts w:hint="default" w:ascii="Times New Roman" w:hAnsi="Times New Roman" w:cs="Times New Roman"/>
              </w:rPr>
              <w:t>1、预测模式</w:t>
            </w:r>
          </w:p>
          <w:p w14:paraId="4E44AB17">
            <w:pPr>
              <w:pStyle w:val="37"/>
              <w:ind w:firstLine="480"/>
              <w:rPr>
                <w:rFonts w:hint="default" w:ascii="Times New Roman" w:hAnsi="Times New Roman" w:cs="Times New Roman"/>
              </w:rPr>
            </w:pPr>
            <w:r>
              <w:rPr>
                <w:rFonts w:hint="default" w:ascii="Times New Roman" w:hAnsi="Times New Roman" w:cs="Times New Roman"/>
              </w:rPr>
              <w:t>根据项目建设内容及《环境影响评价技术导则—声环境》（HJ2.4-2021）的要求，项目环评釆用环安噪声环境影响评价系统。该软件计算工业噪声时采用的模型为《环境影响评价技术导则 声环境》（HJ2.4.2021）附录B（规范性附录）中“B.1工业噪声预测计算模型”。</w:t>
            </w:r>
          </w:p>
          <w:p w14:paraId="3B64625B">
            <w:pPr>
              <w:pStyle w:val="37"/>
              <w:ind w:firstLine="480"/>
              <w:rPr>
                <w:rFonts w:hint="default" w:ascii="Times New Roman" w:hAnsi="Times New Roman" w:cs="Times New Roman"/>
              </w:rPr>
            </w:pPr>
            <w:r>
              <w:rPr>
                <w:rFonts w:hint="default" w:ascii="Times New Roman" w:hAnsi="Times New Roman" w:cs="Times New Roman"/>
              </w:rPr>
              <w:t>声环境影响预测时，一般采用声源的倍频带声功率级，A声功率级或靠近声源某一位置的倍频带声压级，A声级来预测计算距声源不同距离的声级。分别计算室外和室内两种工业声源。</w:t>
            </w:r>
          </w:p>
          <w:p w14:paraId="151DFE19">
            <w:pPr>
              <w:pStyle w:val="37"/>
              <w:ind w:firstLine="480"/>
              <w:rPr>
                <w:rFonts w:hint="default" w:ascii="Times New Roman" w:hAnsi="Times New Roman" w:cs="Times New Roman"/>
              </w:rPr>
            </w:pPr>
            <w:r>
              <w:rPr>
                <w:rFonts w:hint="default" w:ascii="Times New Roman" w:hAnsi="Times New Roman" w:cs="Times New Roman"/>
              </w:rPr>
              <w:t>（1）室内声源等效室外声源声功率级计算方法</w:t>
            </w:r>
          </w:p>
          <w:p w14:paraId="3AA9D209">
            <w:pPr>
              <w:pStyle w:val="37"/>
              <w:ind w:firstLine="480"/>
              <w:rPr>
                <w:rFonts w:hint="default" w:ascii="Times New Roman" w:hAnsi="Times New Roman" w:cs="Times New Roman"/>
              </w:rPr>
            </w:pPr>
            <w:r>
              <w:rPr>
                <w:rFonts w:hint="default" w:ascii="Times New Roman" w:hAnsi="Times New Roman" w:cs="Times New Roman"/>
              </w:rPr>
              <w:t>如图1所示，声源位于室内，室内声源可采用等效室外声源声功率级法进行计算。设靠近开口处（或窗户）室内、室外某倍频带的声压级分别为Lp1和Lp2。若声源所在室内声场为近似扩散声场，式4-1计算某一室内声源靠近围护结构处产生的倍频带声压级：</w:t>
            </w:r>
          </w:p>
          <w:p w14:paraId="1FEB6BA7">
            <w:pPr>
              <w:autoSpaceDE w:val="0"/>
              <w:autoSpaceDN w:val="0"/>
              <w:adjustRightInd w:val="0"/>
              <w:ind w:firstLine="2"/>
              <w:jc w:val="center"/>
              <w:rPr>
                <w:rFonts w:hint="default" w:ascii="Times New Roman" w:hAnsi="Times New Roman" w:cs="Times New Roman"/>
                <w:sz w:val="21"/>
                <w:szCs w:val="21"/>
              </w:rPr>
            </w:pPr>
            <w:r>
              <w:rPr>
                <w:rFonts w:hint="default" w:ascii="Times New Roman" w:hAnsi="Times New Roman" w:cs="Times New Roman"/>
                <w:sz w:val="21"/>
                <w:szCs w:val="21"/>
              </w:rPr>
              <w:drawing>
                <wp:inline distT="0" distB="0" distL="0" distR="0">
                  <wp:extent cx="2671445" cy="1209040"/>
                  <wp:effectExtent l="0" t="0" r="14605" b="10160"/>
                  <wp:docPr id="12767762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76284" name="图片 12"/>
                          <pic:cNvPicPr>
                            <a:picLocks noChangeAspect="1" noChangeArrowheads="1"/>
                          </pic:cNvPicPr>
                        </pic:nvPicPr>
                        <pic:blipFill>
                          <a:blip r:embed="rId36">
                            <a:extLst>
                              <a:ext uri="{28A0092B-C50C-407E-A947-70E740481C1C}">
                                <a14:useLocalDpi xmlns:a14="http://schemas.microsoft.com/office/drawing/2010/main" val="0"/>
                              </a:ext>
                            </a:extLst>
                          </a:blip>
                          <a:srcRect t="7907" b="6047"/>
                          <a:stretch>
                            <a:fillRect/>
                          </a:stretch>
                        </pic:blipFill>
                        <pic:spPr>
                          <a:xfrm>
                            <a:off x="0" y="0"/>
                            <a:ext cx="2746900" cy="1243635"/>
                          </a:xfrm>
                          <a:prstGeom prst="rect">
                            <a:avLst/>
                          </a:prstGeom>
                          <a:noFill/>
                          <a:ln>
                            <a:noFill/>
                          </a:ln>
                        </pic:spPr>
                      </pic:pic>
                    </a:graphicData>
                  </a:graphic>
                </wp:inline>
              </w:drawing>
            </w:r>
          </w:p>
          <w:p w14:paraId="258DAAFB">
            <w:pPr>
              <w:pStyle w:val="7"/>
              <w:adjustRightInd w:val="0"/>
              <w:snapToGrid w:val="0"/>
              <w:spacing w:line="240" w:lineRule="auto"/>
              <w:rPr>
                <w:rFonts w:hint="default" w:ascii="Times New Roman" w:hAnsi="Times New Roman" w:cs="Times New Roman"/>
                <w:bCs/>
                <w:sz w:val="21"/>
                <w:szCs w:val="21"/>
              </w:rPr>
            </w:pPr>
            <w:r>
              <w:rPr>
                <w:rFonts w:hint="default" w:ascii="Times New Roman" w:hAnsi="Times New Roman" w:cs="Times New Roman"/>
              </w:rPr>
              <w:t>图 4-</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 xml:space="preserve"> </w:t>
            </w:r>
            <w:r>
              <w:rPr>
                <w:rStyle w:val="41"/>
                <w:rFonts w:hint="default" w:ascii="Times New Roman" w:hAnsi="Times New Roman" w:cs="Times New Roman"/>
                <w:b/>
              </w:rPr>
              <w:t>室内声源等效为室外声源图</w:t>
            </w:r>
            <w:r>
              <w:rPr>
                <w:rFonts w:hint="default" w:ascii="Times New Roman" w:hAnsi="Times New Roman" w:cs="Times New Roman"/>
                <w:bCs/>
                <w:sz w:val="21"/>
                <w:szCs w:val="21"/>
              </w:rPr>
              <w:t>例</w:t>
            </w:r>
          </w:p>
          <w:p w14:paraId="46E51355">
            <w:pPr>
              <w:pStyle w:val="7"/>
              <w:adjustRightInd w:val="0"/>
              <w:snapToGrid w:val="0"/>
              <w:spacing w:line="240" w:lineRule="auto"/>
              <w:rPr>
                <w:rFonts w:hint="default" w:ascii="Times New Roman" w:hAnsi="Times New Roman" w:cs="Times New Roman"/>
                <w:bCs/>
                <w:sz w:val="21"/>
                <w:szCs w:val="21"/>
              </w:rPr>
            </w:pPr>
            <w:r>
              <w:rPr>
                <w:rStyle w:val="41"/>
                <w:rFonts w:hint="default" w:ascii="Times New Roman" w:hAnsi="Times New Roman" w:cs="Times New Roman"/>
                <w:b w:val="0"/>
              </w:rPr>
              <w:drawing>
                <wp:inline distT="0" distB="0" distL="114300" distR="114300">
                  <wp:extent cx="1716405" cy="431800"/>
                  <wp:effectExtent l="0" t="0" r="17145" b="5715"/>
                  <wp:docPr id="12" name="Object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ject 288"/>
                          <pic:cNvPicPr>
                            <a:picLocks noChangeAspect="1"/>
                          </pic:cNvPicPr>
                        </pic:nvPicPr>
                        <pic:blipFill>
                          <a:blip r:embed="rId37"/>
                          <a:stretch>
                            <a:fillRect/>
                          </a:stretch>
                        </pic:blipFill>
                        <pic:spPr>
                          <a:xfrm>
                            <a:off x="0" y="0"/>
                            <a:ext cx="1716405" cy="431800"/>
                          </a:xfrm>
                          <a:prstGeom prst="rect">
                            <a:avLst/>
                          </a:prstGeom>
                          <a:noFill/>
                          <a:ln>
                            <a:noFill/>
                          </a:ln>
                        </pic:spPr>
                      </pic:pic>
                    </a:graphicData>
                  </a:graphic>
                </wp:inline>
              </w:drawing>
            </w:r>
            <w:r>
              <w:rPr>
                <w:rStyle w:val="41"/>
                <w:rFonts w:hint="default" w:ascii="Times New Roman" w:hAnsi="Times New Roman" w:cs="Times New Roman"/>
                <w:b w:val="0"/>
              </w:rPr>
              <w:t xml:space="preserve">    </w:t>
            </w:r>
            <w:r>
              <w:rPr>
                <w:rFonts w:hint="default" w:ascii="Times New Roman" w:hAnsi="Times New Roman" w:cs="Times New Roman"/>
                <w:bCs/>
                <w:sz w:val="21"/>
                <w:szCs w:val="21"/>
              </w:rPr>
              <w:t xml:space="preserve">   </w:t>
            </w:r>
            <w:r>
              <w:rPr>
                <w:rFonts w:hint="default" w:ascii="Times New Roman" w:hAnsi="Times New Roman" w:cs="Times New Roman"/>
                <w:bCs/>
                <w:iCs/>
                <w:sz w:val="21"/>
                <w:szCs w:val="21"/>
              </w:rPr>
              <w:t xml:space="preserve">    </w:t>
            </w:r>
            <w:r>
              <w:rPr>
                <w:rFonts w:hint="default" w:ascii="Times New Roman" w:hAnsi="Times New Roman" w:cs="Times New Roman"/>
                <w:bCs/>
                <w:sz w:val="21"/>
                <w:szCs w:val="21"/>
              </w:rPr>
              <w:t>（式4-1）</w:t>
            </w:r>
          </w:p>
          <w:p w14:paraId="5D238DE7">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p>
          <w:p w14:paraId="3807B195">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p1</w:t>
            </w:r>
            <w:r>
              <w:rPr>
                <w:rFonts w:hint="default" w:ascii="Times New Roman" w:hAnsi="Times New Roman" w:cs="Times New Roman"/>
                <w:bCs/>
                <w:shd w:val="clear" w:color="auto" w:fill="FFFFFF"/>
              </w:rPr>
              <w:t xml:space="preserve">—靠近开口处（或窗户）室内某倍频带的声压级或A声级，dB； </w:t>
            </w:r>
          </w:p>
          <w:p w14:paraId="1A3472BA">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w</w:t>
            </w:r>
            <w:r>
              <w:rPr>
                <w:rFonts w:hint="default" w:ascii="Times New Roman" w:hAnsi="Times New Roman" w:cs="Times New Roman"/>
                <w:bCs/>
                <w:shd w:val="clear" w:color="auto" w:fill="FFFFFF"/>
              </w:rPr>
              <w:t>—点声源声功率级（A计权或倍频带），dB；</w:t>
            </w:r>
          </w:p>
          <w:p w14:paraId="69221BF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Q</w:t>
            </w:r>
            <w:r>
              <w:rPr>
                <w:rFonts w:hint="default" w:ascii="Times New Roman" w:hAnsi="Times New Roman" w:cs="Times New Roman"/>
                <w:bCs/>
                <w:shd w:val="clear" w:color="auto" w:fill="FFFFFF"/>
              </w:rPr>
              <w:t xml:space="preserve"> —指向性因数：通常对无指向性声源，当声源放在房间中心时，</w:t>
            </w:r>
            <w:r>
              <w:rPr>
                <w:rFonts w:hint="default" w:ascii="Times New Roman" w:hAnsi="Times New Roman" w:cs="Times New Roman"/>
                <w:bCs/>
                <w:i/>
                <w:iCs/>
                <w:shd w:val="clear" w:color="auto" w:fill="FFFFFF"/>
              </w:rPr>
              <w:t>Q</w:t>
            </w:r>
            <w:r>
              <w:rPr>
                <w:rFonts w:hint="default" w:ascii="Times New Roman" w:hAnsi="Times New Roman" w:cs="Times New Roman"/>
                <w:bCs/>
                <w:shd w:val="clear" w:color="auto" w:fill="FFFFFF"/>
              </w:rPr>
              <w:t>=1；当放在一面墙的中心时，</w:t>
            </w:r>
            <w:r>
              <w:rPr>
                <w:rFonts w:hint="default" w:ascii="Times New Roman" w:hAnsi="Times New Roman" w:cs="Times New Roman"/>
                <w:bCs/>
                <w:i/>
                <w:iCs/>
                <w:shd w:val="clear" w:color="auto" w:fill="FFFFFF"/>
              </w:rPr>
              <w:t>Q</w:t>
            </w:r>
            <w:r>
              <w:rPr>
                <w:rFonts w:hint="default" w:ascii="Times New Roman" w:hAnsi="Times New Roman" w:cs="Times New Roman"/>
                <w:bCs/>
                <w:shd w:val="clear" w:color="auto" w:fill="FFFFFF"/>
              </w:rPr>
              <w:t>=2；当放在两面墙夹角处时，</w:t>
            </w:r>
            <w:r>
              <w:rPr>
                <w:rFonts w:hint="default" w:ascii="Times New Roman" w:hAnsi="Times New Roman" w:cs="Times New Roman"/>
                <w:bCs/>
                <w:i/>
                <w:iCs/>
                <w:shd w:val="clear" w:color="auto" w:fill="FFFFFF"/>
              </w:rPr>
              <w:t>Q</w:t>
            </w:r>
            <w:r>
              <w:rPr>
                <w:rFonts w:hint="default" w:ascii="Times New Roman" w:hAnsi="Times New Roman" w:cs="Times New Roman"/>
                <w:bCs/>
                <w:shd w:val="clear" w:color="auto" w:fill="FFFFFF"/>
              </w:rPr>
              <w:t>=4；当放在三面墙夹角处时，</w:t>
            </w:r>
            <w:r>
              <w:rPr>
                <w:rFonts w:hint="default" w:ascii="Times New Roman" w:hAnsi="Times New Roman" w:cs="Times New Roman"/>
                <w:bCs/>
                <w:i/>
                <w:iCs/>
                <w:shd w:val="clear" w:color="auto" w:fill="FFFFFF"/>
              </w:rPr>
              <w:t>Q</w:t>
            </w:r>
            <w:r>
              <w:rPr>
                <w:rFonts w:hint="default" w:ascii="Times New Roman" w:hAnsi="Times New Roman" w:cs="Times New Roman"/>
                <w:bCs/>
                <w:shd w:val="clear" w:color="auto" w:fill="FFFFFF"/>
              </w:rPr>
              <w:t>=8。</w:t>
            </w:r>
          </w:p>
          <w:p w14:paraId="5C98B19E">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R</w:t>
            </w:r>
            <w:r>
              <w:rPr>
                <w:rFonts w:hint="default" w:ascii="Times New Roman" w:hAnsi="Times New Roman" w:cs="Times New Roman"/>
                <w:bCs/>
                <w:shd w:val="clear" w:color="auto" w:fill="FFFFFF"/>
              </w:rPr>
              <w:t>—房间常数：</w:t>
            </w:r>
            <w:r>
              <w:rPr>
                <w:rFonts w:hint="default" w:ascii="Times New Roman" w:hAnsi="Times New Roman" w:cs="Times New Roman"/>
                <w:bCs/>
                <w:i/>
                <w:iCs/>
                <w:shd w:val="clear" w:color="auto" w:fill="FFFFFF"/>
              </w:rPr>
              <w:t>R=Sα/（1−α）</w:t>
            </w:r>
            <w:r>
              <w:rPr>
                <w:rFonts w:hint="default" w:ascii="Times New Roman" w:hAnsi="Times New Roman" w:cs="Times New Roman"/>
                <w:bCs/>
                <w:shd w:val="clear" w:color="auto" w:fill="FFFFFF"/>
              </w:rPr>
              <w:t>，</w:t>
            </w:r>
            <w:r>
              <w:rPr>
                <w:rFonts w:hint="default" w:ascii="Times New Roman" w:hAnsi="Times New Roman" w:cs="Times New Roman"/>
                <w:bCs/>
                <w:i/>
                <w:iCs/>
                <w:shd w:val="clear" w:color="auto" w:fill="FFFFFF"/>
              </w:rPr>
              <w:t>S</w:t>
            </w:r>
            <w:r>
              <w:rPr>
                <w:rFonts w:hint="default" w:ascii="Times New Roman" w:hAnsi="Times New Roman" w:cs="Times New Roman"/>
                <w:bCs/>
                <w:shd w:val="clear" w:color="auto" w:fill="FFFFFF"/>
              </w:rPr>
              <w:t>为房间内表面面积，m</w:t>
            </w:r>
            <w:r>
              <w:rPr>
                <w:rFonts w:hint="default" w:ascii="Times New Roman" w:hAnsi="Times New Roman" w:cs="Times New Roman"/>
                <w:bCs/>
                <w:shd w:val="clear" w:color="auto" w:fill="FFFFFF"/>
                <w:vertAlign w:val="superscript"/>
              </w:rPr>
              <w:t>2</w:t>
            </w:r>
            <w:r>
              <w:rPr>
                <w:rFonts w:hint="default" w:ascii="Times New Roman" w:hAnsi="Times New Roman" w:cs="Times New Roman"/>
                <w:bCs/>
                <w:shd w:val="clear" w:color="auto" w:fill="FFFFFF"/>
              </w:rPr>
              <w:t>；</w:t>
            </w:r>
            <w:r>
              <w:rPr>
                <w:rFonts w:hint="default" w:ascii="Times New Roman" w:hAnsi="Times New Roman" w:cs="Times New Roman"/>
                <w:bCs/>
                <w:i/>
                <w:iCs/>
                <w:shd w:val="clear" w:color="auto" w:fill="FFFFFF"/>
              </w:rPr>
              <w:t>α</w:t>
            </w:r>
            <w:r>
              <w:rPr>
                <w:rFonts w:hint="default" w:ascii="Times New Roman" w:hAnsi="Times New Roman" w:cs="Times New Roman"/>
                <w:bCs/>
                <w:shd w:val="clear" w:color="auto" w:fill="FFFFFF"/>
              </w:rPr>
              <w:t>为平均吸声系数。</w:t>
            </w:r>
          </w:p>
          <w:p w14:paraId="68E2EC23">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r</w:t>
            </w:r>
            <w:r>
              <w:rPr>
                <w:rFonts w:hint="default" w:ascii="Times New Roman" w:hAnsi="Times New Roman" w:cs="Times New Roman"/>
                <w:bCs/>
                <w:shd w:val="clear" w:color="auto" w:fill="FFFFFF"/>
              </w:rPr>
              <w:t>—声源到靠近围护结构某点处的距离，m。</w:t>
            </w:r>
          </w:p>
          <w:p w14:paraId="6489F093">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position w:val="-32"/>
                <w:shd w:val="clear" w:color="auto" w:fill="FFFFFF"/>
                <w:lang w:bidi="ar-SA"/>
              </w:rPr>
              <w:drawing>
                <wp:anchor distT="0" distB="0" distL="114300" distR="114300" simplePos="0" relativeHeight="251662336" behindDoc="0" locked="0" layoutInCell="1" allowOverlap="1">
                  <wp:simplePos x="0" y="0"/>
                  <wp:positionH relativeFrom="column">
                    <wp:posOffset>1802765</wp:posOffset>
                  </wp:positionH>
                  <wp:positionV relativeFrom="paragraph">
                    <wp:posOffset>536575</wp:posOffset>
                  </wp:positionV>
                  <wp:extent cx="1487170" cy="482600"/>
                  <wp:effectExtent l="0" t="0" r="17780" b="13335"/>
                  <wp:wrapNone/>
                  <wp:docPr id="2" name="Object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ject 289"/>
                          <pic:cNvPicPr>
                            <a:picLocks noChangeAspect="1"/>
                          </pic:cNvPicPr>
                        </pic:nvPicPr>
                        <pic:blipFill>
                          <a:blip r:embed="rId38"/>
                          <a:stretch>
                            <a:fillRect/>
                          </a:stretch>
                        </pic:blipFill>
                        <pic:spPr>
                          <a:xfrm>
                            <a:off x="0" y="0"/>
                            <a:ext cx="1487170" cy="482600"/>
                          </a:xfrm>
                          <a:prstGeom prst="rect">
                            <a:avLst/>
                          </a:prstGeom>
                          <a:noFill/>
                          <a:ln>
                            <a:noFill/>
                          </a:ln>
                        </pic:spPr>
                      </pic:pic>
                    </a:graphicData>
                  </a:graphic>
                </wp:anchor>
              </w:drawing>
            </w:r>
            <w:r>
              <w:rPr>
                <w:rFonts w:hint="default" w:ascii="Times New Roman" w:hAnsi="Times New Roman" w:cs="Times New Roman"/>
                <w:bCs/>
                <w:shd w:val="clear" w:color="auto" w:fill="FFFFFF"/>
              </w:rPr>
              <w:t>然后按式4-2计算出所有室内声源在围护结构处产生的i倍频带叠加声压级：</w:t>
            </w:r>
          </w:p>
          <w:p w14:paraId="1ADF2CE4">
            <w:pPr>
              <w:pStyle w:val="36"/>
              <w:wordWrap/>
              <w:ind w:firstLine="480"/>
              <w:rPr>
                <w:rFonts w:hint="default" w:ascii="Times New Roman" w:hAnsi="Times New Roman" w:cs="Times New Roman"/>
                <w:bCs/>
              </w:rPr>
            </w:pPr>
            <w:r>
              <w:rPr>
                <w:rFonts w:hint="default" w:ascii="Times New Roman" w:hAnsi="Times New Roman" w:cs="Times New Roman"/>
                <w:bCs/>
              </w:rPr>
              <w:t xml:space="preserve">                                               （式4-2）</w:t>
            </w:r>
          </w:p>
          <w:p w14:paraId="7EC9F978">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p>
          <w:p w14:paraId="25747E36">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P1i</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—靠近围护结构处室内</w:t>
            </w:r>
            <w:r>
              <w:rPr>
                <w:rFonts w:hint="default" w:ascii="Times New Roman" w:hAnsi="Times New Roman" w:cs="Times New Roman"/>
                <w:bCs/>
                <w:i/>
                <w:iCs/>
                <w:shd w:val="clear" w:color="auto" w:fill="FFFFFF"/>
              </w:rPr>
              <w:t>N</w:t>
            </w:r>
            <w:r>
              <w:rPr>
                <w:rFonts w:hint="default" w:ascii="Times New Roman" w:hAnsi="Times New Roman" w:cs="Times New Roman"/>
                <w:bCs/>
                <w:shd w:val="clear" w:color="auto" w:fill="FFFFFF"/>
              </w:rPr>
              <w:t>个声源</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倍频带的叠加声压级，dB；</w:t>
            </w:r>
          </w:p>
          <w:p w14:paraId="011A9CC9">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P1ij</w:t>
            </w:r>
            <w:r>
              <w:rPr>
                <w:rFonts w:hint="default" w:ascii="Times New Roman" w:hAnsi="Times New Roman" w:cs="Times New Roman"/>
                <w:bCs/>
                <w:shd w:val="clear" w:color="auto" w:fill="FFFFFF"/>
              </w:rPr>
              <w:t>—室内</w:t>
            </w:r>
            <w:r>
              <w:rPr>
                <w:rFonts w:hint="default" w:ascii="Times New Roman" w:hAnsi="Times New Roman" w:cs="Times New Roman"/>
                <w:bCs/>
                <w:i/>
                <w:iCs/>
                <w:shd w:val="clear" w:color="auto" w:fill="FFFFFF"/>
              </w:rPr>
              <w:t>j</w:t>
            </w:r>
            <w:r>
              <w:rPr>
                <w:rFonts w:hint="default" w:ascii="Times New Roman" w:hAnsi="Times New Roman" w:cs="Times New Roman"/>
                <w:bCs/>
                <w:shd w:val="clear" w:color="auto" w:fill="FFFFFF"/>
              </w:rPr>
              <w:t>声源</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倍频带的声压级，dB；</w:t>
            </w:r>
          </w:p>
          <w:p w14:paraId="74FD8336">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N</w:t>
            </w:r>
            <w:r>
              <w:rPr>
                <w:rFonts w:hint="default" w:ascii="Times New Roman" w:hAnsi="Times New Roman" w:cs="Times New Roman"/>
                <w:bCs/>
                <w:shd w:val="clear" w:color="auto" w:fill="FFFFFF"/>
              </w:rPr>
              <w:t>—室内声源总数。</w:t>
            </w:r>
          </w:p>
          <w:p w14:paraId="3C9FB7AA">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在室内近似为扩散声场时，按式4-3计算出靠近室外围护结构处的声压级；</w:t>
            </w:r>
          </w:p>
          <w:p w14:paraId="5655BC50">
            <w:pPr>
              <w:pStyle w:val="36"/>
              <w:wordWrap/>
              <w:ind w:firstLine="0" w:firstLineChars="0"/>
              <w:jc w:val="center"/>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P2i</w:t>
            </w:r>
            <w:r>
              <w:rPr>
                <w:rFonts w:hint="default" w:ascii="Times New Roman" w:hAnsi="Times New Roman" w:cs="Times New Roman"/>
                <w:bCs/>
                <w:i/>
                <w:iCs/>
                <w:shd w:val="clear" w:color="auto" w:fill="FFFFFF"/>
              </w:rPr>
              <w:t>（T）=L</w:t>
            </w:r>
            <w:r>
              <w:rPr>
                <w:rFonts w:hint="default" w:ascii="Times New Roman" w:hAnsi="Times New Roman" w:cs="Times New Roman"/>
                <w:bCs/>
                <w:i/>
                <w:iCs/>
                <w:shd w:val="clear" w:color="auto" w:fill="FFFFFF"/>
                <w:vertAlign w:val="subscript"/>
              </w:rPr>
              <w:t>P1i</w:t>
            </w:r>
            <w:r>
              <w:rPr>
                <w:rFonts w:hint="default" w:ascii="Times New Roman" w:hAnsi="Times New Roman" w:cs="Times New Roman"/>
                <w:bCs/>
                <w:i/>
                <w:iCs/>
                <w:shd w:val="clear" w:color="auto" w:fill="FFFFFF"/>
              </w:rPr>
              <w:t>（T）-（T</w:t>
            </w:r>
            <w:r>
              <w:rPr>
                <w:rFonts w:hint="default" w:ascii="Times New Roman" w:hAnsi="Times New Roman" w:cs="Times New Roman"/>
                <w:bCs/>
                <w:i/>
                <w:iCs/>
                <w:shd w:val="clear" w:color="auto" w:fill="FFFFFF"/>
                <w:vertAlign w:val="subscript"/>
              </w:rPr>
              <w:t>Li</w:t>
            </w:r>
            <w:r>
              <w:rPr>
                <w:rFonts w:hint="default" w:ascii="Times New Roman" w:hAnsi="Times New Roman" w:cs="Times New Roman"/>
                <w:bCs/>
                <w:i/>
                <w:iCs/>
                <w:shd w:val="clear" w:color="auto" w:fill="FFFFFF"/>
              </w:rPr>
              <w:t>+6）</w:t>
            </w:r>
            <w:r>
              <w:rPr>
                <w:rFonts w:hint="default" w:ascii="Times New Roman" w:hAnsi="Times New Roman" w:cs="Times New Roman"/>
                <w:bCs/>
                <w:shd w:val="clear" w:color="auto" w:fill="FFFFFF"/>
              </w:rPr>
              <w:t xml:space="preserve">          （式4-3）</w:t>
            </w:r>
          </w:p>
          <w:p w14:paraId="322634D0">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p>
          <w:p w14:paraId="7EC4CAA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P2i</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—靠近围护结构处室外</w:t>
            </w:r>
            <w:r>
              <w:rPr>
                <w:rFonts w:hint="default" w:ascii="Times New Roman" w:hAnsi="Times New Roman" w:cs="Times New Roman"/>
                <w:bCs/>
                <w:i/>
                <w:iCs/>
                <w:shd w:val="clear" w:color="auto" w:fill="FFFFFF"/>
              </w:rPr>
              <w:t>N</w:t>
            </w:r>
            <w:r>
              <w:rPr>
                <w:rFonts w:hint="default" w:ascii="Times New Roman" w:hAnsi="Times New Roman" w:cs="Times New Roman"/>
                <w:bCs/>
                <w:shd w:val="clear" w:color="auto" w:fill="FFFFFF"/>
              </w:rPr>
              <w:t>个声源</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倍频带的叠加声压级，dB；</w:t>
            </w:r>
          </w:p>
          <w:p w14:paraId="5EA05B1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T</w:t>
            </w:r>
            <w:r>
              <w:rPr>
                <w:rFonts w:hint="default" w:ascii="Times New Roman" w:hAnsi="Times New Roman" w:cs="Times New Roman"/>
                <w:bCs/>
                <w:i/>
                <w:iCs/>
                <w:shd w:val="clear" w:color="auto" w:fill="FFFFFF"/>
                <w:vertAlign w:val="subscript"/>
              </w:rPr>
              <w:t>Li</w:t>
            </w:r>
            <w:r>
              <w:rPr>
                <w:rFonts w:hint="default" w:ascii="Times New Roman" w:hAnsi="Times New Roman" w:cs="Times New Roman"/>
                <w:bCs/>
                <w:shd w:val="clear" w:color="auto" w:fill="FFFFFF"/>
              </w:rPr>
              <w:t>—围护结构</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倍频带的隔声量，dB。</w:t>
            </w:r>
          </w:p>
          <w:p w14:paraId="48D44293">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然后按式4-4将室外声源的声压级和透过面积换算成等效的室外声源，计算出中心位置位于透声面积（</w:t>
            </w:r>
            <w:r>
              <w:rPr>
                <w:rFonts w:hint="default" w:ascii="Times New Roman" w:hAnsi="Times New Roman" w:cs="Times New Roman"/>
                <w:bCs/>
                <w:i/>
                <w:iCs/>
                <w:shd w:val="clear" w:color="auto" w:fill="FFFFFF"/>
              </w:rPr>
              <w:t>S</w:t>
            </w:r>
            <w:r>
              <w:rPr>
                <w:rFonts w:hint="default" w:ascii="Times New Roman" w:hAnsi="Times New Roman" w:cs="Times New Roman"/>
                <w:bCs/>
                <w:shd w:val="clear" w:color="auto" w:fill="FFFFFF"/>
              </w:rPr>
              <w:t>）处的等效声源的倍频带声功率级。</w:t>
            </w:r>
          </w:p>
          <w:p w14:paraId="120ACF7B">
            <w:pPr>
              <w:pStyle w:val="36"/>
              <w:wordWrap/>
              <w:ind w:firstLine="0" w:firstLineChars="0"/>
              <w:jc w:val="center"/>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w</w:t>
            </w: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P2</w:t>
            </w:r>
            <w:r>
              <w:rPr>
                <w:rFonts w:hint="default" w:ascii="Times New Roman" w:hAnsi="Times New Roman" w:cs="Times New Roman"/>
                <w:bCs/>
                <w:i/>
                <w:iCs/>
                <w:shd w:val="clear" w:color="auto" w:fill="FFFFFF"/>
              </w:rPr>
              <w:t xml:space="preserve">（T）+10lgS </w:t>
            </w:r>
            <w:r>
              <w:rPr>
                <w:rFonts w:hint="default" w:ascii="Times New Roman" w:hAnsi="Times New Roman" w:cs="Times New Roman"/>
                <w:bCs/>
                <w:shd w:val="clear" w:color="auto" w:fill="FFFFFF"/>
              </w:rPr>
              <w:t xml:space="preserve">            （式4-4）</w:t>
            </w:r>
          </w:p>
          <w:p w14:paraId="43C65F80">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r>
              <w:rPr>
                <w:rFonts w:hint="default" w:ascii="Times New Roman" w:hAnsi="Times New Roman" w:cs="Times New Roman"/>
                <w:bCs/>
                <w:position w:val="-10"/>
                <w:shd w:val="clear" w:color="auto" w:fill="FFFFFF"/>
              </w:rPr>
              <w:object>
                <v:shape id="_x0000_i1025" o:spt="75" type="#_x0000_t75" style="height:21.75pt;width:72pt;" o:ole="t" filled="f" o:preferrelative="t" stroked="f" coordsize="21600,21600">
                  <v:path/>
                  <v:fill on="f" focussize="0,0"/>
                  <v:stroke on="f" joinstyle="miter"/>
                  <v:imagedata r:id="rId40" o:title=""/>
                  <o:lock v:ext="edit" aspectratio="t"/>
                  <w10:wrap type="none"/>
                  <w10:anchorlock/>
                </v:shape>
                <o:OLEObject Type="Embed" ProgID="Equation.3" ShapeID="_x0000_i1025" DrawAspect="Content" ObjectID="_1468075725" r:id="rId39">
                  <o:LockedField>false</o:LockedField>
                </o:OLEObject>
              </w:object>
            </w:r>
          </w:p>
          <w:p w14:paraId="2C4A85B9">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w</w:t>
            </w:r>
            <w:r>
              <w:rPr>
                <w:rFonts w:hint="default" w:ascii="Times New Roman" w:hAnsi="Times New Roman" w:cs="Times New Roman"/>
                <w:bCs/>
                <w:shd w:val="clear" w:color="auto" w:fill="FFFFFF"/>
              </w:rPr>
              <w:t>—中心位置位于透声面积（</w:t>
            </w:r>
            <w:r>
              <w:rPr>
                <w:rFonts w:hint="default" w:ascii="Times New Roman" w:hAnsi="Times New Roman" w:cs="Times New Roman"/>
                <w:bCs/>
                <w:i/>
                <w:iCs/>
                <w:shd w:val="clear" w:color="auto" w:fill="FFFFFF"/>
              </w:rPr>
              <w:t>S</w:t>
            </w:r>
            <w:r>
              <w:rPr>
                <w:rFonts w:hint="default" w:ascii="Times New Roman" w:hAnsi="Times New Roman" w:cs="Times New Roman"/>
                <w:bCs/>
                <w:shd w:val="clear" w:color="auto" w:fill="FFFFFF"/>
              </w:rPr>
              <w:t>）处的等效声源的倍频带声功率级，dB；</w:t>
            </w:r>
          </w:p>
          <w:p w14:paraId="41F8C3FA">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p2</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—靠近围护结构处室外声源的声压级，dB；</w:t>
            </w:r>
          </w:p>
          <w:p w14:paraId="7F832961">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S</w:t>
            </w:r>
            <w:r>
              <w:rPr>
                <w:rFonts w:hint="default" w:ascii="Times New Roman" w:hAnsi="Times New Roman" w:cs="Times New Roman"/>
                <w:bCs/>
                <w:shd w:val="clear" w:color="auto" w:fill="FFFFFF"/>
              </w:rPr>
              <w:t>—透声面积，m</w:t>
            </w:r>
            <w:r>
              <w:rPr>
                <w:rFonts w:hint="default" w:ascii="Times New Roman" w:hAnsi="Times New Roman" w:cs="Times New Roman"/>
                <w:bCs/>
                <w:shd w:val="clear" w:color="auto" w:fill="FFFFFF"/>
                <w:vertAlign w:val="superscript"/>
              </w:rPr>
              <w:t>2</w:t>
            </w:r>
            <w:r>
              <w:rPr>
                <w:rFonts w:hint="default" w:ascii="Times New Roman" w:hAnsi="Times New Roman" w:cs="Times New Roman"/>
                <w:bCs/>
                <w:shd w:val="clear" w:color="auto" w:fill="FFFFFF"/>
              </w:rPr>
              <w:t>。</w:t>
            </w:r>
          </w:p>
          <w:p w14:paraId="65D76D17">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然后按室外声源预测方法计算预测点处的A声级。</w:t>
            </w:r>
          </w:p>
          <w:p w14:paraId="1480F921">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（2）工业企业噪声计算</w:t>
            </w:r>
          </w:p>
          <w:p w14:paraId="32E21E70">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设第</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个室外声源在预测点产生的A声级为</w:t>
            </w: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Ai</w:t>
            </w:r>
            <w:r>
              <w:rPr>
                <w:rFonts w:hint="default" w:ascii="Times New Roman" w:hAnsi="Times New Roman" w:cs="Times New Roman"/>
                <w:bCs/>
                <w:shd w:val="clear" w:color="auto" w:fill="FFFFFF"/>
              </w:rPr>
              <w:t>，在</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时间内该声源工作时间为</w:t>
            </w:r>
            <w:r>
              <w:rPr>
                <w:rFonts w:hint="default" w:ascii="Times New Roman" w:hAnsi="Times New Roman" w:cs="Times New Roman"/>
                <w:bCs/>
                <w:i/>
                <w:iCs/>
                <w:shd w:val="clear" w:color="auto" w:fill="FFFFFF"/>
              </w:rPr>
              <w:t>t</w:t>
            </w:r>
            <w:r>
              <w:rPr>
                <w:rFonts w:hint="default" w:ascii="Times New Roman" w:hAnsi="Times New Roman" w:cs="Times New Roman"/>
                <w:bCs/>
                <w:i/>
                <w:iCs/>
                <w:shd w:val="clear" w:color="auto" w:fill="FFFFFF"/>
                <w:vertAlign w:val="subscript"/>
              </w:rPr>
              <w:t>i</w:t>
            </w:r>
            <w:r>
              <w:rPr>
                <w:rFonts w:hint="default" w:ascii="Times New Roman" w:hAnsi="Times New Roman" w:cs="Times New Roman"/>
                <w:bCs/>
                <w:shd w:val="clear" w:color="auto" w:fill="FFFFFF"/>
              </w:rPr>
              <w:t>；第</w:t>
            </w:r>
            <w:r>
              <w:rPr>
                <w:rFonts w:hint="default" w:ascii="Times New Roman" w:hAnsi="Times New Roman" w:cs="Times New Roman"/>
                <w:bCs/>
                <w:i/>
                <w:iCs/>
                <w:shd w:val="clear" w:color="auto" w:fill="FFFFFF"/>
              </w:rPr>
              <w:t>j</w:t>
            </w:r>
            <w:r>
              <w:rPr>
                <w:rFonts w:hint="default" w:ascii="Times New Roman" w:hAnsi="Times New Roman" w:cs="Times New Roman"/>
                <w:bCs/>
                <w:shd w:val="clear" w:color="auto" w:fill="FFFFFF"/>
              </w:rPr>
              <w:t>个等效室外声源在预测点产生的A声级为</w:t>
            </w: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Aj</w:t>
            </w:r>
            <w:r>
              <w:rPr>
                <w:rFonts w:hint="default" w:ascii="Times New Roman" w:hAnsi="Times New Roman" w:cs="Times New Roman"/>
                <w:bCs/>
                <w:shd w:val="clear" w:color="auto" w:fill="FFFFFF"/>
              </w:rPr>
              <w:t>，在T时间内该声源工作时间为</w:t>
            </w:r>
            <w:r>
              <w:rPr>
                <w:rFonts w:hint="default" w:ascii="Times New Roman" w:hAnsi="Times New Roman" w:cs="Times New Roman"/>
                <w:bCs/>
                <w:i/>
                <w:iCs/>
                <w:shd w:val="clear" w:color="auto" w:fill="FFFFFF"/>
              </w:rPr>
              <w:t>t</w:t>
            </w:r>
            <w:r>
              <w:rPr>
                <w:rFonts w:hint="default" w:ascii="Times New Roman" w:hAnsi="Times New Roman" w:cs="Times New Roman"/>
                <w:bCs/>
                <w:i/>
                <w:iCs/>
                <w:shd w:val="clear" w:color="auto" w:fill="FFFFFF"/>
                <w:vertAlign w:val="subscript"/>
              </w:rPr>
              <w:t>j</w:t>
            </w:r>
            <w:r>
              <w:rPr>
                <w:rFonts w:hint="default" w:ascii="Times New Roman" w:hAnsi="Times New Roman" w:cs="Times New Roman"/>
                <w:bCs/>
                <w:shd w:val="clear" w:color="auto" w:fill="FFFFFF"/>
              </w:rPr>
              <w:t>，则拟建工程声源对预测点产生的贡献值（</w:t>
            </w: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eqg</w:t>
            </w:r>
            <w:r>
              <w:rPr>
                <w:rFonts w:hint="default" w:ascii="Times New Roman" w:hAnsi="Times New Roman" w:cs="Times New Roman"/>
                <w:bCs/>
                <w:shd w:val="clear" w:color="auto" w:fill="FFFFFF"/>
              </w:rPr>
              <w:t>）为：</w:t>
            </w:r>
          </w:p>
          <w:p w14:paraId="27B6720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position w:val="-34"/>
                <w:shd w:val="clear" w:color="auto" w:fill="FFFFFF"/>
                <w:lang w:bidi="ar-SA"/>
              </w:rPr>
              <w:drawing>
                <wp:anchor distT="0" distB="0" distL="114300" distR="114300" simplePos="0" relativeHeight="251661312" behindDoc="0" locked="0" layoutInCell="1" allowOverlap="1">
                  <wp:simplePos x="0" y="0"/>
                  <wp:positionH relativeFrom="column">
                    <wp:posOffset>797560</wp:posOffset>
                  </wp:positionH>
                  <wp:positionV relativeFrom="paragraph">
                    <wp:posOffset>162560</wp:posOffset>
                  </wp:positionV>
                  <wp:extent cx="2590800" cy="508000"/>
                  <wp:effectExtent l="0" t="0" r="0" b="5715"/>
                  <wp:wrapNone/>
                  <wp:docPr id="11" name="Object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ject 291"/>
                          <pic:cNvPicPr>
                            <a:picLocks noChangeAspect="1"/>
                          </pic:cNvPicPr>
                        </pic:nvPicPr>
                        <pic:blipFill>
                          <a:blip r:embed="rId41"/>
                          <a:stretch>
                            <a:fillRect/>
                          </a:stretch>
                        </pic:blipFill>
                        <pic:spPr>
                          <a:xfrm>
                            <a:off x="0" y="0"/>
                            <a:ext cx="2590800" cy="508000"/>
                          </a:xfrm>
                          <a:prstGeom prst="rect">
                            <a:avLst/>
                          </a:prstGeom>
                          <a:noFill/>
                          <a:ln>
                            <a:noFill/>
                          </a:ln>
                        </pic:spPr>
                      </pic:pic>
                    </a:graphicData>
                  </a:graphic>
                </wp:anchor>
              </w:drawing>
            </w:r>
            <w:r>
              <w:rPr>
                <w:rFonts w:hint="default" w:ascii="Times New Roman" w:hAnsi="Times New Roman" w:cs="Times New Roman"/>
                <w:bCs/>
                <w:position w:val="-34"/>
                <w:shd w:val="clear" w:color="auto" w:fill="FFFFFF"/>
              </w:rPr>
              <w:t xml:space="preserve">                                               </w:t>
            </w:r>
            <w:r>
              <w:rPr>
                <w:rFonts w:hint="default" w:ascii="Times New Roman" w:hAnsi="Times New Roman" w:cs="Times New Roman"/>
                <w:bCs/>
                <w:shd w:val="clear" w:color="auto" w:fill="FFFFFF"/>
              </w:rPr>
              <w:t>（式4-9）</w:t>
            </w:r>
          </w:p>
          <w:p w14:paraId="1D421B84">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p>
          <w:p w14:paraId="0C2652A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eqg</w:t>
            </w:r>
            <w:r>
              <w:rPr>
                <w:rFonts w:hint="default" w:ascii="Times New Roman" w:hAnsi="Times New Roman" w:cs="Times New Roman"/>
                <w:bCs/>
                <w:shd w:val="clear" w:color="auto" w:fill="FFFFFF"/>
              </w:rPr>
              <w:t xml:space="preserve">—建设项目声源在预测点产生的噪声贡献值，dB； </w:t>
            </w:r>
          </w:p>
          <w:p w14:paraId="353E6168">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 xml:space="preserve">—用于计算等效声级的时间，s； </w:t>
            </w:r>
          </w:p>
          <w:p w14:paraId="352BB337">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N</w:t>
            </w:r>
            <w:r>
              <w:rPr>
                <w:rFonts w:hint="default" w:ascii="Times New Roman" w:hAnsi="Times New Roman" w:cs="Times New Roman"/>
                <w:bCs/>
                <w:shd w:val="clear" w:color="auto" w:fill="FFFFFF"/>
              </w:rPr>
              <w:t>—室外声源个数；</w:t>
            </w:r>
          </w:p>
          <w:p w14:paraId="6887160D">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t</w:t>
            </w:r>
            <w:r>
              <w:rPr>
                <w:rFonts w:hint="default" w:ascii="Times New Roman" w:hAnsi="Times New Roman" w:cs="Times New Roman"/>
                <w:bCs/>
                <w:i/>
                <w:iCs/>
                <w:shd w:val="clear" w:color="auto" w:fill="FFFFFF"/>
                <w:vertAlign w:val="subscript"/>
              </w:rPr>
              <w:t>i</w:t>
            </w:r>
            <w:r>
              <w:rPr>
                <w:rFonts w:hint="default" w:ascii="Times New Roman" w:hAnsi="Times New Roman" w:cs="Times New Roman"/>
                <w:bCs/>
                <w:shd w:val="clear" w:color="auto" w:fill="FFFFFF"/>
              </w:rPr>
              <w:t>—在</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时间内</w:t>
            </w:r>
            <w:r>
              <w:rPr>
                <w:rFonts w:hint="default" w:ascii="Times New Roman" w:hAnsi="Times New Roman" w:cs="Times New Roman"/>
                <w:bCs/>
                <w:i/>
                <w:iCs/>
                <w:shd w:val="clear" w:color="auto" w:fill="FFFFFF"/>
              </w:rPr>
              <w:t>i</w:t>
            </w:r>
            <w:r>
              <w:rPr>
                <w:rFonts w:hint="default" w:ascii="Times New Roman" w:hAnsi="Times New Roman" w:cs="Times New Roman"/>
                <w:bCs/>
                <w:shd w:val="clear" w:color="auto" w:fill="FFFFFF"/>
              </w:rPr>
              <w:t xml:space="preserve">声源工作时间，s； </w:t>
            </w:r>
          </w:p>
          <w:p w14:paraId="2165DF18">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M</w:t>
            </w:r>
            <w:r>
              <w:rPr>
                <w:rFonts w:hint="default" w:ascii="Times New Roman" w:hAnsi="Times New Roman" w:cs="Times New Roman"/>
                <w:bCs/>
                <w:shd w:val="clear" w:color="auto" w:fill="FFFFFF"/>
              </w:rPr>
              <w:t>—等效室外声源个数；</w:t>
            </w:r>
          </w:p>
          <w:p w14:paraId="5C2C648C">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t</w:t>
            </w:r>
            <w:r>
              <w:rPr>
                <w:rFonts w:hint="default" w:ascii="Times New Roman" w:hAnsi="Times New Roman" w:cs="Times New Roman"/>
                <w:bCs/>
                <w:i/>
                <w:iCs/>
                <w:shd w:val="clear" w:color="auto" w:fill="FFFFFF"/>
                <w:vertAlign w:val="subscript"/>
              </w:rPr>
              <w:t>j</w:t>
            </w:r>
            <w:r>
              <w:rPr>
                <w:rFonts w:hint="default" w:ascii="Times New Roman" w:hAnsi="Times New Roman" w:cs="Times New Roman"/>
                <w:bCs/>
                <w:shd w:val="clear" w:color="auto" w:fill="FFFFFF"/>
              </w:rPr>
              <w:t>—在</w:t>
            </w:r>
            <w:r>
              <w:rPr>
                <w:rFonts w:hint="default" w:ascii="Times New Roman" w:hAnsi="Times New Roman" w:cs="Times New Roman"/>
                <w:bCs/>
                <w:i/>
                <w:iCs/>
                <w:shd w:val="clear" w:color="auto" w:fill="FFFFFF"/>
              </w:rPr>
              <w:t>T</w:t>
            </w:r>
            <w:r>
              <w:rPr>
                <w:rFonts w:hint="default" w:ascii="Times New Roman" w:hAnsi="Times New Roman" w:cs="Times New Roman"/>
                <w:bCs/>
                <w:shd w:val="clear" w:color="auto" w:fill="FFFFFF"/>
              </w:rPr>
              <w:t>时间内</w:t>
            </w:r>
            <w:r>
              <w:rPr>
                <w:rFonts w:hint="default" w:ascii="Times New Roman" w:hAnsi="Times New Roman" w:cs="Times New Roman"/>
                <w:bCs/>
                <w:i/>
                <w:iCs/>
                <w:shd w:val="clear" w:color="auto" w:fill="FFFFFF"/>
              </w:rPr>
              <w:t>j</w:t>
            </w:r>
            <w:r>
              <w:rPr>
                <w:rFonts w:hint="default" w:ascii="Times New Roman" w:hAnsi="Times New Roman" w:cs="Times New Roman"/>
                <w:bCs/>
                <w:shd w:val="clear" w:color="auto" w:fill="FFFFFF"/>
              </w:rPr>
              <w:t>声源工作时间，s。</w:t>
            </w:r>
          </w:p>
          <w:p w14:paraId="2E1A3DFB">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E、预测值计算</w:t>
            </w:r>
          </w:p>
          <w:p w14:paraId="3FC887F9">
            <w:pPr>
              <w:pStyle w:val="36"/>
              <w:wordWrap/>
              <w:ind w:firstLine="480"/>
              <w:jc w:val="center"/>
              <w:rPr>
                <w:rFonts w:hint="default" w:ascii="Times New Roman" w:hAnsi="Times New Roman" w:cs="Times New Roman"/>
                <w:bCs/>
                <w:shd w:val="clear" w:color="auto" w:fill="FFFFFF"/>
              </w:rPr>
            </w:pPr>
            <w:r>
              <w:rPr>
                <w:rFonts w:hint="default" w:ascii="Times New Roman" w:hAnsi="Times New Roman" w:cs="Times New Roman"/>
                <w:position w:val="-14"/>
                <w:shd w:val="clear" w:color="auto" w:fill="FFFFFF"/>
                <w:lang w:bidi="ar-SA"/>
              </w:rPr>
              <w:drawing>
                <wp:inline distT="0" distB="0" distL="0" distR="0">
                  <wp:extent cx="2202815" cy="318135"/>
                  <wp:effectExtent l="0" t="0" r="6985" b="5080"/>
                  <wp:docPr id="10048359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35986"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202815" cy="318135"/>
                          </a:xfrm>
                          <a:prstGeom prst="rect">
                            <a:avLst/>
                          </a:prstGeom>
                          <a:noFill/>
                          <a:ln>
                            <a:noFill/>
                          </a:ln>
                        </pic:spPr>
                      </pic:pic>
                    </a:graphicData>
                  </a:graphic>
                </wp:inline>
              </w:drawing>
            </w:r>
            <w:r>
              <w:rPr>
                <w:rFonts w:hint="default" w:ascii="Times New Roman" w:hAnsi="Times New Roman" w:cs="Times New Roman"/>
                <w:bCs/>
                <w:shd w:val="clear" w:color="auto" w:fill="FFFFFF"/>
              </w:rPr>
              <w:t>（式4-10）</w:t>
            </w:r>
          </w:p>
          <w:p w14:paraId="0B15215E">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式中：</w:t>
            </w:r>
          </w:p>
          <w:p w14:paraId="44ADD8AF">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eq</w:t>
            </w:r>
            <w:r>
              <w:rPr>
                <w:rFonts w:hint="default" w:ascii="Times New Roman" w:hAnsi="Times New Roman" w:cs="Times New Roman"/>
                <w:bCs/>
                <w:shd w:val="clear" w:color="auto" w:fill="FFFFFF"/>
              </w:rPr>
              <w:t>—预测点的噪声预测值，dB；</w:t>
            </w:r>
          </w:p>
          <w:p w14:paraId="5C5E7AA1">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eqg</w:t>
            </w:r>
            <w:r>
              <w:rPr>
                <w:rFonts w:hint="default" w:ascii="Times New Roman" w:hAnsi="Times New Roman" w:cs="Times New Roman"/>
                <w:bCs/>
                <w:shd w:val="clear" w:color="auto" w:fill="FFFFFF"/>
              </w:rPr>
              <w:t xml:space="preserve">—建设项目声源在预测点产生的噪声贡献值，dB； </w:t>
            </w:r>
          </w:p>
          <w:p w14:paraId="2F935026">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i/>
                <w:iCs/>
                <w:shd w:val="clear" w:color="auto" w:fill="FFFFFF"/>
              </w:rPr>
              <w:t>L</w:t>
            </w:r>
            <w:r>
              <w:rPr>
                <w:rFonts w:hint="default" w:ascii="Times New Roman" w:hAnsi="Times New Roman" w:cs="Times New Roman"/>
                <w:bCs/>
                <w:i/>
                <w:iCs/>
                <w:shd w:val="clear" w:color="auto" w:fill="FFFFFF"/>
                <w:vertAlign w:val="subscript"/>
              </w:rPr>
              <w:t>eqb</w:t>
            </w:r>
            <w:r>
              <w:rPr>
                <w:rFonts w:hint="default" w:ascii="Times New Roman" w:hAnsi="Times New Roman" w:cs="Times New Roman"/>
                <w:bCs/>
                <w:shd w:val="clear" w:color="auto" w:fill="FFFFFF"/>
              </w:rPr>
              <w:t>—预测点的背景噪声值，dB。</w:t>
            </w:r>
          </w:p>
          <w:p w14:paraId="41769D98">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2、预测参数选取</w:t>
            </w:r>
          </w:p>
          <w:p w14:paraId="7E88973F">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本项目主要噪声设备及噪声源强见项目源强分析。</w:t>
            </w:r>
          </w:p>
          <w:p w14:paraId="591F5395">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bCs/>
                <w:shd w:val="clear" w:color="auto" w:fill="FFFFFF"/>
              </w:rPr>
              <w:t>3、预测计算结果</w:t>
            </w:r>
          </w:p>
          <w:p w14:paraId="21D6532C">
            <w:pPr>
              <w:pStyle w:val="36"/>
              <w:wordWrap/>
              <w:ind w:firstLine="480"/>
              <w:rPr>
                <w:rFonts w:hint="default" w:ascii="Times New Roman" w:hAnsi="Times New Roman" w:cs="Times New Roman"/>
                <w:bCs/>
                <w:shd w:val="clear" w:color="auto" w:fill="FFFFFF"/>
              </w:rPr>
            </w:pPr>
            <w:r>
              <w:rPr>
                <w:rFonts w:hint="default" w:ascii="Times New Roman" w:hAnsi="Times New Roman" w:cs="Times New Roman" w:eastAsiaTheme="minorEastAsia"/>
              </w:rPr>
              <w:t>通过预测模型计算，项目厂界噪声预测结果与达标分析见下表</w:t>
            </w:r>
            <w:r>
              <w:rPr>
                <w:rFonts w:hint="default" w:ascii="Times New Roman" w:hAnsi="Times New Roman" w:cs="Times New Roman"/>
                <w:bCs/>
                <w:shd w:val="clear" w:color="auto" w:fill="FFFFFF"/>
              </w:rPr>
              <w:t>。</w:t>
            </w:r>
          </w:p>
          <w:p w14:paraId="364182DF">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w:t>
            </w:r>
            <w:r>
              <w:rPr>
                <w:rFonts w:hint="eastAsia" w:cs="Times New Roman"/>
                <w:b/>
                <w:kern w:val="0"/>
                <w:sz w:val="21"/>
                <w:szCs w:val="22"/>
                <w:lang w:val="en-US" w:eastAsia="zh-CN"/>
              </w:rPr>
              <w:t>21</w:t>
            </w:r>
            <w:r>
              <w:rPr>
                <w:rFonts w:hint="default" w:ascii="Times New Roman" w:hAnsi="Times New Roman" w:cs="Times New Roman"/>
                <w:b/>
                <w:kern w:val="0"/>
                <w:sz w:val="21"/>
                <w:szCs w:val="22"/>
              </w:rPr>
              <w:t>目噪声预测结果表  单位：dB（A）</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1"/>
              <w:gridCol w:w="654"/>
              <w:gridCol w:w="654"/>
              <w:gridCol w:w="482"/>
              <w:gridCol w:w="581"/>
              <w:gridCol w:w="1187"/>
              <w:gridCol w:w="928"/>
              <w:gridCol w:w="928"/>
              <w:gridCol w:w="1187"/>
              <w:gridCol w:w="704"/>
            </w:tblGrid>
            <w:tr w14:paraId="3EA61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jc w:val="center"/>
              </w:trPr>
              <w:tc>
                <w:tcPr>
                  <w:tcW w:w="445" w:type="pct"/>
                  <w:vMerge w:val="restart"/>
                  <w:vAlign w:val="center"/>
                </w:tcPr>
                <w:p w14:paraId="0A466E38">
                  <w:pPr>
                    <w:pStyle w:val="29"/>
                    <w:adjustRightInd w:val="0"/>
                    <w:snapToGrid w:val="0"/>
                    <w:rPr>
                      <w:b/>
                      <w:bCs/>
                      <w:sz w:val="21"/>
                      <w:szCs w:val="21"/>
                    </w:rPr>
                  </w:pPr>
                  <w:r>
                    <w:rPr>
                      <w:b/>
                      <w:bCs/>
                      <w:sz w:val="21"/>
                      <w:szCs w:val="21"/>
                    </w:rPr>
                    <w:t>预测方位</w:t>
                  </w:r>
                </w:p>
              </w:tc>
              <w:tc>
                <w:tcPr>
                  <w:tcW w:w="1089" w:type="pct"/>
                  <w:gridSpan w:val="3"/>
                  <w:vAlign w:val="center"/>
                </w:tcPr>
                <w:p w14:paraId="4AFF1F94">
                  <w:pPr>
                    <w:pStyle w:val="29"/>
                    <w:adjustRightInd w:val="0"/>
                    <w:snapToGrid w:val="0"/>
                    <w:rPr>
                      <w:b/>
                      <w:bCs/>
                      <w:sz w:val="21"/>
                      <w:szCs w:val="21"/>
                    </w:rPr>
                  </w:pPr>
                  <w:r>
                    <w:rPr>
                      <w:b/>
                      <w:bCs/>
                      <w:sz w:val="21"/>
                      <w:szCs w:val="21"/>
                    </w:rPr>
                    <w:t>最大值点空间相对位置/m</w:t>
                  </w:r>
                </w:p>
              </w:tc>
              <w:tc>
                <w:tcPr>
                  <w:tcW w:w="407" w:type="pct"/>
                  <w:vMerge w:val="restart"/>
                  <w:vAlign w:val="center"/>
                </w:tcPr>
                <w:p w14:paraId="386B4450">
                  <w:pPr>
                    <w:pStyle w:val="29"/>
                    <w:adjustRightInd w:val="0"/>
                    <w:snapToGrid w:val="0"/>
                    <w:rPr>
                      <w:b/>
                      <w:bCs/>
                      <w:sz w:val="21"/>
                      <w:szCs w:val="21"/>
                    </w:rPr>
                  </w:pPr>
                  <w:r>
                    <w:rPr>
                      <w:b/>
                      <w:bCs/>
                      <w:sz w:val="21"/>
                      <w:szCs w:val="21"/>
                    </w:rPr>
                    <w:t>时段</w:t>
                  </w:r>
                </w:p>
              </w:tc>
              <w:tc>
                <w:tcPr>
                  <w:tcW w:w="660" w:type="pct"/>
                  <w:vMerge w:val="restart"/>
                  <w:vAlign w:val="center"/>
                </w:tcPr>
                <w:p w14:paraId="062878D9">
                  <w:pPr>
                    <w:pStyle w:val="29"/>
                    <w:adjustRightInd w:val="0"/>
                    <w:snapToGrid w:val="0"/>
                    <w:rPr>
                      <w:b/>
                      <w:bCs/>
                      <w:sz w:val="21"/>
                      <w:szCs w:val="21"/>
                    </w:rPr>
                  </w:pPr>
                  <w:r>
                    <w:rPr>
                      <w:b/>
                      <w:bCs/>
                      <w:sz w:val="21"/>
                      <w:szCs w:val="21"/>
                    </w:rPr>
                    <w:t>贡献值（dB(A)）</w:t>
                  </w:r>
                </w:p>
              </w:tc>
              <w:tc>
                <w:tcPr>
                  <w:tcW w:w="625" w:type="pct"/>
                  <w:vMerge w:val="restart"/>
                  <w:vAlign w:val="center"/>
                </w:tcPr>
                <w:p w14:paraId="59B0D0C2">
                  <w:pPr>
                    <w:pStyle w:val="29"/>
                    <w:adjustRightInd w:val="0"/>
                    <w:snapToGrid w:val="0"/>
                    <w:rPr>
                      <w:b/>
                      <w:bCs/>
                      <w:sz w:val="21"/>
                      <w:szCs w:val="21"/>
                    </w:rPr>
                  </w:pPr>
                  <w:r>
                    <w:rPr>
                      <w:b/>
                      <w:bCs/>
                      <w:sz w:val="21"/>
                      <w:szCs w:val="21"/>
                    </w:rPr>
                    <w:t>背景值</w:t>
                  </w:r>
                </w:p>
              </w:tc>
              <w:tc>
                <w:tcPr>
                  <w:tcW w:w="625" w:type="pct"/>
                  <w:vMerge w:val="restart"/>
                  <w:vAlign w:val="center"/>
                </w:tcPr>
                <w:p w14:paraId="6F457798">
                  <w:pPr>
                    <w:pStyle w:val="29"/>
                    <w:adjustRightInd w:val="0"/>
                    <w:snapToGrid w:val="0"/>
                    <w:rPr>
                      <w:b/>
                      <w:bCs/>
                      <w:sz w:val="21"/>
                      <w:szCs w:val="21"/>
                    </w:rPr>
                  </w:pPr>
                  <w:r>
                    <w:rPr>
                      <w:b/>
                      <w:bCs/>
                      <w:sz w:val="21"/>
                      <w:szCs w:val="21"/>
                    </w:rPr>
                    <w:t>叠加值</w:t>
                  </w:r>
                </w:p>
              </w:tc>
              <w:tc>
                <w:tcPr>
                  <w:tcW w:w="660" w:type="pct"/>
                  <w:vMerge w:val="restart"/>
                  <w:vAlign w:val="center"/>
                </w:tcPr>
                <w:p w14:paraId="5709E93E">
                  <w:pPr>
                    <w:pStyle w:val="29"/>
                    <w:adjustRightInd w:val="0"/>
                    <w:snapToGrid w:val="0"/>
                    <w:rPr>
                      <w:b/>
                      <w:bCs/>
                      <w:sz w:val="21"/>
                      <w:szCs w:val="21"/>
                    </w:rPr>
                  </w:pPr>
                  <w:r>
                    <w:rPr>
                      <w:b/>
                      <w:bCs/>
                      <w:sz w:val="21"/>
                      <w:szCs w:val="21"/>
                    </w:rPr>
                    <w:t>标准限值（dB(A)）</w:t>
                  </w:r>
                </w:p>
              </w:tc>
              <w:tc>
                <w:tcPr>
                  <w:tcW w:w="484" w:type="pct"/>
                  <w:vMerge w:val="restart"/>
                  <w:vAlign w:val="center"/>
                </w:tcPr>
                <w:p w14:paraId="3245E670">
                  <w:pPr>
                    <w:pStyle w:val="29"/>
                    <w:adjustRightInd w:val="0"/>
                    <w:snapToGrid w:val="0"/>
                    <w:rPr>
                      <w:b/>
                      <w:bCs/>
                      <w:sz w:val="21"/>
                      <w:szCs w:val="21"/>
                    </w:rPr>
                  </w:pPr>
                  <w:r>
                    <w:rPr>
                      <w:b/>
                      <w:bCs/>
                      <w:sz w:val="21"/>
                      <w:szCs w:val="21"/>
                    </w:rPr>
                    <w:t>达标情况</w:t>
                  </w:r>
                </w:p>
              </w:tc>
            </w:tr>
            <w:tr w14:paraId="45A46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5" w:type="pct"/>
                  <w:vMerge w:val="continue"/>
                  <w:shd w:val="clear" w:color="auto" w:fill="FFFFFF"/>
                  <w:vAlign w:val="center"/>
                </w:tcPr>
                <w:p w14:paraId="0464CD7A">
                  <w:pPr>
                    <w:pStyle w:val="29"/>
                    <w:adjustRightInd w:val="0"/>
                    <w:snapToGrid w:val="0"/>
                    <w:rPr>
                      <w:b/>
                      <w:bCs/>
                      <w:sz w:val="21"/>
                      <w:szCs w:val="21"/>
                    </w:rPr>
                  </w:pPr>
                </w:p>
              </w:tc>
              <w:tc>
                <w:tcPr>
                  <w:tcW w:w="372" w:type="pct"/>
                  <w:shd w:val="clear" w:color="auto" w:fill="FFFFFF"/>
                  <w:vAlign w:val="center"/>
                </w:tcPr>
                <w:p w14:paraId="2A2B6117">
                  <w:pPr>
                    <w:pStyle w:val="29"/>
                    <w:adjustRightInd w:val="0"/>
                    <w:snapToGrid w:val="0"/>
                    <w:rPr>
                      <w:b/>
                      <w:bCs/>
                      <w:sz w:val="21"/>
                      <w:szCs w:val="21"/>
                    </w:rPr>
                  </w:pPr>
                  <w:r>
                    <w:rPr>
                      <w:b/>
                      <w:bCs/>
                      <w:sz w:val="21"/>
                      <w:szCs w:val="21"/>
                    </w:rPr>
                    <w:t>X</w:t>
                  </w:r>
                </w:p>
              </w:tc>
              <w:tc>
                <w:tcPr>
                  <w:tcW w:w="372" w:type="pct"/>
                  <w:shd w:val="clear" w:color="auto" w:fill="FFFFFF"/>
                  <w:vAlign w:val="center"/>
                </w:tcPr>
                <w:p w14:paraId="5D3889CB">
                  <w:pPr>
                    <w:pStyle w:val="29"/>
                    <w:adjustRightInd w:val="0"/>
                    <w:snapToGrid w:val="0"/>
                    <w:rPr>
                      <w:b/>
                      <w:bCs/>
                      <w:sz w:val="21"/>
                      <w:szCs w:val="21"/>
                    </w:rPr>
                  </w:pPr>
                  <w:r>
                    <w:rPr>
                      <w:b/>
                      <w:bCs/>
                      <w:sz w:val="21"/>
                      <w:szCs w:val="21"/>
                    </w:rPr>
                    <w:t>Y</w:t>
                  </w:r>
                </w:p>
              </w:tc>
              <w:tc>
                <w:tcPr>
                  <w:tcW w:w="343" w:type="pct"/>
                  <w:shd w:val="clear" w:color="auto" w:fill="FFFFFF"/>
                  <w:vAlign w:val="center"/>
                </w:tcPr>
                <w:p w14:paraId="5D0B13CD">
                  <w:pPr>
                    <w:pStyle w:val="29"/>
                    <w:adjustRightInd w:val="0"/>
                    <w:snapToGrid w:val="0"/>
                    <w:rPr>
                      <w:b/>
                      <w:bCs/>
                      <w:sz w:val="21"/>
                      <w:szCs w:val="21"/>
                    </w:rPr>
                  </w:pPr>
                  <w:r>
                    <w:rPr>
                      <w:b/>
                      <w:bCs/>
                      <w:sz w:val="21"/>
                      <w:szCs w:val="21"/>
                    </w:rPr>
                    <w:t>Z</w:t>
                  </w:r>
                </w:p>
              </w:tc>
              <w:tc>
                <w:tcPr>
                  <w:tcW w:w="407" w:type="pct"/>
                  <w:vMerge w:val="continue"/>
                  <w:shd w:val="clear" w:color="auto" w:fill="FFFFFF"/>
                  <w:vAlign w:val="center"/>
                </w:tcPr>
                <w:p w14:paraId="0D037E43">
                  <w:pPr>
                    <w:pStyle w:val="29"/>
                    <w:adjustRightInd w:val="0"/>
                    <w:snapToGrid w:val="0"/>
                    <w:rPr>
                      <w:sz w:val="21"/>
                      <w:szCs w:val="21"/>
                    </w:rPr>
                  </w:pPr>
                </w:p>
              </w:tc>
              <w:tc>
                <w:tcPr>
                  <w:tcW w:w="660" w:type="pct"/>
                  <w:vMerge w:val="continue"/>
                  <w:shd w:val="clear" w:color="auto" w:fill="FFFFFF"/>
                  <w:vAlign w:val="center"/>
                </w:tcPr>
                <w:p w14:paraId="5A0F7B33">
                  <w:pPr>
                    <w:pStyle w:val="29"/>
                    <w:adjustRightInd w:val="0"/>
                    <w:snapToGrid w:val="0"/>
                    <w:rPr>
                      <w:sz w:val="21"/>
                      <w:szCs w:val="21"/>
                    </w:rPr>
                  </w:pPr>
                </w:p>
              </w:tc>
              <w:tc>
                <w:tcPr>
                  <w:tcW w:w="625" w:type="pct"/>
                  <w:vMerge w:val="continue"/>
                  <w:shd w:val="clear" w:color="auto" w:fill="FFFFFF"/>
                  <w:vAlign w:val="center"/>
                </w:tcPr>
                <w:p w14:paraId="1EF62979">
                  <w:pPr>
                    <w:pStyle w:val="29"/>
                    <w:adjustRightInd w:val="0"/>
                    <w:snapToGrid w:val="0"/>
                    <w:rPr>
                      <w:sz w:val="21"/>
                      <w:szCs w:val="21"/>
                    </w:rPr>
                  </w:pPr>
                </w:p>
              </w:tc>
              <w:tc>
                <w:tcPr>
                  <w:tcW w:w="625" w:type="pct"/>
                  <w:vMerge w:val="continue"/>
                  <w:shd w:val="clear" w:color="auto" w:fill="FFFFFF"/>
                  <w:vAlign w:val="center"/>
                </w:tcPr>
                <w:p w14:paraId="64A1C78B">
                  <w:pPr>
                    <w:pStyle w:val="29"/>
                    <w:adjustRightInd w:val="0"/>
                    <w:snapToGrid w:val="0"/>
                    <w:rPr>
                      <w:sz w:val="21"/>
                      <w:szCs w:val="21"/>
                    </w:rPr>
                  </w:pPr>
                </w:p>
              </w:tc>
              <w:tc>
                <w:tcPr>
                  <w:tcW w:w="660" w:type="pct"/>
                  <w:vMerge w:val="continue"/>
                  <w:shd w:val="clear" w:color="auto" w:fill="FFFFFF"/>
                  <w:vAlign w:val="center"/>
                </w:tcPr>
                <w:p w14:paraId="2D710F5E">
                  <w:pPr>
                    <w:pStyle w:val="29"/>
                    <w:adjustRightInd w:val="0"/>
                    <w:snapToGrid w:val="0"/>
                    <w:rPr>
                      <w:sz w:val="21"/>
                      <w:szCs w:val="21"/>
                    </w:rPr>
                  </w:pPr>
                </w:p>
              </w:tc>
              <w:tc>
                <w:tcPr>
                  <w:tcW w:w="484" w:type="pct"/>
                  <w:vMerge w:val="continue"/>
                  <w:shd w:val="clear" w:color="auto" w:fill="FFFFFF"/>
                  <w:vAlign w:val="center"/>
                </w:tcPr>
                <w:p w14:paraId="656743E4">
                  <w:pPr>
                    <w:pStyle w:val="29"/>
                    <w:adjustRightInd w:val="0"/>
                    <w:snapToGrid w:val="0"/>
                    <w:rPr>
                      <w:sz w:val="21"/>
                      <w:szCs w:val="21"/>
                    </w:rPr>
                  </w:pPr>
                </w:p>
              </w:tc>
            </w:tr>
            <w:tr w14:paraId="3E818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jc w:val="center"/>
              </w:trPr>
              <w:tc>
                <w:tcPr>
                  <w:tcW w:w="445" w:type="pct"/>
                  <w:shd w:val="clear" w:color="auto" w:fill="FFFFFF"/>
                  <w:vAlign w:val="center"/>
                </w:tcPr>
                <w:p w14:paraId="4FB365E4">
                  <w:pPr>
                    <w:pStyle w:val="29"/>
                    <w:adjustRightInd w:val="0"/>
                    <w:snapToGrid w:val="0"/>
                    <w:rPr>
                      <w:sz w:val="21"/>
                      <w:szCs w:val="21"/>
                    </w:rPr>
                  </w:pPr>
                  <w:r>
                    <w:rPr>
                      <w:sz w:val="21"/>
                      <w:szCs w:val="21"/>
                    </w:rPr>
                    <w:t>东侧</w:t>
                  </w:r>
                </w:p>
              </w:tc>
              <w:tc>
                <w:tcPr>
                  <w:tcW w:w="372" w:type="pct"/>
                  <w:shd w:val="clear" w:color="auto" w:fill="FFFFFF"/>
                  <w:vAlign w:val="center"/>
                </w:tcPr>
                <w:p w14:paraId="3058CE65">
                  <w:pPr>
                    <w:pStyle w:val="29"/>
                    <w:adjustRightInd w:val="0"/>
                    <w:snapToGrid w:val="0"/>
                    <w:rPr>
                      <w:sz w:val="21"/>
                      <w:szCs w:val="21"/>
                    </w:rPr>
                  </w:pPr>
                  <w:r>
                    <w:rPr>
                      <w:sz w:val="21"/>
                      <w:szCs w:val="21"/>
                    </w:rPr>
                    <w:t>69.7</w:t>
                  </w:r>
                </w:p>
              </w:tc>
              <w:tc>
                <w:tcPr>
                  <w:tcW w:w="372" w:type="pct"/>
                  <w:shd w:val="clear" w:color="auto" w:fill="FFFFFF"/>
                  <w:vAlign w:val="center"/>
                </w:tcPr>
                <w:p w14:paraId="59F2C81D">
                  <w:pPr>
                    <w:pStyle w:val="29"/>
                    <w:adjustRightInd w:val="0"/>
                    <w:snapToGrid w:val="0"/>
                    <w:rPr>
                      <w:sz w:val="21"/>
                      <w:szCs w:val="21"/>
                    </w:rPr>
                  </w:pPr>
                  <w:r>
                    <w:rPr>
                      <w:sz w:val="21"/>
                      <w:szCs w:val="21"/>
                    </w:rPr>
                    <w:t>-50.4</w:t>
                  </w:r>
                </w:p>
              </w:tc>
              <w:tc>
                <w:tcPr>
                  <w:tcW w:w="343" w:type="pct"/>
                  <w:shd w:val="clear" w:color="auto" w:fill="FFFFFF"/>
                  <w:vAlign w:val="center"/>
                </w:tcPr>
                <w:p w14:paraId="51F3EF0E">
                  <w:pPr>
                    <w:pStyle w:val="29"/>
                    <w:adjustRightInd w:val="0"/>
                    <w:snapToGrid w:val="0"/>
                    <w:rPr>
                      <w:sz w:val="21"/>
                      <w:szCs w:val="21"/>
                    </w:rPr>
                  </w:pPr>
                  <w:r>
                    <w:rPr>
                      <w:sz w:val="21"/>
                      <w:szCs w:val="21"/>
                    </w:rPr>
                    <w:t>1.2</w:t>
                  </w:r>
                </w:p>
              </w:tc>
              <w:tc>
                <w:tcPr>
                  <w:tcW w:w="407" w:type="pct"/>
                  <w:shd w:val="clear" w:color="auto" w:fill="FFFFFF"/>
                  <w:vAlign w:val="center"/>
                </w:tcPr>
                <w:p w14:paraId="1626C2DB">
                  <w:pPr>
                    <w:pStyle w:val="29"/>
                    <w:adjustRightInd w:val="0"/>
                    <w:snapToGrid w:val="0"/>
                    <w:rPr>
                      <w:sz w:val="21"/>
                      <w:szCs w:val="21"/>
                    </w:rPr>
                  </w:pPr>
                  <w:r>
                    <w:rPr>
                      <w:sz w:val="21"/>
                      <w:szCs w:val="21"/>
                    </w:rPr>
                    <w:t>昼间</w:t>
                  </w:r>
                </w:p>
              </w:tc>
              <w:tc>
                <w:tcPr>
                  <w:tcW w:w="660" w:type="pct"/>
                  <w:shd w:val="clear" w:color="auto" w:fill="FFFFFF"/>
                  <w:vAlign w:val="center"/>
                </w:tcPr>
                <w:p w14:paraId="680E0C12">
                  <w:pPr>
                    <w:pStyle w:val="29"/>
                    <w:adjustRightInd w:val="0"/>
                    <w:snapToGrid w:val="0"/>
                    <w:rPr>
                      <w:sz w:val="21"/>
                      <w:szCs w:val="21"/>
                    </w:rPr>
                  </w:pPr>
                  <w:r>
                    <w:rPr>
                      <w:sz w:val="21"/>
                      <w:szCs w:val="21"/>
                    </w:rPr>
                    <w:t>43.86</w:t>
                  </w:r>
                </w:p>
              </w:tc>
              <w:tc>
                <w:tcPr>
                  <w:tcW w:w="625" w:type="pct"/>
                  <w:shd w:val="clear" w:color="auto" w:fill="FFFFFF"/>
                  <w:vAlign w:val="center"/>
                </w:tcPr>
                <w:p w14:paraId="7DF1F76F">
                  <w:pPr>
                    <w:pStyle w:val="29"/>
                    <w:adjustRightInd w:val="0"/>
                    <w:snapToGrid w:val="0"/>
                    <w:rPr>
                      <w:sz w:val="21"/>
                      <w:szCs w:val="21"/>
                    </w:rPr>
                  </w:pPr>
                  <w:r>
                    <w:rPr>
                      <w:sz w:val="21"/>
                      <w:szCs w:val="21"/>
                    </w:rPr>
                    <w:t>0</w:t>
                  </w:r>
                </w:p>
              </w:tc>
              <w:tc>
                <w:tcPr>
                  <w:tcW w:w="625" w:type="pct"/>
                  <w:shd w:val="clear" w:color="auto" w:fill="FFFFFF"/>
                  <w:vAlign w:val="center"/>
                </w:tcPr>
                <w:p w14:paraId="46AE68EA">
                  <w:pPr>
                    <w:pStyle w:val="29"/>
                    <w:adjustRightInd w:val="0"/>
                    <w:snapToGrid w:val="0"/>
                    <w:rPr>
                      <w:sz w:val="21"/>
                      <w:szCs w:val="21"/>
                    </w:rPr>
                  </w:pPr>
                  <w:r>
                    <w:rPr>
                      <w:sz w:val="21"/>
                      <w:szCs w:val="21"/>
                    </w:rPr>
                    <w:t>43.86</w:t>
                  </w:r>
                </w:p>
              </w:tc>
              <w:tc>
                <w:tcPr>
                  <w:tcW w:w="660" w:type="pct"/>
                  <w:shd w:val="clear" w:color="auto" w:fill="FFFFFF"/>
                  <w:vAlign w:val="center"/>
                </w:tcPr>
                <w:p w14:paraId="2BFBC222">
                  <w:pPr>
                    <w:pStyle w:val="29"/>
                    <w:adjustRightInd w:val="0"/>
                    <w:snapToGrid w:val="0"/>
                    <w:rPr>
                      <w:sz w:val="21"/>
                      <w:szCs w:val="21"/>
                    </w:rPr>
                  </w:pPr>
                  <w:r>
                    <w:rPr>
                      <w:sz w:val="21"/>
                      <w:szCs w:val="21"/>
                    </w:rPr>
                    <w:t>65</w:t>
                  </w:r>
                </w:p>
              </w:tc>
              <w:tc>
                <w:tcPr>
                  <w:tcW w:w="484" w:type="pct"/>
                  <w:shd w:val="clear" w:color="auto" w:fill="FFFFFF"/>
                  <w:vAlign w:val="center"/>
                </w:tcPr>
                <w:p w14:paraId="7453661E">
                  <w:pPr>
                    <w:pStyle w:val="29"/>
                    <w:adjustRightInd w:val="0"/>
                    <w:snapToGrid w:val="0"/>
                    <w:rPr>
                      <w:sz w:val="21"/>
                      <w:szCs w:val="21"/>
                    </w:rPr>
                  </w:pPr>
                  <w:r>
                    <w:rPr>
                      <w:sz w:val="21"/>
                      <w:szCs w:val="21"/>
                    </w:rPr>
                    <w:t>达标</w:t>
                  </w:r>
                </w:p>
              </w:tc>
            </w:tr>
            <w:tr w14:paraId="75067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jc w:val="center"/>
              </w:trPr>
              <w:tc>
                <w:tcPr>
                  <w:tcW w:w="445" w:type="pct"/>
                  <w:shd w:val="clear" w:color="auto" w:fill="FFFFFF"/>
                  <w:vAlign w:val="center"/>
                </w:tcPr>
                <w:p w14:paraId="0B7C2B48">
                  <w:pPr>
                    <w:pStyle w:val="29"/>
                    <w:adjustRightInd w:val="0"/>
                    <w:snapToGrid w:val="0"/>
                    <w:rPr>
                      <w:sz w:val="21"/>
                      <w:szCs w:val="21"/>
                    </w:rPr>
                  </w:pPr>
                  <w:r>
                    <w:rPr>
                      <w:sz w:val="21"/>
                      <w:szCs w:val="21"/>
                    </w:rPr>
                    <w:t>南侧</w:t>
                  </w:r>
                </w:p>
              </w:tc>
              <w:tc>
                <w:tcPr>
                  <w:tcW w:w="372" w:type="pct"/>
                  <w:shd w:val="clear" w:color="auto" w:fill="FFFFFF"/>
                  <w:vAlign w:val="center"/>
                </w:tcPr>
                <w:p w14:paraId="35952001">
                  <w:pPr>
                    <w:pStyle w:val="29"/>
                    <w:adjustRightInd w:val="0"/>
                    <w:snapToGrid w:val="0"/>
                    <w:rPr>
                      <w:sz w:val="21"/>
                      <w:szCs w:val="21"/>
                    </w:rPr>
                  </w:pPr>
                  <w:r>
                    <w:rPr>
                      <w:sz w:val="21"/>
                      <w:szCs w:val="21"/>
                    </w:rPr>
                    <w:t>-9.6</w:t>
                  </w:r>
                </w:p>
              </w:tc>
              <w:tc>
                <w:tcPr>
                  <w:tcW w:w="372" w:type="pct"/>
                  <w:shd w:val="clear" w:color="auto" w:fill="FFFFFF"/>
                  <w:vAlign w:val="center"/>
                </w:tcPr>
                <w:p w14:paraId="34F99EB4">
                  <w:pPr>
                    <w:pStyle w:val="29"/>
                    <w:adjustRightInd w:val="0"/>
                    <w:snapToGrid w:val="0"/>
                    <w:rPr>
                      <w:sz w:val="21"/>
                      <w:szCs w:val="21"/>
                    </w:rPr>
                  </w:pPr>
                  <w:r>
                    <w:rPr>
                      <w:sz w:val="21"/>
                      <w:szCs w:val="21"/>
                    </w:rPr>
                    <w:t>-17</w:t>
                  </w:r>
                </w:p>
              </w:tc>
              <w:tc>
                <w:tcPr>
                  <w:tcW w:w="343" w:type="pct"/>
                  <w:shd w:val="clear" w:color="auto" w:fill="FFFFFF"/>
                  <w:vAlign w:val="center"/>
                </w:tcPr>
                <w:p w14:paraId="674A3F26">
                  <w:pPr>
                    <w:pStyle w:val="29"/>
                    <w:adjustRightInd w:val="0"/>
                    <w:snapToGrid w:val="0"/>
                    <w:rPr>
                      <w:sz w:val="21"/>
                      <w:szCs w:val="21"/>
                    </w:rPr>
                  </w:pPr>
                  <w:r>
                    <w:rPr>
                      <w:sz w:val="21"/>
                      <w:szCs w:val="21"/>
                    </w:rPr>
                    <w:t>1.2</w:t>
                  </w:r>
                </w:p>
              </w:tc>
              <w:tc>
                <w:tcPr>
                  <w:tcW w:w="407" w:type="pct"/>
                  <w:shd w:val="clear" w:color="auto" w:fill="FFFFFF"/>
                  <w:vAlign w:val="center"/>
                </w:tcPr>
                <w:p w14:paraId="266573E4">
                  <w:pPr>
                    <w:pStyle w:val="29"/>
                    <w:adjustRightInd w:val="0"/>
                    <w:snapToGrid w:val="0"/>
                    <w:rPr>
                      <w:sz w:val="21"/>
                      <w:szCs w:val="21"/>
                    </w:rPr>
                  </w:pPr>
                  <w:r>
                    <w:rPr>
                      <w:sz w:val="21"/>
                      <w:szCs w:val="21"/>
                    </w:rPr>
                    <w:t>昼间</w:t>
                  </w:r>
                </w:p>
              </w:tc>
              <w:tc>
                <w:tcPr>
                  <w:tcW w:w="660" w:type="pct"/>
                  <w:shd w:val="clear" w:color="auto" w:fill="FFFFFF"/>
                  <w:vAlign w:val="center"/>
                </w:tcPr>
                <w:p w14:paraId="1D1BB890">
                  <w:pPr>
                    <w:pStyle w:val="29"/>
                    <w:adjustRightInd w:val="0"/>
                    <w:snapToGrid w:val="0"/>
                    <w:rPr>
                      <w:sz w:val="21"/>
                      <w:szCs w:val="21"/>
                    </w:rPr>
                  </w:pPr>
                  <w:r>
                    <w:rPr>
                      <w:sz w:val="21"/>
                      <w:szCs w:val="21"/>
                    </w:rPr>
                    <w:t>43.85</w:t>
                  </w:r>
                </w:p>
              </w:tc>
              <w:tc>
                <w:tcPr>
                  <w:tcW w:w="625" w:type="pct"/>
                  <w:shd w:val="clear" w:color="auto" w:fill="FFFFFF"/>
                  <w:vAlign w:val="center"/>
                </w:tcPr>
                <w:p w14:paraId="4B8431C5">
                  <w:pPr>
                    <w:pStyle w:val="29"/>
                    <w:adjustRightInd w:val="0"/>
                    <w:snapToGrid w:val="0"/>
                    <w:rPr>
                      <w:sz w:val="21"/>
                      <w:szCs w:val="21"/>
                    </w:rPr>
                  </w:pPr>
                  <w:r>
                    <w:rPr>
                      <w:sz w:val="21"/>
                      <w:szCs w:val="21"/>
                    </w:rPr>
                    <w:t>0</w:t>
                  </w:r>
                </w:p>
              </w:tc>
              <w:tc>
                <w:tcPr>
                  <w:tcW w:w="625" w:type="pct"/>
                  <w:shd w:val="clear" w:color="auto" w:fill="FFFFFF"/>
                  <w:vAlign w:val="center"/>
                </w:tcPr>
                <w:p w14:paraId="29763B05">
                  <w:pPr>
                    <w:pStyle w:val="29"/>
                    <w:adjustRightInd w:val="0"/>
                    <w:snapToGrid w:val="0"/>
                    <w:rPr>
                      <w:sz w:val="21"/>
                      <w:szCs w:val="21"/>
                    </w:rPr>
                  </w:pPr>
                  <w:r>
                    <w:rPr>
                      <w:sz w:val="21"/>
                      <w:szCs w:val="21"/>
                    </w:rPr>
                    <w:t>43.85</w:t>
                  </w:r>
                </w:p>
              </w:tc>
              <w:tc>
                <w:tcPr>
                  <w:tcW w:w="660" w:type="pct"/>
                  <w:shd w:val="clear" w:color="auto" w:fill="FFFFFF"/>
                  <w:vAlign w:val="center"/>
                </w:tcPr>
                <w:p w14:paraId="37C2EA3C">
                  <w:pPr>
                    <w:pStyle w:val="29"/>
                    <w:adjustRightInd w:val="0"/>
                    <w:snapToGrid w:val="0"/>
                    <w:rPr>
                      <w:sz w:val="21"/>
                      <w:szCs w:val="21"/>
                    </w:rPr>
                  </w:pPr>
                  <w:r>
                    <w:rPr>
                      <w:sz w:val="21"/>
                      <w:szCs w:val="21"/>
                    </w:rPr>
                    <w:t>65</w:t>
                  </w:r>
                </w:p>
              </w:tc>
              <w:tc>
                <w:tcPr>
                  <w:tcW w:w="484" w:type="pct"/>
                  <w:shd w:val="clear" w:color="auto" w:fill="FFFFFF"/>
                  <w:vAlign w:val="center"/>
                </w:tcPr>
                <w:p w14:paraId="4BA0DB36">
                  <w:pPr>
                    <w:pStyle w:val="29"/>
                    <w:adjustRightInd w:val="0"/>
                    <w:snapToGrid w:val="0"/>
                    <w:rPr>
                      <w:sz w:val="21"/>
                      <w:szCs w:val="21"/>
                    </w:rPr>
                  </w:pPr>
                  <w:r>
                    <w:rPr>
                      <w:sz w:val="21"/>
                      <w:szCs w:val="21"/>
                    </w:rPr>
                    <w:t>达标</w:t>
                  </w:r>
                </w:p>
              </w:tc>
            </w:tr>
            <w:tr w14:paraId="2E834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jc w:val="center"/>
              </w:trPr>
              <w:tc>
                <w:tcPr>
                  <w:tcW w:w="445" w:type="pct"/>
                  <w:shd w:val="clear" w:color="auto" w:fill="FFFFFF"/>
                  <w:vAlign w:val="center"/>
                </w:tcPr>
                <w:p w14:paraId="13307490">
                  <w:pPr>
                    <w:pStyle w:val="29"/>
                    <w:adjustRightInd w:val="0"/>
                    <w:snapToGrid w:val="0"/>
                    <w:rPr>
                      <w:sz w:val="21"/>
                      <w:szCs w:val="21"/>
                    </w:rPr>
                  </w:pPr>
                  <w:r>
                    <w:rPr>
                      <w:sz w:val="21"/>
                      <w:szCs w:val="21"/>
                    </w:rPr>
                    <w:t>西侧</w:t>
                  </w:r>
                </w:p>
              </w:tc>
              <w:tc>
                <w:tcPr>
                  <w:tcW w:w="372" w:type="pct"/>
                  <w:shd w:val="clear" w:color="auto" w:fill="FFFFFF"/>
                  <w:vAlign w:val="center"/>
                </w:tcPr>
                <w:p w14:paraId="44F46831">
                  <w:pPr>
                    <w:pStyle w:val="29"/>
                    <w:adjustRightInd w:val="0"/>
                    <w:snapToGrid w:val="0"/>
                    <w:rPr>
                      <w:sz w:val="21"/>
                      <w:szCs w:val="21"/>
                    </w:rPr>
                  </w:pPr>
                  <w:r>
                    <w:rPr>
                      <w:sz w:val="21"/>
                      <w:szCs w:val="21"/>
                    </w:rPr>
                    <w:t>-96.4</w:t>
                  </w:r>
                </w:p>
              </w:tc>
              <w:tc>
                <w:tcPr>
                  <w:tcW w:w="372" w:type="pct"/>
                  <w:shd w:val="clear" w:color="auto" w:fill="FFFFFF"/>
                  <w:vAlign w:val="center"/>
                </w:tcPr>
                <w:p w14:paraId="6F4DFC42">
                  <w:pPr>
                    <w:pStyle w:val="29"/>
                    <w:adjustRightInd w:val="0"/>
                    <w:snapToGrid w:val="0"/>
                    <w:rPr>
                      <w:sz w:val="21"/>
                      <w:szCs w:val="21"/>
                    </w:rPr>
                  </w:pPr>
                  <w:r>
                    <w:rPr>
                      <w:sz w:val="21"/>
                      <w:szCs w:val="21"/>
                    </w:rPr>
                    <w:t>45</w:t>
                  </w:r>
                </w:p>
              </w:tc>
              <w:tc>
                <w:tcPr>
                  <w:tcW w:w="343" w:type="pct"/>
                  <w:shd w:val="clear" w:color="auto" w:fill="FFFFFF"/>
                  <w:vAlign w:val="center"/>
                </w:tcPr>
                <w:p w14:paraId="1DD375BA">
                  <w:pPr>
                    <w:pStyle w:val="29"/>
                    <w:adjustRightInd w:val="0"/>
                    <w:snapToGrid w:val="0"/>
                    <w:rPr>
                      <w:sz w:val="21"/>
                      <w:szCs w:val="21"/>
                    </w:rPr>
                  </w:pPr>
                  <w:r>
                    <w:rPr>
                      <w:sz w:val="21"/>
                      <w:szCs w:val="21"/>
                    </w:rPr>
                    <w:t>1.2</w:t>
                  </w:r>
                </w:p>
              </w:tc>
              <w:tc>
                <w:tcPr>
                  <w:tcW w:w="407" w:type="pct"/>
                  <w:shd w:val="clear" w:color="auto" w:fill="FFFFFF"/>
                  <w:vAlign w:val="center"/>
                </w:tcPr>
                <w:p w14:paraId="54581CE3">
                  <w:pPr>
                    <w:pStyle w:val="29"/>
                    <w:adjustRightInd w:val="0"/>
                    <w:snapToGrid w:val="0"/>
                    <w:rPr>
                      <w:sz w:val="21"/>
                      <w:szCs w:val="21"/>
                    </w:rPr>
                  </w:pPr>
                  <w:r>
                    <w:rPr>
                      <w:sz w:val="21"/>
                      <w:szCs w:val="21"/>
                    </w:rPr>
                    <w:t>昼间</w:t>
                  </w:r>
                </w:p>
              </w:tc>
              <w:tc>
                <w:tcPr>
                  <w:tcW w:w="660" w:type="pct"/>
                  <w:shd w:val="clear" w:color="auto" w:fill="FFFFFF"/>
                  <w:vAlign w:val="center"/>
                </w:tcPr>
                <w:p w14:paraId="535912C5">
                  <w:pPr>
                    <w:pStyle w:val="29"/>
                    <w:adjustRightInd w:val="0"/>
                    <w:snapToGrid w:val="0"/>
                    <w:rPr>
                      <w:sz w:val="21"/>
                      <w:szCs w:val="21"/>
                    </w:rPr>
                  </w:pPr>
                  <w:r>
                    <w:rPr>
                      <w:sz w:val="21"/>
                      <w:szCs w:val="21"/>
                    </w:rPr>
                    <w:t>44.19</w:t>
                  </w:r>
                </w:p>
              </w:tc>
              <w:tc>
                <w:tcPr>
                  <w:tcW w:w="625" w:type="pct"/>
                  <w:shd w:val="clear" w:color="auto" w:fill="FFFFFF"/>
                  <w:vAlign w:val="center"/>
                </w:tcPr>
                <w:p w14:paraId="1B31F566">
                  <w:pPr>
                    <w:pStyle w:val="29"/>
                    <w:adjustRightInd w:val="0"/>
                    <w:snapToGrid w:val="0"/>
                    <w:rPr>
                      <w:sz w:val="21"/>
                      <w:szCs w:val="21"/>
                    </w:rPr>
                  </w:pPr>
                  <w:r>
                    <w:rPr>
                      <w:sz w:val="21"/>
                      <w:szCs w:val="21"/>
                    </w:rPr>
                    <w:t>0</w:t>
                  </w:r>
                </w:p>
              </w:tc>
              <w:tc>
                <w:tcPr>
                  <w:tcW w:w="625" w:type="pct"/>
                  <w:shd w:val="clear" w:color="auto" w:fill="FFFFFF"/>
                  <w:vAlign w:val="center"/>
                </w:tcPr>
                <w:p w14:paraId="669FF7C2">
                  <w:pPr>
                    <w:pStyle w:val="29"/>
                    <w:adjustRightInd w:val="0"/>
                    <w:snapToGrid w:val="0"/>
                    <w:rPr>
                      <w:sz w:val="21"/>
                      <w:szCs w:val="21"/>
                    </w:rPr>
                  </w:pPr>
                  <w:r>
                    <w:rPr>
                      <w:sz w:val="21"/>
                      <w:szCs w:val="21"/>
                    </w:rPr>
                    <w:t>44.19</w:t>
                  </w:r>
                </w:p>
              </w:tc>
              <w:tc>
                <w:tcPr>
                  <w:tcW w:w="660" w:type="pct"/>
                  <w:shd w:val="clear" w:color="auto" w:fill="FFFFFF"/>
                  <w:vAlign w:val="center"/>
                </w:tcPr>
                <w:p w14:paraId="21F0C60A">
                  <w:pPr>
                    <w:pStyle w:val="29"/>
                    <w:adjustRightInd w:val="0"/>
                    <w:snapToGrid w:val="0"/>
                    <w:rPr>
                      <w:sz w:val="21"/>
                      <w:szCs w:val="21"/>
                    </w:rPr>
                  </w:pPr>
                  <w:r>
                    <w:rPr>
                      <w:sz w:val="21"/>
                      <w:szCs w:val="21"/>
                    </w:rPr>
                    <w:t>65</w:t>
                  </w:r>
                </w:p>
              </w:tc>
              <w:tc>
                <w:tcPr>
                  <w:tcW w:w="484" w:type="pct"/>
                  <w:shd w:val="clear" w:color="auto" w:fill="FFFFFF"/>
                  <w:vAlign w:val="center"/>
                </w:tcPr>
                <w:p w14:paraId="2CEA2B13">
                  <w:pPr>
                    <w:pStyle w:val="29"/>
                    <w:adjustRightInd w:val="0"/>
                    <w:snapToGrid w:val="0"/>
                    <w:rPr>
                      <w:sz w:val="21"/>
                      <w:szCs w:val="21"/>
                    </w:rPr>
                  </w:pPr>
                  <w:r>
                    <w:rPr>
                      <w:sz w:val="21"/>
                      <w:szCs w:val="21"/>
                    </w:rPr>
                    <w:t>达标</w:t>
                  </w:r>
                </w:p>
              </w:tc>
            </w:tr>
            <w:tr w14:paraId="07B78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jc w:val="center"/>
              </w:trPr>
              <w:tc>
                <w:tcPr>
                  <w:tcW w:w="445" w:type="pct"/>
                  <w:shd w:val="clear" w:color="auto" w:fill="FFFFFF"/>
                  <w:vAlign w:val="center"/>
                </w:tcPr>
                <w:p w14:paraId="7E933B50">
                  <w:pPr>
                    <w:pStyle w:val="29"/>
                    <w:adjustRightInd w:val="0"/>
                    <w:snapToGrid w:val="0"/>
                    <w:rPr>
                      <w:sz w:val="21"/>
                      <w:szCs w:val="21"/>
                    </w:rPr>
                  </w:pPr>
                  <w:r>
                    <w:rPr>
                      <w:sz w:val="21"/>
                      <w:szCs w:val="21"/>
                    </w:rPr>
                    <w:t>北侧</w:t>
                  </w:r>
                </w:p>
              </w:tc>
              <w:tc>
                <w:tcPr>
                  <w:tcW w:w="372" w:type="pct"/>
                  <w:shd w:val="clear" w:color="auto" w:fill="FFFFFF"/>
                  <w:vAlign w:val="center"/>
                </w:tcPr>
                <w:p w14:paraId="71576C1D">
                  <w:pPr>
                    <w:pStyle w:val="29"/>
                    <w:adjustRightInd w:val="0"/>
                    <w:snapToGrid w:val="0"/>
                    <w:rPr>
                      <w:sz w:val="21"/>
                      <w:szCs w:val="21"/>
                    </w:rPr>
                  </w:pPr>
                  <w:r>
                    <w:rPr>
                      <w:sz w:val="21"/>
                      <w:szCs w:val="21"/>
                    </w:rPr>
                    <w:t>-67.2</w:t>
                  </w:r>
                </w:p>
              </w:tc>
              <w:tc>
                <w:tcPr>
                  <w:tcW w:w="372" w:type="pct"/>
                  <w:shd w:val="clear" w:color="auto" w:fill="FFFFFF"/>
                  <w:vAlign w:val="center"/>
                </w:tcPr>
                <w:p w14:paraId="41DB7EB5">
                  <w:pPr>
                    <w:pStyle w:val="29"/>
                    <w:adjustRightInd w:val="0"/>
                    <w:snapToGrid w:val="0"/>
                    <w:rPr>
                      <w:sz w:val="21"/>
                      <w:szCs w:val="21"/>
                    </w:rPr>
                  </w:pPr>
                  <w:r>
                    <w:rPr>
                      <w:sz w:val="21"/>
                      <w:szCs w:val="21"/>
                    </w:rPr>
                    <w:t>52.9</w:t>
                  </w:r>
                </w:p>
              </w:tc>
              <w:tc>
                <w:tcPr>
                  <w:tcW w:w="343" w:type="pct"/>
                  <w:shd w:val="clear" w:color="auto" w:fill="FFFFFF"/>
                  <w:vAlign w:val="center"/>
                </w:tcPr>
                <w:p w14:paraId="1C98CE6E">
                  <w:pPr>
                    <w:pStyle w:val="29"/>
                    <w:adjustRightInd w:val="0"/>
                    <w:snapToGrid w:val="0"/>
                    <w:rPr>
                      <w:sz w:val="21"/>
                      <w:szCs w:val="21"/>
                    </w:rPr>
                  </w:pPr>
                  <w:r>
                    <w:rPr>
                      <w:sz w:val="21"/>
                      <w:szCs w:val="21"/>
                    </w:rPr>
                    <w:t>1.2</w:t>
                  </w:r>
                </w:p>
              </w:tc>
              <w:tc>
                <w:tcPr>
                  <w:tcW w:w="407" w:type="pct"/>
                  <w:shd w:val="clear" w:color="auto" w:fill="FFFFFF"/>
                  <w:vAlign w:val="center"/>
                </w:tcPr>
                <w:p w14:paraId="2D342249">
                  <w:pPr>
                    <w:pStyle w:val="29"/>
                    <w:adjustRightInd w:val="0"/>
                    <w:snapToGrid w:val="0"/>
                    <w:rPr>
                      <w:sz w:val="21"/>
                      <w:szCs w:val="21"/>
                    </w:rPr>
                  </w:pPr>
                  <w:r>
                    <w:rPr>
                      <w:sz w:val="21"/>
                      <w:szCs w:val="21"/>
                    </w:rPr>
                    <w:t>昼间</w:t>
                  </w:r>
                </w:p>
              </w:tc>
              <w:tc>
                <w:tcPr>
                  <w:tcW w:w="660" w:type="pct"/>
                  <w:shd w:val="clear" w:color="auto" w:fill="FFFFFF"/>
                  <w:vAlign w:val="center"/>
                </w:tcPr>
                <w:p w14:paraId="44141992">
                  <w:pPr>
                    <w:pStyle w:val="29"/>
                    <w:adjustRightInd w:val="0"/>
                    <w:snapToGrid w:val="0"/>
                    <w:rPr>
                      <w:sz w:val="21"/>
                      <w:szCs w:val="21"/>
                    </w:rPr>
                  </w:pPr>
                  <w:r>
                    <w:rPr>
                      <w:sz w:val="21"/>
                      <w:szCs w:val="21"/>
                    </w:rPr>
                    <w:t>42.51</w:t>
                  </w:r>
                </w:p>
              </w:tc>
              <w:tc>
                <w:tcPr>
                  <w:tcW w:w="625" w:type="pct"/>
                  <w:shd w:val="clear" w:color="auto" w:fill="FFFFFF"/>
                  <w:vAlign w:val="center"/>
                </w:tcPr>
                <w:p w14:paraId="5225C1B7">
                  <w:pPr>
                    <w:pStyle w:val="29"/>
                    <w:adjustRightInd w:val="0"/>
                    <w:snapToGrid w:val="0"/>
                    <w:rPr>
                      <w:sz w:val="21"/>
                      <w:szCs w:val="21"/>
                    </w:rPr>
                  </w:pPr>
                  <w:r>
                    <w:rPr>
                      <w:sz w:val="21"/>
                      <w:szCs w:val="21"/>
                    </w:rPr>
                    <w:t>0</w:t>
                  </w:r>
                </w:p>
              </w:tc>
              <w:tc>
                <w:tcPr>
                  <w:tcW w:w="625" w:type="pct"/>
                  <w:shd w:val="clear" w:color="auto" w:fill="FFFFFF"/>
                  <w:vAlign w:val="center"/>
                </w:tcPr>
                <w:p w14:paraId="0D8574DB">
                  <w:pPr>
                    <w:pStyle w:val="29"/>
                    <w:adjustRightInd w:val="0"/>
                    <w:snapToGrid w:val="0"/>
                    <w:rPr>
                      <w:sz w:val="21"/>
                      <w:szCs w:val="21"/>
                    </w:rPr>
                  </w:pPr>
                  <w:r>
                    <w:rPr>
                      <w:sz w:val="21"/>
                      <w:szCs w:val="21"/>
                    </w:rPr>
                    <w:t>42.51</w:t>
                  </w:r>
                </w:p>
              </w:tc>
              <w:tc>
                <w:tcPr>
                  <w:tcW w:w="660" w:type="pct"/>
                  <w:shd w:val="clear" w:color="auto" w:fill="FFFFFF"/>
                  <w:vAlign w:val="center"/>
                </w:tcPr>
                <w:p w14:paraId="53E0B433">
                  <w:pPr>
                    <w:pStyle w:val="29"/>
                    <w:adjustRightInd w:val="0"/>
                    <w:snapToGrid w:val="0"/>
                    <w:rPr>
                      <w:sz w:val="21"/>
                      <w:szCs w:val="21"/>
                    </w:rPr>
                  </w:pPr>
                  <w:r>
                    <w:rPr>
                      <w:sz w:val="21"/>
                      <w:szCs w:val="21"/>
                    </w:rPr>
                    <w:t>65</w:t>
                  </w:r>
                </w:p>
              </w:tc>
              <w:tc>
                <w:tcPr>
                  <w:tcW w:w="484" w:type="pct"/>
                  <w:shd w:val="clear" w:color="auto" w:fill="FFFFFF"/>
                  <w:vAlign w:val="center"/>
                </w:tcPr>
                <w:p w14:paraId="6E6DDCAB">
                  <w:pPr>
                    <w:pStyle w:val="29"/>
                    <w:adjustRightInd w:val="0"/>
                    <w:snapToGrid w:val="0"/>
                    <w:rPr>
                      <w:sz w:val="21"/>
                      <w:szCs w:val="21"/>
                    </w:rPr>
                  </w:pPr>
                  <w:r>
                    <w:rPr>
                      <w:sz w:val="21"/>
                      <w:szCs w:val="21"/>
                    </w:rPr>
                    <w:t>达标</w:t>
                  </w:r>
                </w:p>
              </w:tc>
            </w:tr>
            <w:tr w14:paraId="120EE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23" w:hRule="exact"/>
                <w:jc w:val="center"/>
              </w:trPr>
              <w:tc>
                <w:tcPr>
                  <w:tcW w:w="445" w:type="pct"/>
                  <w:shd w:val="clear" w:color="auto" w:fill="FFFFFF"/>
                  <w:vAlign w:val="center"/>
                </w:tcPr>
                <w:p w14:paraId="27753F24">
                  <w:pPr>
                    <w:pStyle w:val="29"/>
                    <w:adjustRightInd w:val="0"/>
                    <w:snapToGrid w:val="0"/>
                    <w:rPr>
                      <w:sz w:val="21"/>
                      <w:szCs w:val="21"/>
                    </w:rPr>
                  </w:pPr>
                  <w:r>
                    <w:rPr>
                      <w:sz w:val="21"/>
                      <w:szCs w:val="21"/>
                    </w:rPr>
                    <w:t>敏感点</w:t>
                  </w:r>
                </w:p>
                <w:p w14:paraId="580407C4">
                  <w:pPr>
                    <w:pStyle w:val="29"/>
                    <w:adjustRightInd w:val="0"/>
                    <w:snapToGrid w:val="0"/>
                    <w:rPr>
                      <w:sz w:val="21"/>
                      <w:szCs w:val="21"/>
                    </w:rPr>
                  </w:pPr>
                  <w:r>
                    <w:rPr>
                      <w:sz w:val="21"/>
                      <w:szCs w:val="21"/>
                    </w:rPr>
                    <w:t>孟岗村</w:t>
                  </w:r>
                </w:p>
              </w:tc>
              <w:tc>
                <w:tcPr>
                  <w:tcW w:w="372" w:type="pct"/>
                  <w:shd w:val="clear" w:color="auto" w:fill="FFFFFF"/>
                  <w:vAlign w:val="center"/>
                </w:tcPr>
                <w:p w14:paraId="2DAAD32E">
                  <w:pPr>
                    <w:pStyle w:val="29"/>
                    <w:adjustRightInd w:val="0"/>
                    <w:snapToGrid w:val="0"/>
                    <w:rPr>
                      <w:sz w:val="21"/>
                      <w:szCs w:val="21"/>
                    </w:rPr>
                  </w:pPr>
                  <w:r>
                    <w:rPr>
                      <w:sz w:val="21"/>
                      <w:szCs w:val="21"/>
                    </w:rPr>
                    <w:t>70.5</w:t>
                  </w:r>
                </w:p>
              </w:tc>
              <w:tc>
                <w:tcPr>
                  <w:tcW w:w="372" w:type="pct"/>
                  <w:shd w:val="clear" w:color="auto" w:fill="FFFFFF"/>
                  <w:vAlign w:val="center"/>
                </w:tcPr>
                <w:p w14:paraId="0D74518C">
                  <w:pPr>
                    <w:pStyle w:val="29"/>
                    <w:adjustRightInd w:val="0"/>
                    <w:snapToGrid w:val="0"/>
                    <w:rPr>
                      <w:sz w:val="21"/>
                      <w:szCs w:val="21"/>
                    </w:rPr>
                  </w:pPr>
                  <w:r>
                    <w:rPr>
                      <w:sz w:val="21"/>
                      <w:szCs w:val="21"/>
                    </w:rPr>
                    <w:t>-60.3</w:t>
                  </w:r>
                </w:p>
              </w:tc>
              <w:tc>
                <w:tcPr>
                  <w:tcW w:w="343" w:type="pct"/>
                  <w:shd w:val="clear" w:color="auto" w:fill="FFFFFF"/>
                  <w:vAlign w:val="center"/>
                </w:tcPr>
                <w:p w14:paraId="4269266D">
                  <w:pPr>
                    <w:pStyle w:val="29"/>
                    <w:adjustRightInd w:val="0"/>
                    <w:snapToGrid w:val="0"/>
                    <w:rPr>
                      <w:sz w:val="21"/>
                      <w:szCs w:val="21"/>
                    </w:rPr>
                  </w:pPr>
                  <w:r>
                    <w:rPr>
                      <w:sz w:val="21"/>
                      <w:szCs w:val="21"/>
                    </w:rPr>
                    <w:t>1.2</w:t>
                  </w:r>
                </w:p>
              </w:tc>
              <w:tc>
                <w:tcPr>
                  <w:tcW w:w="407" w:type="pct"/>
                  <w:shd w:val="clear" w:color="auto" w:fill="FFFFFF"/>
                  <w:vAlign w:val="center"/>
                </w:tcPr>
                <w:p w14:paraId="56F3F0C6">
                  <w:pPr>
                    <w:pStyle w:val="29"/>
                    <w:adjustRightInd w:val="0"/>
                    <w:snapToGrid w:val="0"/>
                    <w:rPr>
                      <w:sz w:val="21"/>
                      <w:szCs w:val="21"/>
                    </w:rPr>
                  </w:pPr>
                  <w:r>
                    <w:rPr>
                      <w:sz w:val="21"/>
                      <w:szCs w:val="21"/>
                    </w:rPr>
                    <w:t>昼间</w:t>
                  </w:r>
                </w:p>
              </w:tc>
              <w:tc>
                <w:tcPr>
                  <w:tcW w:w="660" w:type="pct"/>
                  <w:shd w:val="clear" w:color="auto" w:fill="FFFFFF"/>
                  <w:vAlign w:val="center"/>
                </w:tcPr>
                <w:p w14:paraId="6768B937">
                  <w:pPr>
                    <w:pStyle w:val="29"/>
                    <w:adjustRightInd w:val="0"/>
                    <w:snapToGrid w:val="0"/>
                    <w:rPr>
                      <w:sz w:val="21"/>
                      <w:szCs w:val="21"/>
                    </w:rPr>
                  </w:pPr>
                  <w:r>
                    <w:rPr>
                      <w:sz w:val="21"/>
                      <w:szCs w:val="21"/>
                    </w:rPr>
                    <w:t>25.76</w:t>
                  </w:r>
                </w:p>
              </w:tc>
              <w:tc>
                <w:tcPr>
                  <w:tcW w:w="625" w:type="pct"/>
                  <w:shd w:val="clear" w:color="auto" w:fill="FFFFFF"/>
                  <w:vAlign w:val="center"/>
                </w:tcPr>
                <w:p w14:paraId="3796524A">
                  <w:pPr>
                    <w:pStyle w:val="29"/>
                    <w:adjustRightInd w:val="0"/>
                    <w:snapToGrid w:val="0"/>
                    <w:rPr>
                      <w:sz w:val="21"/>
                      <w:szCs w:val="21"/>
                    </w:rPr>
                  </w:pPr>
                  <w:r>
                    <w:rPr>
                      <w:sz w:val="21"/>
                      <w:szCs w:val="21"/>
                    </w:rPr>
                    <w:t>51.5</w:t>
                  </w:r>
                </w:p>
              </w:tc>
              <w:tc>
                <w:tcPr>
                  <w:tcW w:w="625" w:type="pct"/>
                  <w:shd w:val="clear" w:color="auto" w:fill="FFFFFF"/>
                  <w:vAlign w:val="center"/>
                </w:tcPr>
                <w:p w14:paraId="1CDFBC86">
                  <w:pPr>
                    <w:pStyle w:val="29"/>
                    <w:adjustRightInd w:val="0"/>
                    <w:snapToGrid w:val="0"/>
                    <w:rPr>
                      <w:sz w:val="21"/>
                      <w:szCs w:val="21"/>
                    </w:rPr>
                  </w:pPr>
                  <w:r>
                    <w:rPr>
                      <w:sz w:val="21"/>
                      <w:szCs w:val="21"/>
                    </w:rPr>
                    <w:t>51.51</w:t>
                  </w:r>
                </w:p>
              </w:tc>
              <w:tc>
                <w:tcPr>
                  <w:tcW w:w="660" w:type="pct"/>
                  <w:shd w:val="clear" w:color="auto" w:fill="FFFFFF"/>
                  <w:vAlign w:val="center"/>
                </w:tcPr>
                <w:p w14:paraId="4E5019C6">
                  <w:pPr>
                    <w:pStyle w:val="29"/>
                    <w:adjustRightInd w:val="0"/>
                    <w:snapToGrid w:val="0"/>
                    <w:rPr>
                      <w:sz w:val="21"/>
                      <w:szCs w:val="21"/>
                    </w:rPr>
                  </w:pPr>
                  <w:r>
                    <w:rPr>
                      <w:sz w:val="21"/>
                      <w:szCs w:val="21"/>
                    </w:rPr>
                    <w:t>60</w:t>
                  </w:r>
                </w:p>
              </w:tc>
              <w:tc>
                <w:tcPr>
                  <w:tcW w:w="484" w:type="pct"/>
                  <w:shd w:val="clear" w:color="auto" w:fill="FFFFFF"/>
                  <w:vAlign w:val="center"/>
                </w:tcPr>
                <w:p w14:paraId="71F9AA80">
                  <w:pPr>
                    <w:pStyle w:val="29"/>
                    <w:adjustRightInd w:val="0"/>
                    <w:snapToGrid w:val="0"/>
                    <w:rPr>
                      <w:kern w:val="2"/>
                      <w:sz w:val="21"/>
                      <w:szCs w:val="21"/>
                    </w:rPr>
                  </w:pPr>
                  <w:r>
                    <w:rPr>
                      <w:sz w:val="21"/>
                      <w:szCs w:val="21"/>
                    </w:rPr>
                    <w:t>达标</w:t>
                  </w:r>
                </w:p>
              </w:tc>
            </w:tr>
          </w:tbl>
          <w:p w14:paraId="61D05F96">
            <w:pPr>
              <w:pStyle w:val="37"/>
              <w:ind w:firstLine="0" w:firstLineChars="0"/>
              <w:rPr>
                <w:rFonts w:hint="default" w:ascii="Times New Roman" w:hAnsi="Times New Roman" w:cs="Times New Roman"/>
                <w:b/>
                <w:bCs/>
              </w:rPr>
            </w:pPr>
            <w:r>
              <w:rPr>
                <w:rFonts w:hint="default" w:ascii="Times New Roman" w:hAnsi="Times New Roman" w:cs="Times New Roman"/>
              </w:rPr>
              <w:drawing>
                <wp:inline distT="0" distB="0" distL="114300" distR="114300">
                  <wp:extent cx="5098415" cy="3585845"/>
                  <wp:effectExtent l="0" t="0" r="6985" b="1460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a:stretch>
                            <a:fillRect/>
                          </a:stretch>
                        </pic:blipFill>
                        <pic:spPr>
                          <a:xfrm>
                            <a:off x="0" y="0"/>
                            <a:ext cx="5098415" cy="3585845"/>
                          </a:xfrm>
                          <a:prstGeom prst="rect">
                            <a:avLst/>
                          </a:prstGeom>
                          <a:noFill/>
                          <a:ln>
                            <a:noFill/>
                          </a:ln>
                        </pic:spPr>
                      </pic:pic>
                    </a:graphicData>
                  </a:graphic>
                </wp:inline>
              </w:drawing>
            </w:r>
          </w:p>
          <w:p w14:paraId="11EFF408">
            <w:pPr>
              <w:spacing w:line="460" w:lineRule="exact"/>
              <w:jc w:val="center"/>
              <w:rPr>
                <w:rFonts w:hint="default" w:ascii="Times New Roman" w:hAnsi="Times New Roman" w:eastAsia="宋体" w:cs="Times New Roman"/>
                <w:b/>
                <w:kern w:val="0"/>
                <w:sz w:val="21"/>
                <w:szCs w:val="22"/>
              </w:rPr>
            </w:pPr>
            <w:r>
              <w:rPr>
                <w:rFonts w:hint="default" w:ascii="Times New Roman" w:hAnsi="Times New Roman" w:eastAsia="宋体" w:cs="Times New Roman"/>
                <w:b/>
                <w:kern w:val="0"/>
                <w:sz w:val="21"/>
                <w:szCs w:val="22"/>
              </w:rPr>
              <w:t>图 4-3 噪声预测图</w:t>
            </w:r>
          </w:p>
          <w:p w14:paraId="3D719805">
            <w:pPr>
              <w:pStyle w:val="37"/>
              <w:spacing w:before="157" w:beforeLines="50"/>
              <w:ind w:firstLine="0" w:firstLineChars="0"/>
              <w:rPr>
                <w:rFonts w:hint="default" w:ascii="Times New Roman" w:hAnsi="Times New Roman" w:cs="Times New Roman"/>
                <w:b/>
                <w:bCs/>
              </w:rPr>
            </w:pPr>
            <w:r>
              <w:rPr>
                <w:rFonts w:hint="default" w:ascii="Times New Roman" w:hAnsi="Times New Roman" w:cs="Times New Roman"/>
                <w:b/>
                <w:bCs/>
              </w:rPr>
              <w:t>4.4.3 噪声达标情况</w:t>
            </w:r>
          </w:p>
          <w:p w14:paraId="49E1CBBC">
            <w:pPr>
              <w:pStyle w:val="37"/>
              <w:ind w:firstLine="480"/>
              <w:rPr>
                <w:rFonts w:hint="default" w:ascii="Times New Roman" w:hAnsi="Times New Roman" w:cs="Times New Roman"/>
              </w:rPr>
            </w:pPr>
            <w:r>
              <w:rPr>
                <w:rFonts w:hint="default" w:ascii="Times New Roman" w:hAnsi="Times New Roman" w:cs="Times New Roman"/>
              </w:rPr>
              <w:t>根据《淮南市中心城区声环境功能区划分方案》（2021年），本项目位于淮南市谢家集区李郢孜镇经济开发区经五路与卧园路交叉口向西50米，处于声环境功能区3类区，厂界四周噪声排放执行《工业企业厂界环境噪声排放标准》（GB12348-2008）3类标准；由预测分析结果可知，本项目经减振、建筑隔声以及距离衰减后，建设项目厂界昼间声预测值满足《工业企业厂界环境噪声排放标准》（GB12348-2008）中3类标准要求，项目声环境敏感目标预测</w:t>
            </w:r>
            <w:r>
              <w:rPr>
                <w:rFonts w:hint="default" w:ascii="Times New Roman" w:hAnsi="Times New Roman" w:cs="Times New Roman"/>
                <w:lang w:bidi="en-US"/>
              </w:rPr>
              <w:t>值满足《声环境质量标准》（GB3096-2008）2类标准</w:t>
            </w:r>
            <w:r>
              <w:rPr>
                <w:rFonts w:hint="default" w:ascii="Times New Roman" w:hAnsi="Times New Roman" w:cs="Times New Roman"/>
              </w:rPr>
              <w:t>，因此，本项目不会对周围声环境产生明显影响。</w:t>
            </w:r>
          </w:p>
          <w:p w14:paraId="7651D5EB">
            <w:pPr>
              <w:pStyle w:val="37"/>
              <w:ind w:firstLine="0" w:firstLineChars="0"/>
              <w:rPr>
                <w:rFonts w:hint="default" w:ascii="Times New Roman" w:hAnsi="Times New Roman" w:cs="Times New Roman"/>
                <w:b/>
                <w:bCs/>
              </w:rPr>
            </w:pPr>
            <w:r>
              <w:rPr>
                <w:rFonts w:hint="default" w:ascii="Times New Roman" w:hAnsi="Times New Roman" w:cs="Times New Roman"/>
                <w:b/>
                <w:bCs/>
              </w:rPr>
              <w:t>4.4.4 噪声监测计划</w:t>
            </w:r>
          </w:p>
          <w:p w14:paraId="3C88846B">
            <w:pPr>
              <w:pStyle w:val="37"/>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bCs/>
                <w:shd w:val="clear" w:color="auto" w:fill="FFFFFF"/>
              </w:rPr>
            </w:pPr>
            <w:r>
              <w:rPr>
                <w:rFonts w:hint="default" w:ascii="Times New Roman" w:hAnsi="Times New Roman" w:cs="Times New Roman"/>
              </w:rPr>
              <w:t>根据《排污单位自行监测技术指南 总则》（HJ819-2017）中的监测要求，本项目噪声监测计划如下表。</w:t>
            </w:r>
          </w:p>
          <w:p w14:paraId="5C4CD403">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w:t>
            </w:r>
            <w:r>
              <w:rPr>
                <w:rFonts w:hint="eastAsia" w:cs="Times New Roman"/>
                <w:b/>
                <w:kern w:val="0"/>
                <w:sz w:val="21"/>
                <w:szCs w:val="22"/>
                <w:lang w:val="en-US" w:eastAsia="zh-CN"/>
              </w:rPr>
              <w:t>22</w:t>
            </w:r>
            <w:r>
              <w:rPr>
                <w:rFonts w:hint="default" w:ascii="Times New Roman" w:hAnsi="Times New Roman" w:cs="Times New Roman"/>
                <w:b/>
                <w:kern w:val="0"/>
                <w:sz w:val="21"/>
                <w:szCs w:val="22"/>
              </w:rPr>
              <w:t xml:space="preserve"> 本项目噪声监测计划</w:t>
            </w:r>
          </w:p>
          <w:tbl>
            <w:tblPr>
              <w:tblStyle w:val="21"/>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43"/>
              <w:gridCol w:w="1400"/>
              <w:gridCol w:w="1570"/>
              <w:gridCol w:w="1338"/>
              <w:gridCol w:w="2701"/>
            </w:tblGrid>
            <w:tr w14:paraId="636AD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3" w:type="pct"/>
                  <w:vAlign w:val="center"/>
                </w:tcPr>
                <w:p w14:paraId="0A6E5A73">
                  <w:pPr>
                    <w:pStyle w:val="38"/>
                    <w:framePr w:hSpace="0" w:wrap="auto" w:vAnchor="margin" w:hAnchor="text" w:xAlign="left" w:yAlign="inline"/>
                    <w:rPr>
                      <w:rFonts w:cs="Times New Roman"/>
                      <w:b/>
                      <w:bCs/>
                      <w:sz w:val="21"/>
                      <w:szCs w:val="21"/>
                    </w:rPr>
                  </w:pPr>
                  <w:r>
                    <w:rPr>
                      <w:rFonts w:cs="Times New Roman"/>
                      <w:b/>
                      <w:bCs/>
                      <w:sz w:val="21"/>
                      <w:szCs w:val="21"/>
                    </w:rPr>
                    <w:t>污染类别</w:t>
                  </w:r>
                </w:p>
              </w:tc>
              <w:tc>
                <w:tcPr>
                  <w:tcW w:w="880" w:type="pct"/>
                  <w:vAlign w:val="center"/>
                </w:tcPr>
                <w:p w14:paraId="46909BB5">
                  <w:pPr>
                    <w:pStyle w:val="38"/>
                    <w:framePr w:hSpace="0" w:wrap="auto" w:vAnchor="margin" w:hAnchor="text" w:xAlign="left" w:yAlign="inline"/>
                    <w:rPr>
                      <w:rFonts w:cs="Times New Roman"/>
                      <w:b/>
                      <w:bCs/>
                      <w:sz w:val="21"/>
                      <w:szCs w:val="21"/>
                    </w:rPr>
                  </w:pPr>
                  <w:r>
                    <w:rPr>
                      <w:rFonts w:cs="Times New Roman"/>
                      <w:b/>
                      <w:bCs/>
                      <w:sz w:val="21"/>
                      <w:szCs w:val="21"/>
                    </w:rPr>
                    <w:t>监测点位</w:t>
                  </w:r>
                </w:p>
              </w:tc>
              <w:tc>
                <w:tcPr>
                  <w:tcW w:w="987" w:type="pct"/>
                  <w:vAlign w:val="center"/>
                </w:tcPr>
                <w:p w14:paraId="34B255DB">
                  <w:pPr>
                    <w:pStyle w:val="38"/>
                    <w:framePr w:hSpace="0" w:wrap="auto" w:vAnchor="margin" w:hAnchor="text" w:xAlign="left" w:yAlign="inline"/>
                    <w:rPr>
                      <w:rFonts w:cs="Times New Roman"/>
                      <w:b/>
                      <w:bCs/>
                      <w:sz w:val="21"/>
                      <w:szCs w:val="21"/>
                    </w:rPr>
                  </w:pPr>
                  <w:r>
                    <w:rPr>
                      <w:rFonts w:cs="Times New Roman"/>
                      <w:b/>
                      <w:bCs/>
                      <w:sz w:val="21"/>
                      <w:szCs w:val="21"/>
                    </w:rPr>
                    <w:t>监测项目</w:t>
                  </w:r>
                </w:p>
              </w:tc>
              <w:tc>
                <w:tcPr>
                  <w:tcW w:w="841" w:type="pct"/>
                  <w:vAlign w:val="center"/>
                </w:tcPr>
                <w:p w14:paraId="38948A00">
                  <w:pPr>
                    <w:pStyle w:val="38"/>
                    <w:framePr w:hSpace="0" w:wrap="auto" w:vAnchor="margin" w:hAnchor="text" w:xAlign="left" w:yAlign="inline"/>
                    <w:rPr>
                      <w:rFonts w:cs="Times New Roman"/>
                      <w:b/>
                      <w:bCs/>
                      <w:sz w:val="21"/>
                      <w:szCs w:val="21"/>
                    </w:rPr>
                  </w:pPr>
                  <w:r>
                    <w:rPr>
                      <w:rFonts w:cs="Times New Roman"/>
                      <w:b/>
                      <w:bCs/>
                      <w:sz w:val="21"/>
                      <w:szCs w:val="21"/>
                    </w:rPr>
                    <w:t>监测频率</w:t>
                  </w:r>
                </w:p>
              </w:tc>
              <w:tc>
                <w:tcPr>
                  <w:tcW w:w="1697" w:type="pct"/>
                  <w:vAlign w:val="center"/>
                </w:tcPr>
                <w:p w14:paraId="357EFADE">
                  <w:pPr>
                    <w:pStyle w:val="38"/>
                    <w:framePr w:hSpace="0" w:wrap="auto" w:vAnchor="margin" w:hAnchor="text" w:xAlign="left" w:yAlign="inline"/>
                    <w:rPr>
                      <w:rFonts w:cs="Times New Roman"/>
                      <w:b/>
                      <w:bCs/>
                      <w:sz w:val="21"/>
                      <w:szCs w:val="21"/>
                    </w:rPr>
                  </w:pPr>
                  <w:r>
                    <w:rPr>
                      <w:rFonts w:cs="Times New Roman"/>
                      <w:b/>
                      <w:bCs/>
                      <w:sz w:val="21"/>
                      <w:szCs w:val="21"/>
                    </w:rPr>
                    <w:t>执行排放标准</w:t>
                  </w:r>
                </w:p>
              </w:tc>
            </w:tr>
            <w:tr w14:paraId="77C66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3" w:type="pct"/>
                  <w:vAlign w:val="center"/>
                </w:tcPr>
                <w:p w14:paraId="154BA31B">
                  <w:pPr>
                    <w:pStyle w:val="38"/>
                    <w:framePr w:hSpace="0" w:wrap="auto" w:vAnchor="margin" w:hAnchor="text" w:xAlign="left" w:yAlign="inline"/>
                    <w:rPr>
                      <w:rFonts w:cs="Times New Roman"/>
                      <w:sz w:val="21"/>
                      <w:szCs w:val="21"/>
                    </w:rPr>
                  </w:pPr>
                  <w:r>
                    <w:rPr>
                      <w:rFonts w:cs="Times New Roman"/>
                      <w:sz w:val="21"/>
                      <w:szCs w:val="21"/>
                    </w:rPr>
                    <w:t>噪声</w:t>
                  </w:r>
                </w:p>
              </w:tc>
              <w:tc>
                <w:tcPr>
                  <w:tcW w:w="880" w:type="pct"/>
                  <w:vAlign w:val="center"/>
                </w:tcPr>
                <w:p w14:paraId="11BD0C2B">
                  <w:pPr>
                    <w:pStyle w:val="38"/>
                    <w:framePr w:hSpace="0" w:wrap="auto" w:vAnchor="margin" w:hAnchor="text" w:xAlign="left" w:yAlign="inline"/>
                    <w:rPr>
                      <w:rFonts w:cs="Times New Roman"/>
                      <w:sz w:val="21"/>
                      <w:szCs w:val="21"/>
                    </w:rPr>
                  </w:pPr>
                  <w:r>
                    <w:rPr>
                      <w:rFonts w:cs="Times New Roman"/>
                      <w:sz w:val="21"/>
                      <w:szCs w:val="21"/>
                    </w:rPr>
                    <w:t>厂界外1m处</w:t>
                  </w:r>
                </w:p>
              </w:tc>
              <w:tc>
                <w:tcPr>
                  <w:tcW w:w="987" w:type="pct"/>
                  <w:vAlign w:val="center"/>
                </w:tcPr>
                <w:p w14:paraId="1C887A6E">
                  <w:pPr>
                    <w:pStyle w:val="38"/>
                    <w:framePr w:hSpace="0" w:wrap="auto" w:vAnchor="margin" w:hAnchor="text" w:xAlign="left" w:yAlign="inline"/>
                    <w:rPr>
                      <w:rFonts w:cs="Times New Roman"/>
                      <w:sz w:val="21"/>
                      <w:szCs w:val="21"/>
                    </w:rPr>
                  </w:pPr>
                  <w:r>
                    <w:rPr>
                      <w:rFonts w:cs="Times New Roman"/>
                      <w:sz w:val="21"/>
                      <w:szCs w:val="21"/>
                    </w:rPr>
                    <w:t>等效连续A声级（</w:t>
                  </w:r>
                  <w:r>
                    <w:rPr>
                      <w:rFonts w:cs="Times New Roman"/>
                      <w:sz w:val="21"/>
                      <w:szCs w:val="21"/>
                      <w:lang w:val="en-US"/>
                    </w:rPr>
                    <w:t>昼间</w:t>
                  </w:r>
                  <w:r>
                    <w:rPr>
                      <w:rFonts w:cs="Times New Roman"/>
                      <w:sz w:val="21"/>
                      <w:szCs w:val="21"/>
                    </w:rPr>
                    <w:t>）</w:t>
                  </w:r>
                </w:p>
              </w:tc>
              <w:tc>
                <w:tcPr>
                  <w:tcW w:w="841" w:type="pct"/>
                  <w:vAlign w:val="center"/>
                </w:tcPr>
                <w:p w14:paraId="3ACD9944">
                  <w:pPr>
                    <w:pStyle w:val="38"/>
                    <w:framePr w:hSpace="0" w:wrap="auto" w:vAnchor="margin" w:hAnchor="text" w:xAlign="left" w:yAlign="inline"/>
                    <w:rPr>
                      <w:rFonts w:cs="Times New Roman"/>
                      <w:sz w:val="21"/>
                      <w:szCs w:val="21"/>
                    </w:rPr>
                  </w:pPr>
                  <w:r>
                    <w:rPr>
                      <w:rFonts w:cs="Times New Roman"/>
                      <w:sz w:val="21"/>
                      <w:szCs w:val="21"/>
                    </w:rPr>
                    <w:t>1次/季度</w:t>
                  </w:r>
                </w:p>
              </w:tc>
              <w:tc>
                <w:tcPr>
                  <w:tcW w:w="1697" w:type="pct"/>
                  <w:vAlign w:val="center"/>
                </w:tcPr>
                <w:p w14:paraId="7C7D8E3B">
                  <w:pPr>
                    <w:pStyle w:val="38"/>
                    <w:framePr w:hSpace="0" w:wrap="auto" w:vAnchor="margin" w:hAnchor="text" w:xAlign="left" w:yAlign="inline"/>
                    <w:rPr>
                      <w:rFonts w:cs="Times New Roman"/>
                      <w:sz w:val="21"/>
                      <w:szCs w:val="21"/>
                    </w:rPr>
                  </w:pPr>
                  <w:r>
                    <w:rPr>
                      <w:rFonts w:cs="Times New Roman"/>
                      <w:sz w:val="21"/>
                      <w:szCs w:val="21"/>
                    </w:rPr>
                    <w:t>《工业企业厂界环境噪声排放标准》（GB12348-2008）3类</w:t>
                  </w:r>
                </w:p>
              </w:tc>
            </w:tr>
          </w:tbl>
          <w:p w14:paraId="116BE358">
            <w:pPr>
              <w:pStyle w:val="37"/>
              <w:ind w:firstLine="0" w:firstLineChars="0"/>
              <w:rPr>
                <w:rFonts w:hint="default" w:ascii="Times New Roman" w:hAnsi="Times New Roman" w:cs="Times New Roman"/>
                <w:b/>
                <w:bCs/>
              </w:rPr>
            </w:pPr>
            <w:bookmarkStart w:id="11" w:name="_Hlk174976989"/>
            <w:bookmarkStart w:id="12" w:name="_Hlk174976929"/>
            <w:r>
              <w:rPr>
                <w:rFonts w:hint="default" w:ascii="Times New Roman" w:hAnsi="Times New Roman" w:cs="Times New Roman"/>
                <w:b/>
                <w:bCs/>
              </w:rPr>
              <w:t>4.5 营运期固废治理措施和环境影响分析</w:t>
            </w:r>
          </w:p>
          <w:p w14:paraId="72FD726B">
            <w:pPr>
              <w:pStyle w:val="37"/>
              <w:ind w:firstLine="0" w:firstLineChars="0"/>
              <w:rPr>
                <w:rFonts w:hint="default" w:ascii="Times New Roman" w:hAnsi="Times New Roman" w:cs="Times New Roman"/>
                <w:b/>
                <w:bCs/>
              </w:rPr>
            </w:pPr>
            <w:r>
              <w:rPr>
                <w:rFonts w:hint="default" w:ascii="Times New Roman" w:hAnsi="Times New Roman" w:cs="Times New Roman"/>
                <w:b/>
                <w:bCs/>
              </w:rPr>
              <w:t>4.5.1 本项目固废污染源强情况</w:t>
            </w:r>
          </w:p>
          <w:p w14:paraId="001B6FB5">
            <w:pPr>
              <w:pStyle w:val="37"/>
              <w:ind w:firstLine="480"/>
              <w:rPr>
                <w:rFonts w:hint="default" w:ascii="Times New Roman" w:hAnsi="Times New Roman" w:cs="Times New Roman"/>
              </w:rPr>
            </w:pPr>
            <w:r>
              <w:rPr>
                <w:rFonts w:hint="default" w:ascii="Times New Roman" w:hAnsi="Times New Roman" w:cs="Times New Roman"/>
              </w:rPr>
              <w:t>本项目运营期产生的固体废弃物包括主要为废边角料、不合格品、除尘器收集的粉尘、废包装桶、设备清洗废液、废含油抹布和手套、废活性炭和生活垃圾。</w:t>
            </w:r>
          </w:p>
          <w:p w14:paraId="3799178B">
            <w:pPr>
              <w:pStyle w:val="37"/>
              <w:ind w:firstLine="482"/>
              <w:rPr>
                <w:rFonts w:hint="default" w:ascii="Times New Roman" w:hAnsi="Times New Roman" w:cs="Times New Roman"/>
              </w:rPr>
            </w:pPr>
            <w:r>
              <w:rPr>
                <w:rFonts w:hint="default" w:ascii="Times New Roman" w:hAnsi="Times New Roman" w:cs="Times New Roman"/>
                <w:b/>
                <w:bCs/>
              </w:rPr>
              <w:t>1、一般固体废物</w:t>
            </w:r>
          </w:p>
          <w:p w14:paraId="07291075">
            <w:pPr>
              <w:pStyle w:val="37"/>
              <w:ind w:firstLine="480"/>
              <w:rPr>
                <w:rFonts w:hint="default" w:ascii="Times New Roman" w:hAnsi="Times New Roman" w:cs="Times New Roman"/>
              </w:rPr>
            </w:pPr>
            <w:r>
              <w:rPr>
                <w:rFonts w:hint="default" w:ascii="Times New Roman" w:hAnsi="Times New Roman" w:cs="Times New Roman"/>
              </w:rPr>
              <w:t>（1）废边角料、不合格品</w:t>
            </w:r>
          </w:p>
          <w:p w14:paraId="4D691C04">
            <w:pPr>
              <w:pStyle w:val="37"/>
              <w:ind w:firstLine="480"/>
              <w:rPr>
                <w:rFonts w:hint="default" w:ascii="Times New Roman" w:hAnsi="Times New Roman" w:cs="Times New Roman"/>
              </w:rPr>
            </w:pPr>
            <w:r>
              <w:rPr>
                <w:rFonts w:hint="default" w:ascii="Times New Roman" w:hAnsi="Times New Roman" w:cs="Times New Roman"/>
              </w:rPr>
              <w:t>项目瓦楞纸板、纸箱生产过程中产生的废边角料、不合格品。根据建设单位提供的资料，可知废边角料、不合格产品产生量为原材料的3%，项目纸板和年使用总量为20000t/a，则废边角料、不合格产品产生量为600t/a。根据《关于发布〈固体废物分类与代码名录&gt;》（生态环境部 公告 2024年 第4号），废边角料属于SW17可再生类废物，类别代码为“900-005-S17”，集中收集后暂存于一般固废区域，定期外售物资回收部门。</w:t>
            </w:r>
          </w:p>
          <w:p w14:paraId="5464922E">
            <w:pPr>
              <w:pStyle w:val="37"/>
              <w:numPr>
                <w:ilvl w:val="0"/>
                <w:numId w:val="1"/>
              </w:numPr>
              <w:ind w:firstLine="480"/>
              <w:rPr>
                <w:rFonts w:hint="default" w:ascii="Times New Roman" w:hAnsi="Times New Roman" w:cs="Times New Roman"/>
              </w:rPr>
            </w:pPr>
            <w:r>
              <w:rPr>
                <w:rFonts w:hint="default" w:ascii="Times New Roman" w:hAnsi="Times New Roman" w:cs="Times New Roman"/>
              </w:rPr>
              <w:t>废扁丝：项目装订过程中会产生的废扁丝，约为原材料的0.01%，扁丝耗量6t/a，则废扁丝产生量为0.0006t/a，统一收集后外售给回收公司处理。</w:t>
            </w:r>
          </w:p>
          <w:p w14:paraId="3148C88D">
            <w:pPr>
              <w:pStyle w:val="37"/>
              <w:ind w:firstLine="480"/>
              <w:rPr>
                <w:rFonts w:hint="default" w:ascii="Times New Roman" w:hAnsi="Times New Roman" w:cs="Times New Roman"/>
              </w:rPr>
            </w:pPr>
            <w:r>
              <w:rPr>
                <w:rFonts w:hint="default" w:ascii="Times New Roman" w:hAnsi="Times New Roman" w:cs="Times New Roman"/>
              </w:rPr>
              <w:t>（3）废玉米粉包装袋：项目玉米粉拆封以及产品包装时会产生一定废弃的废包装材料，根据日常生产经验，废玉米粉包装袋的产生总量约为0.01t/a。属于《关于发布〈固体废物分类与代码目录〉的公告》（生态环境部公告2024年第4号）非特定行业中——其他工业生产过程中产生的固体废物，废物代码为900-099-S59（非特定行业生产过程中产生的其他废物），统一收集后外售给回收公司处理。</w:t>
            </w:r>
          </w:p>
          <w:p w14:paraId="50429AE5">
            <w:pPr>
              <w:pStyle w:val="37"/>
              <w:ind w:firstLine="480"/>
              <w:rPr>
                <w:rFonts w:hint="default" w:ascii="Times New Roman" w:hAnsi="Times New Roman" w:cs="Times New Roman"/>
              </w:rPr>
            </w:pPr>
            <w:r>
              <w:rPr>
                <w:rFonts w:hint="default" w:ascii="Times New Roman" w:hAnsi="Times New Roman" w:cs="Times New Roman"/>
              </w:rPr>
              <w:t>（4）生活垃圾</w:t>
            </w:r>
          </w:p>
          <w:p w14:paraId="263D1C95">
            <w:pPr>
              <w:pStyle w:val="37"/>
              <w:ind w:firstLine="480"/>
              <w:rPr>
                <w:rFonts w:hint="default" w:ascii="Times New Roman" w:hAnsi="Times New Roman" w:cs="Times New Roman"/>
              </w:rPr>
            </w:pPr>
            <w:r>
              <w:rPr>
                <w:rFonts w:hint="default" w:ascii="Times New Roman" w:hAnsi="Times New Roman" w:cs="Times New Roman"/>
              </w:rPr>
              <w:t>项目生活垃圾主要为员工日常生活产生，项目设劳动定员40人，年工作330天。生活垃圾产生量按照0.5kg/人·天计算，预计生活垃圾产生量为6.6t/a，由环卫部门统一清运。</w:t>
            </w:r>
          </w:p>
          <w:p w14:paraId="117E4E5B">
            <w:pPr>
              <w:pStyle w:val="37"/>
              <w:ind w:firstLine="482"/>
              <w:rPr>
                <w:rFonts w:hint="default" w:ascii="Times New Roman" w:hAnsi="Times New Roman" w:cs="Times New Roman"/>
                <w:b/>
                <w:bCs/>
              </w:rPr>
            </w:pPr>
            <w:r>
              <w:rPr>
                <w:rFonts w:hint="default" w:ascii="Times New Roman" w:hAnsi="Times New Roman" w:cs="Times New Roman"/>
                <w:b/>
                <w:bCs/>
              </w:rPr>
              <w:t>2、危险废物</w:t>
            </w:r>
          </w:p>
          <w:p w14:paraId="3590C4D0">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（1）废包装桶</w:t>
            </w:r>
          </w:p>
          <w:p w14:paraId="0DDB2B8B">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项目水性油墨使用后会产生废包装桶，原料用量约为0.5t/a，水墨桶规格为25kg/桶，单个包装桶（塑料）重量约1.4kg左右，则废包装桶产生量约为0.028t/a。经查《国家危险废物名录》（2025年版）：含有或沾染毒性感染性危险废物的废弃包装物、容器、过滤性吸附介质属于危险废物。因此，废水性油墨桶为危险废物，废物类别为HW49其他废物，废物代码为900-041-49，收集后暂存于危废暂存间，委托有资质单位处置。</w:t>
            </w:r>
          </w:p>
          <w:p w14:paraId="2C222E04">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（2）设备清洗废液</w:t>
            </w:r>
          </w:p>
          <w:p w14:paraId="364C23F9">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szCs w:val="21"/>
              </w:rPr>
            </w:pPr>
            <w:r>
              <w:rPr>
                <w:rFonts w:hint="default" w:ascii="Times New Roman" w:hAnsi="Times New Roman" w:cs="Times New Roman"/>
                <w:bCs/>
                <w:snapToGrid w:val="0"/>
                <w:shd w:val="clear" w:color="auto" w:fill="FFFFFF"/>
              </w:rPr>
              <w:t>根据建设单位提供资料，项目水墨印刷机设备平均每5天清洗一次，每次用水量约为5kg，则设备清洗用水量0.001t/d，0.33t/a。</w:t>
            </w:r>
            <w:r>
              <w:rPr>
                <w:rFonts w:hint="default" w:ascii="Times New Roman" w:hAnsi="Times New Roman" w:cs="Times New Roman"/>
                <w:szCs w:val="21"/>
              </w:rPr>
              <w:t>产污系数按0.85计，则清洗后的废水产生量为0.28t/a，清洗废液经收集后作为危废交由有资质单位进行处置。</w:t>
            </w:r>
          </w:p>
          <w:p w14:paraId="220CDD1A">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szCs w:val="21"/>
              </w:rPr>
              <w:t>（3）</w:t>
            </w:r>
            <w:r>
              <w:rPr>
                <w:rFonts w:hint="default" w:ascii="Times New Roman" w:hAnsi="Times New Roman" w:cs="Times New Roman"/>
              </w:rPr>
              <w:t>废含油抹布和手套</w:t>
            </w:r>
          </w:p>
          <w:p w14:paraId="628AF986">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rPr>
            </w:pPr>
            <w:r>
              <w:rPr>
                <w:rFonts w:hint="default" w:ascii="Times New Roman" w:hAnsi="Times New Roman" w:cs="Times New Roman"/>
                <w:color w:val="000000"/>
                <w:kern w:val="0"/>
                <w:lang w:bidi="ar"/>
              </w:rPr>
              <w:t>本项目对印刷设备进行清洗会产生</w:t>
            </w:r>
            <w:r>
              <w:rPr>
                <w:rFonts w:hint="default" w:ascii="Times New Roman" w:hAnsi="Times New Roman" w:cs="Times New Roman"/>
              </w:rPr>
              <w:t>废含油抹布和手套，根据建设单位提供资料，废含油抹布、手套产生量</w:t>
            </w:r>
            <w:r>
              <w:rPr>
                <w:rFonts w:hint="default" w:ascii="Times New Roman" w:hAnsi="Times New Roman" w:cs="Times New Roman"/>
                <w:color w:val="000000"/>
                <w:kern w:val="0"/>
                <w:lang w:bidi="ar"/>
              </w:rPr>
              <w:t>约为0.005t/a，</w:t>
            </w:r>
            <w:r>
              <w:rPr>
                <w:rFonts w:hint="default" w:ascii="Times New Roman" w:hAnsi="Times New Roman" w:cs="Times New Roman"/>
              </w:rPr>
              <w:t>根据《国家危险废物名录》（2025年版）可知，废含油抹布和废含油手套属于危险废物，废物类别编号为HW49，废物代码为900-041-49，暂存于危废暂存间内，定期交由资质单位处置。</w:t>
            </w:r>
          </w:p>
          <w:p w14:paraId="089363AC">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（4）废活性炭</w:t>
            </w:r>
          </w:p>
          <w:p w14:paraId="196376BB">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lang w:bidi="en-US"/>
              </w:rPr>
            </w:pPr>
            <w:r>
              <w:rPr>
                <w:rFonts w:hint="default" w:ascii="Times New Roman" w:hAnsi="Times New Roman" w:cs="Times New Roman"/>
                <w:color w:val="000000"/>
                <w:kern w:val="0"/>
                <w:lang w:bidi="ar"/>
              </w:rPr>
              <w:t>本项目有机废气采用二级活性炭装置处理，根据前文计算，本项目被活性炭吸附的废气量约为0.0115t/a，活性炭装置每次充填100kg，为确保活性炭吸附效率，本项目活性炭年更换频率约为3次/a，活性炭更换量为0.3t/a，因此本项目产生废活性炭</w:t>
            </w:r>
            <w:r>
              <w:rPr>
                <w:rFonts w:hint="default" w:ascii="Times New Roman" w:hAnsi="Times New Roman" w:cs="Times New Roman"/>
                <w:lang w:bidi="en-US"/>
              </w:rPr>
              <w:t>量0.3t/a。废活性炭属于《国家危险废物名录》（2025年）HW49其他废物，非特定行业中的“900-039-49-烟气、VOCs治理过程（不包括餐饮行业油烟治理过程）产生的废活性炭，化学原料和化学制品脱色（不包括有机合成食品添加剂脱色）、除杂、净化过程产生的废活性炭”的危废，收集后暂存于危废暂存间，定期交由有资质单位处理。</w:t>
            </w:r>
          </w:p>
          <w:p w14:paraId="17CEB515">
            <w:pPr>
              <w:keepNext w:val="0"/>
              <w:keepLines w:val="0"/>
              <w:pageBreakBefore w:val="0"/>
              <w:widowControl/>
              <w:kinsoku/>
              <w:overflowPunct/>
              <w:topLinePunct w:val="0"/>
              <w:autoSpaceDE/>
              <w:autoSpaceDN/>
              <w:bidi w:val="0"/>
              <w:spacing w:line="460" w:lineRule="exact"/>
              <w:ind w:firstLine="482" w:firstLineChars="200"/>
              <w:jc w:val="left"/>
              <w:textAlignment w:val="auto"/>
              <w:rPr>
                <w:rFonts w:hint="default" w:ascii="Times New Roman" w:hAnsi="Times New Roman" w:cs="Times New Roman"/>
                <w:b/>
                <w:lang w:bidi="en-US"/>
              </w:rPr>
            </w:pPr>
            <w:r>
              <w:rPr>
                <w:rFonts w:hint="default" w:ascii="Times New Roman" w:hAnsi="Times New Roman" w:cs="Times New Roman"/>
                <w:b/>
                <w:bCs/>
                <w:lang w:bidi="en-US"/>
              </w:rPr>
              <w:t>活性炭更换周期核算：</w:t>
            </w:r>
          </w:p>
          <w:p w14:paraId="7005B59A">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活性炭更换周期T=m×s÷(c×10</w:t>
            </w:r>
            <w:r>
              <w:rPr>
                <w:rFonts w:hint="default" w:ascii="Times New Roman" w:hAnsi="Times New Roman" w:cs="Times New Roman"/>
                <w:bCs/>
                <w:vertAlign w:val="superscript"/>
                <w:lang w:bidi="en-US"/>
              </w:rPr>
              <w:t>-6</w:t>
            </w:r>
            <w:r>
              <w:rPr>
                <w:rFonts w:hint="default" w:ascii="Times New Roman" w:hAnsi="Times New Roman" w:cs="Times New Roman"/>
                <w:bCs/>
                <w:lang w:bidi="en-US"/>
              </w:rPr>
              <w:t>×Q×t)</w:t>
            </w:r>
          </w:p>
          <w:p w14:paraId="2614C005">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T---更换周期，天；</w:t>
            </w:r>
          </w:p>
          <w:p w14:paraId="05174906">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m---活性炭用量，本项目二级活性炭总填装量为100kg；</w:t>
            </w:r>
          </w:p>
          <w:p w14:paraId="69593069">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Style w:val="54"/>
                <w:rFonts w:hint="default" w:ascii="Times New Roman" w:hAnsi="Times New Roman" w:cs="Times New Roman"/>
              </w:rPr>
            </w:pPr>
            <w:r>
              <w:rPr>
                <w:rFonts w:hint="default" w:ascii="Times New Roman" w:hAnsi="Times New Roman" w:cs="Times New Roman"/>
                <w:bCs/>
                <w:lang w:bidi="en-US"/>
              </w:rPr>
              <w:t>S---动态吸附量%，参考同行业生产经验，</w:t>
            </w:r>
            <w:r>
              <w:rPr>
                <w:rStyle w:val="54"/>
                <w:rFonts w:hint="default" w:ascii="Times New Roman" w:hAnsi="Times New Roman" w:cs="Times New Roman"/>
              </w:rPr>
              <w:t>低浓度 非甲烷总烃（＜100mg/m³）：如喷漆、印刷废气，动态吸附量通常为5%~15%，本项目取5%；</w:t>
            </w:r>
          </w:p>
          <w:p w14:paraId="1DA3260E">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C—活性炭消减的非甲烷总烃浓度，根据前文计算，活性炭消减的非甲烷总烃浓度为3.728mg/m</w:t>
            </w:r>
            <w:r>
              <w:rPr>
                <w:rFonts w:hint="default" w:ascii="Times New Roman" w:hAnsi="Times New Roman" w:cs="Times New Roman"/>
                <w:bCs/>
                <w:vertAlign w:val="superscript"/>
                <w:lang w:bidi="en-US"/>
              </w:rPr>
              <w:t>3</w:t>
            </w:r>
            <w:r>
              <w:rPr>
                <w:rFonts w:hint="default" w:ascii="Times New Roman" w:hAnsi="Times New Roman" w:cs="Times New Roman"/>
                <w:bCs/>
                <w:lang w:bidi="en-US"/>
              </w:rPr>
              <w:t>；</w:t>
            </w:r>
          </w:p>
          <w:p w14:paraId="16F7AEDF">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Q---风量，3100m</w:t>
            </w:r>
            <w:r>
              <w:rPr>
                <w:rFonts w:hint="default" w:ascii="Times New Roman" w:hAnsi="Times New Roman" w:cs="Times New Roman"/>
                <w:bCs/>
                <w:vertAlign w:val="superscript"/>
                <w:lang w:bidi="en-US"/>
              </w:rPr>
              <w:t>3</w:t>
            </w:r>
            <w:r>
              <w:rPr>
                <w:rFonts w:hint="default" w:ascii="Times New Roman" w:hAnsi="Times New Roman" w:cs="Times New Roman"/>
                <w:bCs/>
                <w:lang w:bidi="en-US"/>
              </w:rPr>
              <w:t>/h（按照每日平均风量计）；</w:t>
            </w:r>
          </w:p>
          <w:p w14:paraId="36FC54F0">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t---运行时间，3.63h/d；</w:t>
            </w:r>
          </w:p>
          <w:p w14:paraId="0953504F">
            <w:pPr>
              <w:keepNext w:val="0"/>
              <w:keepLines w:val="0"/>
              <w:pageBreakBefore w:val="0"/>
              <w:widowControl/>
              <w:kinsoku/>
              <w:wordWrap w:val="0"/>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bCs/>
                <w:lang w:bidi="en-US"/>
              </w:rPr>
              <w:t>则活性炭更换周期T=119.1d，年工作时间330天，则</w:t>
            </w:r>
            <w:r>
              <w:rPr>
                <w:rFonts w:hint="default" w:ascii="Times New Roman" w:hAnsi="Times New Roman" w:cs="Times New Roman"/>
                <w:lang w:bidi="en-US"/>
              </w:rPr>
              <w:t>活性炭年更换频率为2.7次/a（以3次/a计）。</w:t>
            </w:r>
          </w:p>
          <w:p w14:paraId="5C3CA75C">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（5）废机油及其包装桶</w:t>
            </w:r>
          </w:p>
          <w:p w14:paraId="1DED6B43">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本项目生产设备在维护保养过程中需配合使用机油，需定期更换，该过程产生的废机油具有毒性，属于《国家危险废物名录》（2021年版）“HW08废矿物油与含矿物油废物”类别中代码为900-249-08（其他生产、销售、使用过程中产生的废矿物油）的废物。该部分废机油及其包装桶产生量约为0.1t/a。需委托有资质的危废公司进行处置。</w:t>
            </w:r>
          </w:p>
          <w:p w14:paraId="38389FF7">
            <w:pPr>
              <w:keepNext w:val="0"/>
              <w:keepLines w:val="0"/>
              <w:pageBreakBefore w:val="0"/>
              <w:widowControl/>
              <w:numPr>
                <w:ilvl w:val="0"/>
                <w:numId w:val="2"/>
              </w:numPr>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废氢氧化钠包装袋</w:t>
            </w:r>
          </w:p>
          <w:p w14:paraId="6F5D8A2A">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本项目自制淀粉胶过程中会产生少量的废氢氧化钠包装袋，，该部分产生量约为0.01t/a，属于《国家危险废物名录》（2021版）中危险废物，编号HW49号，废物代码900-041-49（含有或沾染毒性、感染性危险废物的废弃包装物、容器、过滤吸附介质），建设单位需交有危废资质单位进行处置。</w:t>
            </w:r>
          </w:p>
          <w:p w14:paraId="728A5960">
            <w:pPr>
              <w:keepNext w:val="0"/>
              <w:keepLines w:val="0"/>
              <w:pageBreakBefore w:val="0"/>
              <w:widowControl/>
              <w:numPr>
                <w:ilvl w:val="0"/>
                <w:numId w:val="2"/>
              </w:numPr>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废硼砂包装袋</w:t>
            </w:r>
          </w:p>
          <w:p w14:paraId="4093BC46">
            <w:pPr>
              <w:keepNext w:val="0"/>
              <w:keepLines w:val="0"/>
              <w:pageBreakBefore w:val="0"/>
              <w:widowControl/>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color w:val="000000"/>
                <w:kern w:val="0"/>
                <w:lang w:bidi="ar"/>
              </w:rPr>
            </w:pPr>
            <w:r>
              <w:rPr>
                <w:rFonts w:hint="default" w:ascii="Times New Roman" w:hAnsi="Times New Roman" w:cs="Times New Roman"/>
                <w:color w:val="000000"/>
                <w:kern w:val="0"/>
                <w:lang w:bidi="ar"/>
              </w:rPr>
              <w:t>本项目自制淀粉胶过程中会产生少量的废硼砂包装袋，硼砂成分为四硼酸钠，该部分产生量约为0.01t/a，属于《国家危险废物名录》（2021版）中危险废物，编号HW49号，废物代码900-041-49（含有或沾染毒性、感染性危险废物的废弃包装物、容器、过滤吸附介质），建设单位需交有危废资质单位进行处置。</w:t>
            </w:r>
          </w:p>
          <w:p w14:paraId="7EAAA1C4">
            <w:pPr>
              <w:keepNext w:val="0"/>
              <w:keepLines w:val="0"/>
              <w:pageBreakBefore w:val="0"/>
              <w:widowControl/>
              <w:numPr>
                <w:ilvl w:val="0"/>
                <w:numId w:val="2"/>
              </w:numPr>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rPr>
            </w:pPr>
            <w:r>
              <w:rPr>
                <w:rFonts w:hint="default" w:ascii="Times New Roman" w:hAnsi="Times New Roman" w:cs="Times New Roman"/>
                <w:color w:val="000000"/>
                <w:kern w:val="0"/>
                <w:lang w:bidi="ar"/>
              </w:rPr>
              <w:t>废印版：本项目不生产印版，印版为外购。随着印刷的次数增高或操作失误，导致产生少量废印刷版，根据企业生产经验，废印刷版产生量约2套/a，柔版印版重量在1-3kg/套，项目废印版产生量为0.004t/a。由于本项目所使用的油墨为水性油墨，且企业会使用自来水对印版进行清洗，故废印版上只会残留极少量干油墨，</w:t>
            </w:r>
            <w:r>
              <w:rPr>
                <w:rFonts w:hint="default" w:ascii="Times New Roman" w:hAnsi="Times New Roman" w:cs="Times New Roman"/>
              </w:rPr>
              <w:t>经查《国家危险废物名录》（2025年版），废物类别编号为HW49，废物代码为900-041-49，暂存于危废暂存间内，定期交由资质单位处置。</w:t>
            </w:r>
          </w:p>
          <w:p w14:paraId="730CE252">
            <w:pPr>
              <w:keepNext w:val="0"/>
              <w:keepLines w:val="0"/>
              <w:pageBreakBefore w:val="0"/>
              <w:widowControl/>
              <w:numPr>
                <w:ilvl w:val="0"/>
                <w:numId w:val="2"/>
              </w:numPr>
              <w:kinsoku/>
              <w:overflowPunct/>
              <w:topLinePunct w:val="0"/>
              <w:autoSpaceDE/>
              <w:autoSpaceDN/>
              <w:bidi w:val="0"/>
              <w:spacing w:line="460" w:lineRule="exact"/>
              <w:ind w:firstLine="480" w:firstLineChars="200"/>
              <w:jc w:val="left"/>
              <w:textAlignment w:val="auto"/>
              <w:rPr>
                <w:rFonts w:hint="default" w:ascii="Times New Roman" w:hAnsi="Times New Roman" w:cs="Times New Roman"/>
              </w:rPr>
            </w:pPr>
            <w:r>
              <w:rPr>
                <w:rFonts w:hint="default" w:ascii="Times New Roman" w:hAnsi="Times New Roman" w:cs="Times New Roman"/>
              </w:rPr>
              <w:t>废反渗透膜：项目锅炉用水需要使用软水，本项目软水制备采用反渗透工艺，反渗透膜约每年更换一次，每次更换量约0.05t，经查《国家危险废物名录》（2025年版），废物类别编号为HW13，废物代码为900-015-13，暂存于危废暂存间内，定期交由资质单位处置。</w:t>
            </w:r>
          </w:p>
          <w:p w14:paraId="50536963">
            <w:pPr>
              <w:pStyle w:val="37"/>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bCs/>
              </w:rPr>
            </w:pPr>
            <w:r>
              <w:rPr>
                <w:rFonts w:hint="default" w:ascii="Times New Roman" w:hAnsi="Times New Roman" w:cs="Times New Roman"/>
              </w:rPr>
              <w:t>项目固废产生情况汇总见下表。</w:t>
            </w:r>
          </w:p>
          <w:bookmarkEnd w:id="11"/>
          <w:bookmarkEnd w:id="12"/>
          <w:p w14:paraId="2AFECFB6">
            <w:pPr>
              <w:spacing w:line="460" w:lineRule="exact"/>
              <w:jc w:val="center"/>
              <w:rPr>
                <w:rFonts w:hint="default" w:ascii="Times New Roman" w:hAnsi="Times New Roman" w:cs="Times New Roman"/>
                <w:b/>
                <w:kern w:val="0"/>
                <w:sz w:val="21"/>
                <w:szCs w:val="22"/>
              </w:rPr>
            </w:pPr>
            <w:bookmarkStart w:id="13" w:name="_Hlk174023139"/>
            <w:r>
              <w:rPr>
                <w:rFonts w:hint="default" w:ascii="Times New Roman" w:hAnsi="Times New Roman" w:cs="Times New Roman"/>
                <w:b/>
                <w:kern w:val="0"/>
                <w:sz w:val="21"/>
                <w:szCs w:val="22"/>
              </w:rPr>
              <w:t>表 4-2</w:t>
            </w:r>
            <w:r>
              <w:rPr>
                <w:rFonts w:hint="eastAsia" w:cs="Times New Roman"/>
                <w:b/>
                <w:kern w:val="0"/>
                <w:sz w:val="21"/>
                <w:szCs w:val="22"/>
                <w:lang w:val="en-US" w:eastAsia="zh-CN"/>
              </w:rPr>
              <w:t>3</w:t>
            </w:r>
            <w:r>
              <w:rPr>
                <w:rFonts w:hint="default" w:ascii="Times New Roman" w:hAnsi="Times New Roman" w:cs="Times New Roman"/>
                <w:b/>
                <w:kern w:val="0"/>
                <w:sz w:val="21"/>
                <w:szCs w:val="22"/>
              </w:rPr>
              <w:t xml:space="preserve"> 本项目固废产生情况汇总表</w:t>
            </w:r>
          </w:p>
          <w:tbl>
            <w:tblPr>
              <w:tblStyle w:val="21"/>
              <w:tblW w:w="7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
              <w:gridCol w:w="864"/>
              <w:gridCol w:w="804"/>
              <w:gridCol w:w="525"/>
              <w:gridCol w:w="847"/>
              <w:gridCol w:w="498"/>
              <w:gridCol w:w="1338"/>
              <w:gridCol w:w="939"/>
              <w:gridCol w:w="835"/>
              <w:gridCol w:w="837"/>
            </w:tblGrid>
            <w:tr w14:paraId="11907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0C733D4E">
                  <w:pPr>
                    <w:pStyle w:val="29"/>
                    <w:rPr>
                      <w:b/>
                      <w:bCs/>
                      <w:sz w:val="21"/>
                      <w:szCs w:val="21"/>
                    </w:rPr>
                  </w:pPr>
                  <w:r>
                    <w:rPr>
                      <w:b/>
                      <w:bCs/>
                      <w:sz w:val="21"/>
                      <w:szCs w:val="21"/>
                    </w:rPr>
                    <w:t>序号</w:t>
                  </w:r>
                </w:p>
              </w:tc>
              <w:tc>
                <w:tcPr>
                  <w:tcW w:w="543" w:type="pct"/>
                  <w:vAlign w:val="center"/>
                </w:tcPr>
                <w:p w14:paraId="3C03980D">
                  <w:pPr>
                    <w:pStyle w:val="29"/>
                    <w:rPr>
                      <w:b/>
                      <w:bCs/>
                      <w:sz w:val="21"/>
                      <w:szCs w:val="21"/>
                    </w:rPr>
                  </w:pPr>
                  <w:r>
                    <w:rPr>
                      <w:b/>
                      <w:bCs/>
                      <w:sz w:val="21"/>
                      <w:szCs w:val="21"/>
                    </w:rPr>
                    <w:t>废物名称</w:t>
                  </w:r>
                </w:p>
              </w:tc>
              <w:tc>
                <w:tcPr>
                  <w:tcW w:w="505" w:type="pct"/>
                  <w:vAlign w:val="center"/>
                </w:tcPr>
                <w:p w14:paraId="70ED05D5">
                  <w:pPr>
                    <w:pStyle w:val="29"/>
                    <w:rPr>
                      <w:b/>
                      <w:bCs/>
                      <w:sz w:val="21"/>
                      <w:szCs w:val="21"/>
                    </w:rPr>
                  </w:pPr>
                  <w:r>
                    <w:rPr>
                      <w:b/>
                      <w:bCs/>
                      <w:sz w:val="21"/>
                      <w:szCs w:val="21"/>
                    </w:rPr>
                    <w:t>产污工序</w:t>
                  </w:r>
                </w:p>
              </w:tc>
              <w:tc>
                <w:tcPr>
                  <w:tcW w:w="330" w:type="pct"/>
                  <w:vAlign w:val="center"/>
                </w:tcPr>
                <w:p w14:paraId="5005B7C9">
                  <w:pPr>
                    <w:pStyle w:val="29"/>
                    <w:rPr>
                      <w:b/>
                      <w:bCs/>
                      <w:sz w:val="21"/>
                      <w:szCs w:val="21"/>
                    </w:rPr>
                  </w:pPr>
                  <w:r>
                    <w:rPr>
                      <w:b/>
                      <w:bCs/>
                      <w:sz w:val="21"/>
                      <w:szCs w:val="21"/>
                    </w:rPr>
                    <w:t>形态</w:t>
                  </w:r>
                </w:p>
              </w:tc>
              <w:tc>
                <w:tcPr>
                  <w:tcW w:w="532" w:type="pct"/>
                  <w:vAlign w:val="center"/>
                </w:tcPr>
                <w:p w14:paraId="06687A28">
                  <w:pPr>
                    <w:pStyle w:val="29"/>
                    <w:rPr>
                      <w:b/>
                      <w:bCs/>
                      <w:sz w:val="21"/>
                      <w:szCs w:val="21"/>
                    </w:rPr>
                  </w:pPr>
                  <w:r>
                    <w:rPr>
                      <w:b/>
                      <w:bCs/>
                      <w:sz w:val="21"/>
                      <w:szCs w:val="21"/>
                    </w:rPr>
                    <w:t>主要成分</w:t>
                  </w:r>
                </w:p>
              </w:tc>
              <w:tc>
                <w:tcPr>
                  <w:tcW w:w="313" w:type="pct"/>
                  <w:vAlign w:val="center"/>
                </w:tcPr>
                <w:p w14:paraId="712305BA">
                  <w:pPr>
                    <w:pStyle w:val="29"/>
                    <w:rPr>
                      <w:b/>
                      <w:bCs/>
                      <w:sz w:val="21"/>
                      <w:szCs w:val="21"/>
                    </w:rPr>
                  </w:pPr>
                  <w:r>
                    <w:rPr>
                      <w:b/>
                      <w:bCs/>
                      <w:sz w:val="21"/>
                      <w:szCs w:val="21"/>
                    </w:rPr>
                    <w:t>类别</w:t>
                  </w:r>
                </w:p>
              </w:tc>
              <w:tc>
                <w:tcPr>
                  <w:tcW w:w="841" w:type="pct"/>
                  <w:vAlign w:val="center"/>
                </w:tcPr>
                <w:p w14:paraId="679FAF6C">
                  <w:pPr>
                    <w:pStyle w:val="29"/>
                    <w:rPr>
                      <w:b/>
                      <w:bCs/>
                      <w:sz w:val="21"/>
                      <w:szCs w:val="21"/>
                    </w:rPr>
                  </w:pPr>
                  <w:r>
                    <w:rPr>
                      <w:b/>
                      <w:bCs/>
                      <w:sz w:val="21"/>
                      <w:szCs w:val="21"/>
                    </w:rPr>
                    <w:t>代码</w:t>
                  </w:r>
                </w:p>
              </w:tc>
              <w:tc>
                <w:tcPr>
                  <w:tcW w:w="590" w:type="pct"/>
                  <w:vAlign w:val="center"/>
                </w:tcPr>
                <w:p w14:paraId="7419B000">
                  <w:pPr>
                    <w:pStyle w:val="29"/>
                    <w:rPr>
                      <w:b/>
                      <w:bCs/>
                      <w:sz w:val="21"/>
                      <w:szCs w:val="21"/>
                    </w:rPr>
                  </w:pPr>
                  <w:r>
                    <w:rPr>
                      <w:b/>
                      <w:bCs/>
                      <w:sz w:val="21"/>
                      <w:szCs w:val="21"/>
                    </w:rPr>
                    <w:t>产生t/a量</w:t>
                  </w:r>
                </w:p>
              </w:tc>
              <w:tc>
                <w:tcPr>
                  <w:tcW w:w="525" w:type="pct"/>
                  <w:vAlign w:val="center"/>
                </w:tcPr>
                <w:p w14:paraId="1881F42D">
                  <w:pPr>
                    <w:pStyle w:val="29"/>
                    <w:rPr>
                      <w:b/>
                      <w:bCs/>
                      <w:sz w:val="21"/>
                      <w:szCs w:val="21"/>
                    </w:rPr>
                  </w:pPr>
                  <w:r>
                    <w:rPr>
                      <w:b/>
                      <w:bCs/>
                      <w:sz w:val="21"/>
                      <w:szCs w:val="21"/>
                    </w:rPr>
                    <w:t>环境危险特性</w:t>
                  </w:r>
                </w:p>
              </w:tc>
              <w:tc>
                <w:tcPr>
                  <w:tcW w:w="526" w:type="pct"/>
                  <w:vAlign w:val="center"/>
                </w:tcPr>
                <w:p w14:paraId="4C8125B5">
                  <w:pPr>
                    <w:pStyle w:val="29"/>
                    <w:rPr>
                      <w:b/>
                      <w:bCs/>
                      <w:sz w:val="21"/>
                      <w:szCs w:val="21"/>
                    </w:rPr>
                  </w:pPr>
                  <w:r>
                    <w:rPr>
                      <w:b/>
                      <w:bCs/>
                      <w:sz w:val="21"/>
                      <w:szCs w:val="21"/>
                    </w:rPr>
                    <w:t>处置措施</w:t>
                  </w:r>
                </w:p>
              </w:tc>
            </w:tr>
            <w:tr w14:paraId="0AB30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6E08275C">
                  <w:pPr>
                    <w:pStyle w:val="29"/>
                    <w:rPr>
                      <w:sz w:val="21"/>
                      <w:szCs w:val="21"/>
                    </w:rPr>
                  </w:pPr>
                  <w:r>
                    <w:rPr>
                      <w:sz w:val="21"/>
                      <w:szCs w:val="21"/>
                    </w:rPr>
                    <w:t>1</w:t>
                  </w:r>
                </w:p>
              </w:tc>
              <w:tc>
                <w:tcPr>
                  <w:tcW w:w="543" w:type="pct"/>
                  <w:vAlign w:val="center"/>
                </w:tcPr>
                <w:p w14:paraId="49DAEBB5">
                  <w:pPr>
                    <w:pStyle w:val="29"/>
                    <w:rPr>
                      <w:sz w:val="21"/>
                      <w:szCs w:val="21"/>
                    </w:rPr>
                  </w:pPr>
                  <w:r>
                    <w:rPr>
                      <w:sz w:val="21"/>
                      <w:szCs w:val="21"/>
                    </w:rPr>
                    <w:t>废边角料、不合格品</w:t>
                  </w:r>
                </w:p>
              </w:tc>
              <w:tc>
                <w:tcPr>
                  <w:tcW w:w="505" w:type="pct"/>
                  <w:vAlign w:val="center"/>
                </w:tcPr>
                <w:p w14:paraId="6E915F2F">
                  <w:pPr>
                    <w:pStyle w:val="29"/>
                    <w:rPr>
                      <w:sz w:val="21"/>
                      <w:szCs w:val="21"/>
                    </w:rPr>
                  </w:pPr>
                  <w:r>
                    <w:rPr>
                      <w:sz w:val="21"/>
                      <w:szCs w:val="21"/>
                    </w:rPr>
                    <w:t>生产工艺</w:t>
                  </w:r>
                </w:p>
              </w:tc>
              <w:tc>
                <w:tcPr>
                  <w:tcW w:w="330" w:type="pct"/>
                  <w:vAlign w:val="center"/>
                </w:tcPr>
                <w:p w14:paraId="59FD8582">
                  <w:pPr>
                    <w:pStyle w:val="29"/>
                    <w:rPr>
                      <w:sz w:val="21"/>
                      <w:szCs w:val="21"/>
                    </w:rPr>
                  </w:pPr>
                  <w:r>
                    <w:rPr>
                      <w:sz w:val="21"/>
                      <w:szCs w:val="21"/>
                    </w:rPr>
                    <w:t>固态</w:t>
                  </w:r>
                </w:p>
              </w:tc>
              <w:tc>
                <w:tcPr>
                  <w:tcW w:w="532" w:type="pct"/>
                  <w:vAlign w:val="center"/>
                </w:tcPr>
                <w:p w14:paraId="6DF7BABE">
                  <w:pPr>
                    <w:pStyle w:val="29"/>
                    <w:rPr>
                      <w:sz w:val="21"/>
                      <w:szCs w:val="21"/>
                    </w:rPr>
                  </w:pPr>
                  <w:r>
                    <w:rPr>
                      <w:sz w:val="21"/>
                      <w:szCs w:val="21"/>
                    </w:rPr>
                    <w:t>纸板</w:t>
                  </w:r>
                </w:p>
              </w:tc>
              <w:tc>
                <w:tcPr>
                  <w:tcW w:w="313" w:type="pct"/>
                  <w:vMerge w:val="restart"/>
                  <w:vAlign w:val="center"/>
                </w:tcPr>
                <w:p w14:paraId="53C40827">
                  <w:pPr>
                    <w:pStyle w:val="29"/>
                    <w:rPr>
                      <w:sz w:val="21"/>
                      <w:szCs w:val="21"/>
                    </w:rPr>
                  </w:pPr>
                  <w:r>
                    <w:rPr>
                      <w:sz w:val="21"/>
                      <w:szCs w:val="21"/>
                    </w:rPr>
                    <w:t>一般固废</w:t>
                  </w:r>
                </w:p>
                <w:p w14:paraId="167C7695">
                  <w:pPr>
                    <w:pStyle w:val="29"/>
                    <w:rPr>
                      <w:sz w:val="21"/>
                      <w:szCs w:val="21"/>
                    </w:rPr>
                  </w:pPr>
                </w:p>
              </w:tc>
              <w:tc>
                <w:tcPr>
                  <w:tcW w:w="841" w:type="pct"/>
                  <w:vAlign w:val="center"/>
                </w:tcPr>
                <w:p w14:paraId="2279A732">
                  <w:pPr>
                    <w:pStyle w:val="29"/>
                    <w:rPr>
                      <w:sz w:val="21"/>
                      <w:szCs w:val="21"/>
                    </w:rPr>
                  </w:pPr>
                  <w:r>
                    <w:rPr>
                      <w:sz w:val="21"/>
                      <w:szCs w:val="21"/>
                    </w:rPr>
                    <w:t>SW17</w:t>
                  </w:r>
                </w:p>
                <w:p w14:paraId="300FF9A3">
                  <w:pPr>
                    <w:pStyle w:val="29"/>
                    <w:rPr>
                      <w:sz w:val="21"/>
                      <w:szCs w:val="21"/>
                    </w:rPr>
                  </w:pPr>
                  <w:r>
                    <w:rPr>
                      <w:sz w:val="21"/>
                      <w:szCs w:val="21"/>
                    </w:rPr>
                    <w:t>900-005-S17</w:t>
                  </w:r>
                </w:p>
              </w:tc>
              <w:tc>
                <w:tcPr>
                  <w:tcW w:w="590" w:type="pct"/>
                  <w:vAlign w:val="center"/>
                </w:tcPr>
                <w:p w14:paraId="6FE8BF33">
                  <w:pPr>
                    <w:pStyle w:val="29"/>
                    <w:rPr>
                      <w:sz w:val="21"/>
                      <w:szCs w:val="21"/>
                    </w:rPr>
                  </w:pPr>
                  <w:r>
                    <w:rPr>
                      <w:sz w:val="21"/>
                      <w:szCs w:val="21"/>
                    </w:rPr>
                    <w:t>600</w:t>
                  </w:r>
                </w:p>
              </w:tc>
              <w:tc>
                <w:tcPr>
                  <w:tcW w:w="525" w:type="pct"/>
                  <w:vAlign w:val="center"/>
                </w:tcPr>
                <w:p w14:paraId="4EFBF153">
                  <w:pPr>
                    <w:pStyle w:val="29"/>
                    <w:rPr>
                      <w:sz w:val="21"/>
                      <w:szCs w:val="21"/>
                    </w:rPr>
                  </w:pPr>
                  <w:r>
                    <w:rPr>
                      <w:sz w:val="21"/>
                      <w:szCs w:val="21"/>
                    </w:rPr>
                    <w:t>/</w:t>
                  </w:r>
                </w:p>
              </w:tc>
              <w:tc>
                <w:tcPr>
                  <w:tcW w:w="526" w:type="pct"/>
                  <w:vMerge w:val="restart"/>
                  <w:vAlign w:val="center"/>
                </w:tcPr>
                <w:p w14:paraId="3265E946">
                  <w:pPr>
                    <w:pStyle w:val="29"/>
                    <w:rPr>
                      <w:sz w:val="21"/>
                      <w:szCs w:val="21"/>
                    </w:rPr>
                  </w:pPr>
                  <w:r>
                    <w:rPr>
                      <w:sz w:val="21"/>
                      <w:szCs w:val="21"/>
                    </w:rPr>
                    <w:t>外售物资公司</w:t>
                  </w:r>
                </w:p>
              </w:tc>
            </w:tr>
            <w:tr w14:paraId="69565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1022CDA1">
                  <w:pPr>
                    <w:pStyle w:val="29"/>
                    <w:rPr>
                      <w:sz w:val="21"/>
                      <w:szCs w:val="21"/>
                    </w:rPr>
                  </w:pPr>
                  <w:r>
                    <w:rPr>
                      <w:sz w:val="21"/>
                      <w:szCs w:val="21"/>
                    </w:rPr>
                    <w:t>2</w:t>
                  </w:r>
                </w:p>
              </w:tc>
              <w:tc>
                <w:tcPr>
                  <w:tcW w:w="543" w:type="pct"/>
                  <w:vAlign w:val="center"/>
                </w:tcPr>
                <w:p w14:paraId="2237500A">
                  <w:pPr>
                    <w:pStyle w:val="29"/>
                    <w:rPr>
                      <w:sz w:val="21"/>
                      <w:szCs w:val="21"/>
                    </w:rPr>
                  </w:pPr>
                  <w:r>
                    <w:rPr>
                      <w:sz w:val="21"/>
                      <w:szCs w:val="21"/>
                    </w:rPr>
                    <w:t>废玉米粉包装袋</w:t>
                  </w:r>
                </w:p>
              </w:tc>
              <w:tc>
                <w:tcPr>
                  <w:tcW w:w="505" w:type="pct"/>
                  <w:vAlign w:val="center"/>
                </w:tcPr>
                <w:p w14:paraId="3F064C1A">
                  <w:pPr>
                    <w:pStyle w:val="29"/>
                    <w:rPr>
                      <w:sz w:val="21"/>
                      <w:szCs w:val="21"/>
                    </w:rPr>
                  </w:pPr>
                  <w:r>
                    <w:rPr>
                      <w:sz w:val="21"/>
                      <w:szCs w:val="21"/>
                    </w:rPr>
                    <w:t>制胶工序</w:t>
                  </w:r>
                </w:p>
              </w:tc>
              <w:tc>
                <w:tcPr>
                  <w:tcW w:w="330" w:type="pct"/>
                  <w:vAlign w:val="center"/>
                </w:tcPr>
                <w:p w14:paraId="6FA24B52">
                  <w:pPr>
                    <w:pStyle w:val="29"/>
                    <w:rPr>
                      <w:sz w:val="21"/>
                      <w:szCs w:val="21"/>
                    </w:rPr>
                  </w:pPr>
                  <w:r>
                    <w:rPr>
                      <w:sz w:val="21"/>
                      <w:szCs w:val="21"/>
                    </w:rPr>
                    <w:t>固态</w:t>
                  </w:r>
                </w:p>
              </w:tc>
              <w:tc>
                <w:tcPr>
                  <w:tcW w:w="532" w:type="pct"/>
                  <w:vAlign w:val="center"/>
                </w:tcPr>
                <w:p w14:paraId="40308CBD">
                  <w:pPr>
                    <w:pStyle w:val="29"/>
                    <w:rPr>
                      <w:sz w:val="21"/>
                      <w:szCs w:val="21"/>
                    </w:rPr>
                  </w:pPr>
                  <w:r>
                    <w:rPr>
                      <w:sz w:val="21"/>
                      <w:szCs w:val="21"/>
                    </w:rPr>
                    <w:t>包装袋</w:t>
                  </w:r>
                </w:p>
              </w:tc>
              <w:tc>
                <w:tcPr>
                  <w:tcW w:w="313" w:type="pct"/>
                  <w:vMerge w:val="continue"/>
                  <w:vAlign w:val="center"/>
                </w:tcPr>
                <w:p w14:paraId="2194038E">
                  <w:pPr>
                    <w:pStyle w:val="29"/>
                    <w:rPr>
                      <w:sz w:val="21"/>
                      <w:szCs w:val="21"/>
                    </w:rPr>
                  </w:pPr>
                </w:p>
              </w:tc>
              <w:tc>
                <w:tcPr>
                  <w:tcW w:w="841" w:type="pct"/>
                  <w:vAlign w:val="center"/>
                </w:tcPr>
                <w:p w14:paraId="465930B5">
                  <w:pPr>
                    <w:pStyle w:val="29"/>
                    <w:rPr>
                      <w:sz w:val="21"/>
                      <w:szCs w:val="21"/>
                    </w:rPr>
                  </w:pPr>
                  <w:r>
                    <w:rPr>
                      <w:sz w:val="21"/>
                      <w:szCs w:val="21"/>
                    </w:rPr>
                    <w:t>SW59</w:t>
                  </w:r>
                </w:p>
                <w:p w14:paraId="66AE6C97">
                  <w:pPr>
                    <w:pStyle w:val="29"/>
                    <w:rPr>
                      <w:sz w:val="21"/>
                      <w:szCs w:val="21"/>
                    </w:rPr>
                  </w:pPr>
                  <w:r>
                    <w:rPr>
                      <w:sz w:val="21"/>
                      <w:szCs w:val="21"/>
                    </w:rPr>
                    <w:t>900-099-S59</w:t>
                  </w:r>
                </w:p>
              </w:tc>
              <w:tc>
                <w:tcPr>
                  <w:tcW w:w="590" w:type="pct"/>
                  <w:vAlign w:val="center"/>
                </w:tcPr>
                <w:p w14:paraId="4C88B8B8">
                  <w:pPr>
                    <w:pStyle w:val="29"/>
                    <w:rPr>
                      <w:sz w:val="21"/>
                      <w:szCs w:val="21"/>
                    </w:rPr>
                  </w:pPr>
                  <w:r>
                    <w:rPr>
                      <w:sz w:val="21"/>
                      <w:szCs w:val="21"/>
                    </w:rPr>
                    <w:t>0.01</w:t>
                  </w:r>
                </w:p>
              </w:tc>
              <w:tc>
                <w:tcPr>
                  <w:tcW w:w="525" w:type="pct"/>
                  <w:vAlign w:val="center"/>
                </w:tcPr>
                <w:p w14:paraId="342338D8">
                  <w:pPr>
                    <w:pStyle w:val="29"/>
                    <w:rPr>
                      <w:sz w:val="21"/>
                      <w:szCs w:val="21"/>
                    </w:rPr>
                  </w:pPr>
                  <w:r>
                    <w:rPr>
                      <w:sz w:val="21"/>
                      <w:szCs w:val="21"/>
                    </w:rPr>
                    <w:t>/</w:t>
                  </w:r>
                </w:p>
              </w:tc>
              <w:tc>
                <w:tcPr>
                  <w:tcW w:w="526" w:type="pct"/>
                  <w:vMerge w:val="continue"/>
                  <w:vAlign w:val="center"/>
                </w:tcPr>
                <w:p w14:paraId="464893AE">
                  <w:pPr>
                    <w:pStyle w:val="29"/>
                    <w:rPr>
                      <w:sz w:val="21"/>
                      <w:szCs w:val="21"/>
                    </w:rPr>
                  </w:pPr>
                </w:p>
              </w:tc>
            </w:tr>
            <w:tr w14:paraId="53374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2FA9CAFB">
                  <w:pPr>
                    <w:pStyle w:val="29"/>
                    <w:rPr>
                      <w:sz w:val="21"/>
                      <w:szCs w:val="21"/>
                    </w:rPr>
                  </w:pPr>
                  <w:r>
                    <w:rPr>
                      <w:sz w:val="21"/>
                      <w:szCs w:val="21"/>
                    </w:rPr>
                    <w:t>3</w:t>
                  </w:r>
                </w:p>
              </w:tc>
              <w:tc>
                <w:tcPr>
                  <w:tcW w:w="543" w:type="pct"/>
                  <w:vAlign w:val="center"/>
                </w:tcPr>
                <w:p w14:paraId="1FDCDE45">
                  <w:pPr>
                    <w:pStyle w:val="29"/>
                    <w:rPr>
                      <w:sz w:val="21"/>
                      <w:szCs w:val="21"/>
                    </w:rPr>
                  </w:pPr>
                  <w:r>
                    <w:rPr>
                      <w:sz w:val="21"/>
                      <w:szCs w:val="21"/>
                    </w:rPr>
                    <w:t>废扁丝</w:t>
                  </w:r>
                </w:p>
              </w:tc>
              <w:tc>
                <w:tcPr>
                  <w:tcW w:w="505" w:type="pct"/>
                  <w:vAlign w:val="center"/>
                </w:tcPr>
                <w:p w14:paraId="7747C3CC">
                  <w:pPr>
                    <w:pStyle w:val="29"/>
                    <w:rPr>
                      <w:sz w:val="21"/>
                      <w:szCs w:val="21"/>
                    </w:rPr>
                  </w:pPr>
                  <w:r>
                    <w:rPr>
                      <w:sz w:val="21"/>
                      <w:szCs w:val="21"/>
                    </w:rPr>
                    <w:t>钉箱</w:t>
                  </w:r>
                </w:p>
              </w:tc>
              <w:tc>
                <w:tcPr>
                  <w:tcW w:w="330" w:type="pct"/>
                  <w:vAlign w:val="center"/>
                </w:tcPr>
                <w:p w14:paraId="172F54EF">
                  <w:pPr>
                    <w:pStyle w:val="29"/>
                    <w:rPr>
                      <w:sz w:val="21"/>
                      <w:szCs w:val="21"/>
                    </w:rPr>
                  </w:pPr>
                  <w:r>
                    <w:rPr>
                      <w:sz w:val="21"/>
                      <w:szCs w:val="21"/>
                    </w:rPr>
                    <w:t>固态</w:t>
                  </w:r>
                </w:p>
              </w:tc>
              <w:tc>
                <w:tcPr>
                  <w:tcW w:w="532" w:type="pct"/>
                  <w:vAlign w:val="center"/>
                </w:tcPr>
                <w:p w14:paraId="0DDA16FD">
                  <w:pPr>
                    <w:pStyle w:val="29"/>
                    <w:rPr>
                      <w:sz w:val="21"/>
                      <w:szCs w:val="21"/>
                    </w:rPr>
                  </w:pPr>
                  <w:r>
                    <w:rPr>
                      <w:sz w:val="21"/>
                      <w:szCs w:val="21"/>
                    </w:rPr>
                    <w:t>扁丝</w:t>
                  </w:r>
                </w:p>
              </w:tc>
              <w:tc>
                <w:tcPr>
                  <w:tcW w:w="313" w:type="pct"/>
                  <w:vMerge w:val="continue"/>
                  <w:vAlign w:val="center"/>
                </w:tcPr>
                <w:p w14:paraId="02B0AA4D">
                  <w:pPr>
                    <w:pStyle w:val="29"/>
                    <w:rPr>
                      <w:sz w:val="21"/>
                      <w:szCs w:val="21"/>
                    </w:rPr>
                  </w:pPr>
                </w:p>
              </w:tc>
              <w:tc>
                <w:tcPr>
                  <w:tcW w:w="841" w:type="pct"/>
                  <w:vAlign w:val="center"/>
                </w:tcPr>
                <w:p w14:paraId="4E81FCE6">
                  <w:pPr>
                    <w:pStyle w:val="29"/>
                    <w:rPr>
                      <w:sz w:val="21"/>
                      <w:szCs w:val="21"/>
                    </w:rPr>
                  </w:pPr>
                  <w:r>
                    <w:rPr>
                      <w:sz w:val="21"/>
                      <w:szCs w:val="21"/>
                    </w:rPr>
                    <w:t>/</w:t>
                  </w:r>
                </w:p>
              </w:tc>
              <w:tc>
                <w:tcPr>
                  <w:tcW w:w="590" w:type="pct"/>
                  <w:vAlign w:val="center"/>
                </w:tcPr>
                <w:p w14:paraId="6BCFF4D9">
                  <w:pPr>
                    <w:pStyle w:val="29"/>
                    <w:rPr>
                      <w:sz w:val="21"/>
                      <w:szCs w:val="21"/>
                    </w:rPr>
                  </w:pPr>
                  <w:r>
                    <w:rPr>
                      <w:sz w:val="21"/>
                      <w:szCs w:val="21"/>
                    </w:rPr>
                    <w:t>0.01</w:t>
                  </w:r>
                </w:p>
              </w:tc>
              <w:tc>
                <w:tcPr>
                  <w:tcW w:w="525" w:type="pct"/>
                  <w:vAlign w:val="center"/>
                </w:tcPr>
                <w:p w14:paraId="23F10BE4">
                  <w:pPr>
                    <w:pStyle w:val="29"/>
                    <w:rPr>
                      <w:sz w:val="21"/>
                      <w:szCs w:val="21"/>
                    </w:rPr>
                  </w:pPr>
                  <w:r>
                    <w:rPr>
                      <w:sz w:val="21"/>
                      <w:szCs w:val="21"/>
                    </w:rPr>
                    <w:t>/</w:t>
                  </w:r>
                </w:p>
              </w:tc>
              <w:tc>
                <w:tcPr>
                  <w:tcW w:w="526" w:type="pct"/>
                  <w:vMerge w:val="continue"/>
                  <w:vAlign w:val="center"/>
                </w:tcPr>
                <w:p w14:paraId="7161E265">
                  <w:pPr>
                    <w:pStyle w:val="29"/>
                    <w:rPr>
                      <w:sz w:val="21"/>
                      <w:szCs w:val="21"/>
                    </w:rPr>
                  </w:pPr>
                </w:p>
              </w:tc>
            </w:tr>
            <w:tr w14:paraId="22E99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09F405D6">
                  <w:pPr>
                    <w:pStyle w:val="29"/>
                    <w:rPr>
                      <w:sz w:val="21"/>
                      <w:szCs w:val="21"/>
                    </w:rPr>
                  </w:pPr>
                  <w:r>
                    <w:rPr>
                      <w:sz w:val="21"/>
                      <w:szCs w:val="21"/>
                    </w:rPr>
                    <w:t>4</w:t>
                  </w:r>
                </w:p>
              </w:tc>
              <w:tc>
                <w:tcPr>
                  <w:tcW w:w="543" w:type="pct"/>
                  <w:vAlign w:val="center"/>
                </w:tcPr>
                <w:p w14:paraId="71908BA6">
                  <w:pPr>
                    <w:pStyle w:val="29"/>
                    <w:rPr>
                      <w:sz w:val="21"/>
                      <w:szCs w:val="21"/>
                    </w:rPr>
                  </w:pPr>
                  <w:r>
                    <w:rPr>
                      <w:sz w:val="21"/>
                      <w:szCs w:val="21"/>
                    </w:rPr>
                    <w:t>生活垃圾</w:t>
                  </w:r>
                </w:p>
              </w:tc>
              <w:tc>
                <w:tcPr>
                  <w:tcW w:w="505" w:type="pct"/>
                  <w:vAlign w:val="center"/>
                </w:tcPr>
                <w:p w14:paraId="514A6640">
                  <w:pPr>
                    <w:pStyle w:val="29"/>
                    <w:rPr>
                      <w:sz w:val="21"/>
                      <w:szCs w:val="21"/>
                    </w:rPr>
                  </w:pPr>
                  <w:r>
                    <w:rPr>
                      <w:sz w:val="21"/>
                      <w:szCs w:val="21"/>
                    </w:rPr>
                    <w:t>员工生活</w:t>
                  </w:r>
                </w:p>
              </w:tc>
              <w:tc>
                <w:tcPr>
                  <w:tcW w:w="330" w:type="pct"/>
                  <w:vAlign w:val="center"/>
                </w:tcPr>
                <w:p w14:paraId="2E418456">
                  <w:pPr>
                    <w:pStyle w:val="29"/>
                    <w:rPr>
                      <w:sz w:val="21"/>
                      <w:szCs w:val="21"/>
                    </w:rPr>
                  </w:pPr>
                  <w:r>
                    <w:rPr>
                      <w:sz w:val="21"/>
                      <w:szCs w:val="21"/>
                    </w:rPr>
                    <w:t>固态</w:t>
                  </w:r>
                </w:p>
              </w:tc>
              <w:tc>
                <w:tcPr>
                  <w:tcW w:w="532" w:type="pct"/>
                  <w:vAlign w:val="center"/>
                </w:tcPr>
                <w:p w14:paraId="227E9DFA">
                  <w:pPr>
                    <w:pStyle w:val="29"/>
                    <w:rPr>
                      <w:sz w:val="21"/>
                      <w:szCs w:val="21"/>
                    </w:rPr>
                  </w:pPr>
                  <w:r>
                    <w:rPr>
                      <w:sz w:val="21"/>
                      <w:szCs w:val="21"/>
                    </w:rPr>
                    <w:t>生活垃圾</w:t>
                  </w:r>
                </w:p>
              </w:tc>
              <w:tc>
                <w:tcPr>
                  <w:tcW w:w="313" w:type="pct"/>
                  <w:vAlign w:val="center"/>
                </w:tcPr>
                <w:p w14:paraId="6E7F4547">
                  <w:pPr>
                    <w:pStyle w:val="29"/>
                    <w:rPr>
                      <w:sz w:val="21"/>
                      <w:szCs w:val="21"/>
                    </w:rPr>
                  </w:pPr>
                  <w:r>
                    <w:rPr>
                      <w:sz w:val="21"/>
                      <w:szCs w:val="21"/>
                    </w:rPr>
                    <w:t>/</w:t>
                  </w:r>
                </w:p>
              </w:tc>
              <w:tc>
                <w:tcPr>
                  <w:tcW w:w="841" w:type="pct"/>
                  <w:vAlign w:val="center"/>
                </w:tcPr>
                <w:p w14:paraId="23919D3F">
                  <w:pPr>
                    <w:pStyle w:val="29"/>
                    <w:rPr>
                      <w:sz w:val="21"/>
                      <w:szCs w:val="21"/>
                    </w:rPr>
                  </w:pPr>
                  <w:r>
                    <w:rPr>
                      <w:sz w:val="21"/>
                      <w:szCs w:val="21"/>
                    </w:rPr>
                    <w:t>/</w:t>
                  </w:r>
                </w:p>
              </w:tc>
              <w:tc>
                <w:tcPr>
                  <w:tcW w:w="590" w:type="pct"/>
                  <w:vAlign w:val="center"/>
                </w:tcPr>
                <w:p w14:paraId="244A3575">
                  <w:pPr>
                    <w:pStyle w:val="29"/>
                    <w:rPr>
                      <w:sz w:val="21"/>
                      <w:szCs w:val="21"/>
                    </w:rPr>
                  </w:pPr>
                  <w:r>
                    <w:rPr>
                      <w:sz w:val="21"/>
                      <w:szCs w:val="21"/>
                    </w:rPr>
                    <w:t>6.6</w:t>
                  </w:r>
                </w:p>
              </w:tc>
              <w:tc>
                <w:tcPr>
                  <w:tcW w:w="525" w:type="pct"/>
                  <w:vAlign w:val="center"/>
                </w:tcPr>
                <w:p w14:paraId="4DF18C7D">
                  <w:pPr>
                    <w:pStyle w:val="29"/>
                    <w:rPr>
                      <w:sz w:val="21"/>
                      <w:szCs w:val="21"/>
                    </w:rPr>
                  </w:pPr>
                  <w:r>
                    <w:rPr>
                      <w:sz w:val="21"/>
                      <w:szCs w:val="21"/>
                    </w:rPr>
                    <w:t>/</w:t>
                  </w:r>
                </w:p>
              </w:tc>
              <w:tc>
                <w:tcPr>
                  <w:tcW w:w="526" w:type="pct"/>
                  <w:vAlign w:val="center"/>
                </w:tcPr>
                <w:p w14:paraId="46A78016">
                  <w:pPr>
                    <w:pStyle w:val="29"/>
                    <w:rPr>
                      <w:sz w:val="21"/>
                      <w:szCs w:val="21"/>
                    </w:rPr>
                  </w:pPr>
                  <w:r>
                    <w:rPr>
                      <w:sz w:val="21"/>
                      <w:szCs w:val="21"/>
                    </w:rPr>
                    <w:t>环卫部门处理</w:t>
                  </w:r>
                </w:p>
              </w:tc>
            </w:tr>
            <w:tr w14:paraId="1AD2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771E9E79">
                  <w:pPr>
                    <w:pStyle w:val="29"/>
                    <w:rPr>
                      <w:sz w:val="21"/>
                      <w:szCs w:val="21"/>
                    </w:rPr>
                  </w:pPr>
                  <w:r>
                    <w:rPr>
                      <w:sz w:val="21"/>
                      <w:szCs w:val="21"/>
                    </w:rPr>
                    <w:t>5</w:t>
                  </w:r>
                </w:p>
              </w:tc>
              <w:tc>
                <w:tcPr>
                  <w:tcW w:w="543" w:type="pct"/>
                  <w:vAlign w:val="center"/>
                </w:tcPr>
                <w:p w14:paraId="6CB279FF">
                  <w:pPr>
                    <w:pStyle w:val="29"/>
                    <w:rPr>
                      <w:sz w:val="21"/>
                      <w:szCs w:val="21"/>
                    </w:rPr>
                  </w:pPr>
                  <w:r>
                    <w:rPr>
                      <w:sz w:val="21"/>
                      <w:szCs w:val="21"/>
                    </w:rPr>
                    <w:t>废包装桶</w:t>
                  </w:r>
                </w:p>
              </w:tc>
              <w:tc>
                <w:tcPr>
                  <w:tcW w:w="505" w:type="pct"/>
                  <w:vAlign w:val="center"/>
                </w:tcPr>
                <w:p w14:paraId="15FF1729">
                  <w:pPr>
                    <w:pStyle w:val="29"/>
                    <w:rPr>
                      <w:sz w:val="21"/>
                      <w:szCs w:val="21"/>
                    </w:rPr>
                  </w:pPr>
                  <w:r>
                    <w:rPr>
                      <w:sz w:val="21"/>
                      <w:szCs w:val="21"/>
                    </w:rPr>
                    <w:t>印刷</w:t>
                  </w:r>
                </w:p>
              </w:tc>
              <w:tc>
                <w:tcPr>
                  <w:tcW w:w="330" w:type="pct"/>
                  <w:vAlign w:val="center"/>
                </w:tcPr>
                <w:p w14:paraId="76284C8B">
                  <w:pPr>
                    <w:pStyle w:val="29"/>
                    <w:rPr>
                      <w:sz w:val="21"/>
                      <w:szCs w:val="21"/>
                    </w:rPr>
                  </w:pPr>
                  <w:r>
                    <w:rPr>
                      <w:sz w:val="21"/>
                      <w:szCs w:val="21"/>
                    </w:rPr>
                    <w:t>固态</w:t>
                  </w:r>
                </w:p>
              </w:tc>
              <w:tc>
                <w:tcPr>
                  <w:tcW w:w="532" w:type="pct"/>
                  <w:vAlign w:val="center"/>
                </w:tcPr>
                <w:p w14:paraId="030D69BC">
                  <w:pPr>
                    <w:pStyle w:val="29"/>
                    <w:rPr>
                      <w:sz w:val="21"/>
                      <w:szCs w:val="21"/>
                    </w:rPr>
                  </w:pPr>
                  <w:r>
                    <w:rPr>
                      <w:sz w:val="21"/>
                      <w:szCs w:val="21"/>
                    </w:rPr>
                    <w:t>水性油墨</w:t>
                  </w:r>
                </w:p>
              </w:tc>
              <w:tc>
                <w:tcPr>
                  <w:tcW w:w="313" w:type="pct"/>
                  <w:vMerge w:val="restart"/>
                  <w:vAlign w:val="center"/>
                </w:tcPr>
                <w:p w14:paraId="349E00E1">
                  <w:pPr>
                    <w:pStyle w:val="29"/>
                    <w:rPr>
                      <w:sz w:val="21"/>
                      <w:szCs w:val="21"/>
                    </w:rPr>
                  </w:pPr>
                  <w:r>
                    <w:rPr>
                      <w:sz w:val="21"/>
                      <w:szCs w:val="21"/>
                    </w:rPr>
                    <w:t>危险废物</w:t>
                  </w:r>
                </w:p>
                <w:p w14:paraId="2C947855">
                  <w:pPr>
                    <w:pStyle w:val="29"/>
                    <w:rPr>
                      <w:sz w:val="21"/>
                      <w:szCs w:val="21"/>
                    </w:rPr>
                  </w:pPr>
                  <w:r>
                    <w:rPr>
                      <w:sz w:val="21"/>
                      <w:szCs w:val="21"/>
                    </w:rPr>
                    <w:t>危险废物</w:t>
                  </w:r>
                </w:p>
              </w:tc>
              <w:tc>
                <w:tcPr>
                  <w:tcW w:w="841" w:type="pct"/>
                  <w:vAlign w:val="center"/>
                </w:tcPr>
                <w:p w14:paraId="56D90F06">
                  <w:pPr>
                    <w:pStyle w:val="29"/>
                    <w:rPr>
                      <w:sz w:val="21"/>
                      <w:szCs w:val="21"/>
                    </w:rPr>
                  </w:pPr>
                  <w:r>
                    <w:rPr>
                      <w:sz w:val="21"/>
                      <w:szCs w:val="21"/>
                    </w:rPr>
                    <w:t>HW49</w:t>
                  </w:r>
                </w:p>
                <w:p w14:paraId="60223138">
                  <w:pPr>
                    <w:pStyle w:val="29"/>
                    <w:rPr>
                      <w:sz w:val="21"/>
                      <w:szCs w:val="21"/>
                    </w:rPr>
                  </w:pPr>
                  <w:r>
                    <w:rPr>
                      <w:sz w:val="21"/>
                      <w:szCs w:val="21"/>
                    </w:rPr>
                    <w:t>900-041-49</w:t>
                  </w:r>
                </w:p>
              </w:tc>
              <w:tc>
                <w:tcPr>
                  <w:tcW w:w="590" w:type="pct"/>
                  <w:vAlign w:val="center"/>
                </w:tcPr>
                <w:p w14:paraId="1AC71B98">
                  <w:pPr>
                    <w:pStyle w:val="29"/>
                    <w:rPr>
                      <w:sz w:val="21"/>
                      <w:szCs w:val="21"/>
                    </w:rPr>
                  </w:pPr>
                  <w:r>
                    <w:rPr>
                      <w:sz w:val="21"/>
                      <w:szCs w:val="21"/>
                    </w:rPr>
                    <w:t>0.028</w:t>
                  </w:r>
                </w:p>
              </w:tc>
              <w:tc>
                <w:tcPr>
                  <w:tcW w:w="525" w:type="pct"/>
                  <w:vAlign w:val="center"/>
                </w:tcPr>
                <w:p w14:paraId="637A5F6C">
                  <w:pPr>
                    <w:pStyle w:val="29"/>
                    <w:rPr>
                      <w:sz w:val="21"/>
                      <w:szCs w:val="21"/>
                    </w:rPr>
                  </w:pPr>
                  <w:r>
                    <w:rPr>
                      <w:sz w:val="21"/>
                      <w:szCs w:val="21"/>
                    </w:rPr>
                    <w:t>T,I</w:t>
                  </w:r>
                </w:p>
              </w:tc>
              <w:tc>
                <w:tcPr>
                  <w:tcW w:w="526" w:type="pct"/>
                  <w:vMerge w:val="restart"/>
                  <w:vAlign w:val="center"/>
                </w:tcPr>
                <w:p w14:paraId="68AB9DD4">
                  <w:pPr>
                    <w:pStyle w:val="29"/>
                    <w:rPr>
                      <w:sz w:val="21"/>
                      <w:szCs w:val="21"/>
                    </w:rPr>
                  </w:pPr>
                  <w:r>
                    <w:rPr>
                      <w:sz w:val="21"/>
                      <w:szCs w:val="21"/>
                    </w:rPr>
                    <w:t>委托有资质单位处理</w:t>
                  </w:r>
                </w:p>
              </w:tc>
            </w:tr>
            <w:tr w14:paraId="12999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234C96E2">
                  <w:pPr>
                    <w:pStyle w:val="29"/>
                    <w:rPr>
                      <w:sz w:val="21"/>
                      <w:szCs w:val="21"/>
                    </w:rPr>
                  </w:pPr>
                  <w:r>
                    <w:rPr>
                      <w:sz w:val="21"/>
                      <w:szCs w:val="21"/>
                    </w:rPr>
                    <w:t>6</w:t>
                  </w:r>
                </w:p>
              </w:tc>
              <w:tc>
                <w:tcPr>
                  <w:tcW w:w="543" w:type="pct"/>
                  <w:vAlign w:val="center"/>
                </w:tcPr>
                <w:p w14:paraId="4C451007">
                  <w:pPr>
                    <w:pStyle w:val="29"/>
                    <w:rPr>
                      <w:sz w:val="21"/>
                      <w:szCs w:val="21"/>
                    </w:rPr>
                  </w:pPr>
                  <w:r>
                    <w:rPr>
                      <w:sz w:val="21"/>
                      <w:szCs w:val="21"/>
                    </w:rPr>
                    <w:t>设备清洗废液</w:t>
                  </w:r>
                </w:p>
              </w:tc>
              <w:tc>
                <w:tcPr>
                  <w:tcW w:w="505" w:type="pct"/>
                  <w:vAlign w:val="center"/>
                </w:tcPr>
                <w:p w14:paraId="1084B1AA">
                  <w:pPr>
                    <w:pStyle w:val="29"/>
                    <w:rPr>
                      <w:sz w:val="21"/>
                      <w:szCs w:val="21"/>
                    </w:rPr>
                  </w:pPr>
                  <w:r>
                    <w:rPr>
                      <w:sz w:val="21"/>
                      <w:szCs w:val="21"/>
                    </w:rPr>
                    <w:t>设备清洗</w:t>
                  </w:r>
                </w:p>
              </w:tc>
              <w:tc>
                <w:tcPr>
                  <w:tcW w:w="330" w:type="pct"/>
                  <w:vAlign w:val="center"/>
                </w:tcPr>
                <w:p w14:paraId="4DA0876C">
                  <w:pPr>
                    <w:pStyle w:val="29"/>
                    <w:rPr>
                      <w:sz w:val="21"/>
                      <w:szCs w:val="21"/>
                    </w:rPr>
                  </w:pPr>
                  <w:r>
                    <w:rPr>
                      <w:sz w:val="21"/>
                      <w:szCs w:val="21"/>
                    </w:rPr>
                    <w:t>液态</w:t>
                  </w:r>
                </w:p>
              </w:tc>
              <w:tc>
                <w:tcPr>
                  <w:tcW w:w="532" w:type="pct"/>
                  <w:vAlign w:val="center"/>
                </w:tcPr>
                <w:p w14:paraId="22780AB6">
                  <w:pPr>
                    <w:pStyle w:val="29"/>
                    <w:rPr>
                      <w:sz w:val="21"/>
                      <w:szCs w:val="21"/>
                    </w:rPr>
                  </w:pPr>
                  <w:r>
                    <w:rPr>
                      <w:sz w:val="21"/>
                      <w:szCs w:val="21"/>
                    </w:rPr>
                    <w:t>水性油墨</w:t>
                  </w:r>
                </w:p>
              </w:tc>
              <w:tc>
                <w:tcPr>
                  <w:tcW w:w="313" w:type="pct"/>
                  <w:vMerge w:val="continue"/>
                  <w:vAlign w:val="center"/>
                </w:tcPr>
                <w:p w14:paraId="723F9EBD">
                  <w:pPr>
                    <w:pStyle w:val="29"/>
                    <w:rPr>
                      <w:sz w:val="21"/>
                      <w:szCs w:val="21"/>
                    </w:rPr>
                  </w:pPr>
                </w:p>
              </w:tc>
              <w:tc>
                <w:tcPr>
                  <w:tcW w:w="841" w:type="pct"/>
                  <w:vAlign w:val="center"/>
                </w:tcPr>
                <w:p w14:paraId="0DB9A276">
                  <w:pPr>
                    <w:pStyle w:val="29"/>
                    <w:rPr>
                      <w:sz w:val="21"/>
                      <w:szCs w:val="21"/>
                    </w:rPr>
                  </w:pPr>
                  <w:r>
                    <w:rPr>
                      <w:sz w:val="21"/>
                      <w:szCs w:val="21"/>
                    </w:rPr>
                    <w:t>HW12 900-256-12</w:t>
                  </w:r>
                </w:p>
              </w:tc>
              <w:tc>
                <w:tcPr>
                  <w:tcW w:w="590" w:type="pct"/>
                  <w:vAlign w:val="center"/>
                </w:tcPr>
                <w:p w14:paraId="259A4EA1">
                  <w:pPr>
                    <w:pStyle w:val="29"/>
                    <w:rPr>
                      <w:sz w:val="21"/>
                      <w:szCs w:val="21"/>
                    </w:rPr>
                  </w:pPr>
                  <w:r>
                    <w:rPr>
                      <w:sz w:val="21"/>
                      <w:szCs w:val="21"/>
                    </w:rPr>
                    <w:t>0.28</w:t>
                  </w:r>
                </w:p>
              </w:tc>
              <w:tc>
                <w:tcPr>
                  <w:tcW w:w="525" w:type="pct"/>
                  <w:vAlign w:val="center"/>
                </w:tcPr>
                <w:p w14:paraId="2BC72E16">
                  <w:pPr>
                    <w:pStyle w:val="29"/>
                    <w:rPr>
                      <w:sz w:val="21"/>
                      <w:szCs w:val="21"/>
                    </w:rPr>
                  </w:pPr>
                  <w:r>
                    <w:rPr>
                      <w:sz w:val="21"/>
                      <w:szCs w:val="21"/>
                    </w:rPr>
                    <w:t>T,I</w:t>
                  </w:r>
                </w:p>
              </w:tc>
              <w:tc>
                <w:tcPr>
                  <w:tcW w:w="526" w:type="pct"/>
                  <w:vMerge w:val="continue"/>
                  <w:vAlign w:val="center"/>
                </w:tcPr>
                <w:p w14:paraId="133FD34B">
                  <w:pPr>
                    <w:pStyle w:val="29"/>
                    <w:rPr>
                      <w:sz w:val="21"/>
                      <w:szCs w:val="21"/>
                    </w:rPr>
                  </w:pPr>
                </w:p>
              </w:tc>
            </w:tr>
            <w:tr w14:paraId="79F5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29D44094">
                  <w:pPr>
                    <w:pStyle w:val="29"/>
                    <w:rPr>
                      <w:sz w:val="21"/>
                      <w:szCs w:val="21"/>
                    </w:rPr>
                  </w:pPr>
                  <w:r>
                    <w:rPr>
                      <w:sz w:val="21"/>
                      <w:szCs w:val="21"/>
                    </w:rPr>
                    <w:t>7</w:t>
                  </w:r>
                </w:p>
              </w:tc>
              <w:tc>
                <w:tcPr>
                  <w:tcW w:w="543" w:type="pct"/>
                  <w:shd w:val="clear" w:color="auto" w:fill="auto"/>
                  <w:vAlign w:val="center"/>
                </w:tcPr>
                <w:p w14:paraId="4EBE37A5">
                  <w:pPr>
                    <w:pStyle w:val="29"/>
                    <w:rPr>
                      <w:sz w:val="21"/>
                      <w:szCs w:val="21"/>
                    </w:rPr>
                  </w:pPr>
                  <w:r>
                    <w:rPr>
                      <w:sz w:val="21"/>
                      <w:szCs w:val="21"/>
                    </w:rPr>
                    <w:t>废含油抹布、手套</w:t>
                  </w:r>
                </w:p>
              </w:tc>
              <w:tc>
                <w:tcPr>
                  <w:tcW w:w="505" w:type="pct"/>
                  <w:shd w:val="clear" w:color="auto" w:fill="auto"/>
                  <w:vAlign w:val="center"/>
                </w:tcPr>
                <w:p w14:paraId="72699286">
                  <w:pPr>
                    <w:pStyle w:val="29"/>
                    <w:rPr>
                      <w:sz w:val="21"/>
                      <w:szCs w:val="21"/>
                    </w:rPr>
                  </w:pPr>
                  <w:r>
                    <w:rPr>
                      <w:sz w:val="21"/>
                      <w:szCs w:val="21"/>
                    </w:rPr>
                    <w:t>设备维护保养</w:t>
                  </w:r>
                </w:p>
              </w:tc>
              <w:tc>
                <w:tcPr>
                  <w:tcW w:w="330" w:type="pct"/>
                  <w:shd w:val="clear" w:color="auto" w:fill="auto"/>
                  <w:vAlign w:val="center"/>
                </w:tcPr>
                <w:p w14:paraId="572719DC">
                  <w:pPr>
                    <w:pStyle w:val="29"/>
                    <w:rPr>
                      <w:sz w:val="21"/>
                      <w:szCs w:val="21"/>
                    </w:rPr>
                  </w:pPr>
                  <w:r>
                    <w:rPr>
                      <w:sz w:val="21"/>
                      <w:szCs w:val="21"/>
                    </w:rPr>
                    <w:t>固态</w:t>
                  </w:r>
                </w:p>
              </w:tc>
              <w:tc>
                <w:tcPr>
                  <w:tcW w:w="532" w:type="pct"/>
                  <w:shd w:val="clear" w:color="auto" w:fill="auto"/>
                  <w:vAlign w:val="center"/>
                </w:tcPr>
                <w:p w14:paraId="1217FE71">
                  <w:pPr>
                    <w:pStyle w:val="29"/>
                    <w:rPr>
                      <w:sz w:val="21"/>
                      <w:szCs w:val="21"/>
                    </w:rPr>
                  </w:pPr>
                  <w:r>
                    <w:rPr>
                      <w:sz w:val="21"/>
                      <w:szCs w:val="21"/>
                    </w:rPr>
                    <w:t>机油</w:t>
                  </w:r>
                </w:p>
              </w:tc>
              <w:tc>
                <w:tcPr>
                  <w:tcW w:w="313" w:type="pct"/>
                  <w:vMerge w:val="continue"/>
                  <w:vAlign w:val="center"/>
                </w:tcPr>
                <w:p w14:paraId="3D88EFA5">
                  <w:pPr>
                    <w:pStyle w:val="29"/>
                    <w:rPr>
                      <w:sz w:val="21"/>
                      <w:szCs w:val="21"/>
                    </w:rPr>
                  </w:pPr>
                </w:p>
              </w:tc>
              <w:tc>
                <w:tcPr>
                  <w:tcW w:w="841" w:type="pct"/>
                  <w:vAlign w:val="center"/>
                </w:tcPr>
                <w:p w14:paraId="495E686E">
                  <w:pPr>
                    <w:pStyle w:val="29"/>
                    <w:rPr>
                      <w:sz w:val="21"/>
                      <w:szCs w:val="21"/>
                    </w:rPr>
                  </w:pPr>
                  <w:r>
                    <w:rPr>
                      <w:sz w:val="21"/>
                      <w:szCs w:val="21"/>
                    </w:rPr>
                    <w:t>HW49</w:t>
                  </w:r>
                </w:p>
                <w:p w14:paraId="45D9157C">
                  <w:pPr>
                    <w:pStyle w:val="29"/>
                    <w:rPr>
                      <w:sz w:val="21"/>
                      <w:szCs w:val="21"/>
                    </w:rPr>
                  </w:pPr>
                  <w:r>
                    <w:rPr>
                      <w:sz w:val="21"/>
                      <w:szCs w:val="21"/>
                    </w:rPr>
                    <w:t>900-041-49</w:t>
                  </w:r>
                </w:p>
              </w:tc>
              <w:tc>
                <w:tcPr>
                  <w:tcW w:w="590" w:type="pct"/>
                  <w:vAlign w:val="center"/>
                </w:tcPr>
                <w:p w14:paraId="341A0180">
                  <w:pPr>
                    <w:pStyle w:val="29"/>
                    <w:rPr>
                      <w:sz w:val="21"/>
                      <w:szCs w:val="21"/>
                    </w:rPr>
                  </w:pPr>
                  <w:r>
                    <w:rPr>
                      <w:sz w:val="21"/>
                      <w:szCs w:val="21"/>
                    </w:rPr>
                    <w:t>0.005</w:t>
                  </w:r>
                </w:p>
              </w:tc>
              <w:tc>
                <w:tcPr>
                  <w:tcW w:w="525" w:type="pct"/>
                  <w:vAlign w:val="center"/>
                </w:tcPr>
                <w:p w14:paraId="64B861F7">
                  <w:pPr>
                    <w:pStyle w:val="29"/>
                    <w:rPr>
                      <w:sz w:val="21"/>
                      <w:szCs w:val="21"/>
                    </w:rPr>
                  </w:pPr>
                  <w:r>
                    <w:rPr>
                      <w:sz w:val="21"/>
                      <w:szCs w:val="21"/>
                    </w:rPr>
                    <w:t>T,I</w:t>
                  </w:r>
                </w:p>
              </w:tc>
              <w:tc>
                <w:tcPr>
                  <w:tcW w:w="526" w:type="pct"/>
                  <w:vMerge w:val="continue"/>
                  <w:vAlign w:val="center"/>
                </w:tcPr>
                <w:p w14:paraId="1093321A">
                  <w:pPr>
                    <w:pStyle w:val="29"/>
                    <w:rPr>
                      <w:sz w:val="21"/>
                      <w:szCs w:val="21"/>
                    </w:rPr>
                  </w:pPr>
                </w:p>
              </w:tc>
            </w:tr>
            <w:tr w14:paraId="522ED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633E152C">
                  <w:pPr>
                    <w:pStyle w:val="29"/>
                    <w:rPr>
                      <w:sz w:val="21"/>
                      <w:szCs w:val="21"/>
                    </w:rPr>
                  </w:pPr>
                  <w:r>
                    <w:rPr>
                      <w:sz w:val="21"/>
                      <w:szCs w:val="21"/>
                    </w:rPr>
                    <w:t>8</w:t>
                  </w:r>
                </w:p>
              </w:tc>
              <w:tc>
                <w:tcPr>
                  <w:tcW w:w="543" w:type="pct"/>
                  <w:shd w:val="clear" w:color="auto" w:fill="auto"/>
                  <w:vAlign w:val="center"/>
                </w:tcPr>
                <w:p w14:paraId="5FBF3032">
                  <w:pPr>
                    <w:pStyle w:val="29"/>
                    <w:rPr>
                      <w:sz w:val="21"/>
                      <w:szCs w:val="21"/>
                    </w:rPr>
                  </w:pPr>
                  <w:r>
                    <w:rPr>
                      <w:sz w:val="21"/>
                      <w:szCs w:val="21"/>
                    </w:rPr>
                    <w:t>废活性炭</w:t>
                  </w:r>
                </w:p>
              </w:tc>
              <w:tc>
                <w:tcPr>
                  <w:tcW w:w="505" w:type="pct"/>
                  <w:shd w:val="clear" w:color="auto" w:fill="auto"/>
                  <w:vAlign w:val="center"/>
                </w:tcPr>
                <w:p w14:paraId="44A8C7A1">
                  <w:pPr>
                    <w:pStyle w:val="29"/>
                    <w:rPr>
                      <w:sz w:val="21"/>
                      <w:szCs w:val="21"/>
                    </w:rPr>
                  </w:pPr>
                  <w:r>
                    <w:rPr>
                      <w:sz w:val="21"/>
                      <w:szCs w:val="21"/>
                    </w:rPr>
                    <w:t>废气治理</w:t>
                  </w:r>
                </w:p>
              </w:tc>
              <w:tc>
                <w:tcPr>
                  <w:tcW w:w="330" w:type="pct"/>
                  <w:shd w:val="clear" w:color="auto" w:fill="auto"/>
                  <w:vAlign w:val="center"/>
                </w:tcPr>
                <w:p w14:paraId="19FF40AF">
                  <w:pPr>
                    <w:pStyle w:val="29"/>
                    <w:rPr>
                      <w:sz w:val="21"/>
                      <w:szCs w:val="21"/>
                    </w:rPr>
                  </w:pPr>
                  <w:r>
                    <w:rPr>
                      <w:sz w:val="21"/>
                      <w:szCs w:val="21"/>
                    </w:rPr>
                    <w:t>固态</w:t>
                  </w:r>
                </w:p>
              </w:tc>
              <w:tc>
                <w:tcPr>
                  <w:tcW w:w="532" w:type="pct"/>
                  <w:shd w:val="clear" w:color="auto" w:fill="auto"/>
                  <w:vAlign w:val="center"/>
                </w:tcPr>
                <w:p w14:paraId="70614134">
                  <w:pPr>
                    <w:pStyle w:val="29"/>
                    <w:rPr>
                      <w:sz w:val="21"/>
                      <w:szCs w:val="21"/>
                    </w:rPr>
                  </w:pPr>
                  <w:r>
                    <w:rPr>
                      <w:sz w:val="21"/>
                      <w:szCs w:val="21"/>
                    </w:rPr>
                    <w:t>有机物</w:t>
                  </w:r>
                </w:p>
              </w:tc>
              <w:tc>
                <w:tcPr>
                  <w:tcW w:w="313" w:type="pct"/>
                  <w:vMerge w:val="continue"/>
                  <w:vAlign w:val="center"/>
                </w:tcPr>
                <w:p w14:paraId="5E0F5A9B">
                  <w:pPr>
                    <w:pStyle w:val="29"/>
                    <w:rPr>
                      <w:sz w:val="21"/>
                      <w:szCs w:val="21"/>
                    </w:rPr>
                  </w:pPr>
                </w:p>
              </w:tc>
              <w:tc>
                <w:tcPr>
                  <w:tcW w:w="841" w:type="pct"/>
                  <w:vAlign w:val="center"/>
                </w:tcPr>
                <w:p w14:paraId="0E13C9BF">
                  <w:pPr>
                    <w:pStyle w:val="29"/>
                    <w:rPr>
                      <w:sz w:val="21"/>
                      <w:szCs w:val="21"/>
                    </w:rPr>
                  </w:pPr>
                  <w:r>
                    <w:rPr>
                      <w:sz w:val="21"/>
                      <w:szCs w:val="21"/>
                    </w:rPr>
                    <w:t>HW49</w:t>
                  </w:r>
                </w:p>
                <w:p w14:paraId="282F6B45">
                  <w:pPr>
                    <w:pStyle w:val="29"/>
                    <w:rPr>
                      <w:sz w:val="21"/>
                      <w:szCs w:val="21"/>
                    </w:rPr>
                  </w:pPr>
                  <w:r>
                    <w:rPr>
                      <w:sz w:val="21"/>
                      <w:szCs w:val="21"/>
                    </w:rPr>
                    <w:t>900-039-49</w:t>
                  </w:r>
                </w:p>
              </w:tc>
              <w:tc>
                <w:tcPr>
                  <w:tcW w:w="590" w:type="pct"/>
                  <w:vAlign w:val="center"/>
                </w:tcPr>
                <w:p w14:paraId="3E330976">
                  <w:pPr>
                    <w:pStyle w:val="29"/>
                    <w:rPr>
                      <w:sz w:val="21"/>
                      <w:szCs w:val="21"/>
                    </w:rPr>
                  </w:pPr>
                  <w:r>
                    <w:rPr>
                      <w:sz w:val="21"/>
                      <w:szCs w:val="21"/>
                    </w:rPr>
                    <w:t>0.3</w:t>
                  </w:r>
                </w:p>
              </w:tc>
              <w:tc>
                <w:tcPr>
                  <w:tcW w:w="525" w:type="pct"/>
                  <w:vAlign w:val="center"/>
                </w:tcPr>
                <w:p w14:paraId="46FED413">
                  <w:pPr>
                    <w:pStyle w:val="29"/>
                    <w:rPr>
                      <w:sz w:val="21"/>
                      <w:szCs w:val="21"/>
                    </w:rPr>
                  </w:pPr>
                  <w:r>
                    <w:rPr>
                      <w:sz w:val="21"/>
                      <w:szCs w:val="21"/>
                    </w:rPr>
                    <w:t>T,I</w:t>
                  </w:r>
                </w:p>
              </w:tc>
              <w:tc>
                <w:tcPr>
                  <w:tcW w:w="526" w:type="pct"/>
                  <w:vMerge w:val="continue"/>
                  <w:vAlign w:val="center"/>
                </w:tcPr>
                <w:p w14:paraId="391ABF6F">
                  <w:pPr>
                    <w:pStyle w:val="29"/>
                    <w:rPr>
                      <w:sz w:val="21"/>
                      <w:szCs w:val="21"/>
                    </w:rPr>
                  </w:pPr>
                </w:p>
              </w:tc>
            </w:tr>
            <w:tr w14:paraId="499BD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6A62495E">
                  <w:pPr>
                    <w:pStyle w:val="29"/>
                    <w:rPr>
                      <w:sz w:val="21"/>
                      <w:szCs w:val="21"/>
                    </w:rPr>
                  </w:pPr>
                  <w:r>
                    <w:rPr>
                      <w:sz w:val="21"/>
                      <w:szCs w:val="21"/>
                    </w:rPr>
                    <w:t>9</w:t>
                  </w:r>
                </w:p>
              </w:tc>
              <w:tc>
                <w:tcPr>
                  <w:tcW w:w="543" w:type="pct"/>
                  <w:shd w:val="clear" w:color="auto" w:fill="auto"/>
                  <w:vAlign w:val="center"/>
                </w:tcPr>
                <w:p w14:paraId="57A594D5">
                  <w:pPr>
                    <w:pStyle w:val="29"/>
                    <w:rPr>
                      <w:sz w:val="21"/>
                      <w:szCs w:val="21"/>
                    </w:rPr>
                  </w:pPr>
                  <w:r>
                    <w:rPr>
                      <w:sz w:val="21"/>
                      <w:szCs w:val="21"/>
                    </w:rPr>
                    <w:t>废机油及其包装桶</w:t>
                  </w:r>
                </w:p>
              </w:tc>
              <w:tc>
                <w:tcPr>
                  <w:tcW w:w="505" w:type="pct"/>
                  <w:shd w:val="clear" w:color="auto" w:fill="auto"/>
                  <w:vAlign w:val="center"/>
                </w:tcPr>
                <w:p w14:paraId="064B889F">
                  <w:pPr>
                    <w:pStyle w:val="29"/>
                    <w:rPr>
                      <w:sz w:val="21"/>
                      <w:szCs w:val="21"/>
                    </w:rPr>
                  </w:pPr>
                  <w:r>
                    <w:rPr>
                      <w:sz w:val="21"/>
                      <w:szCs w:val="21"/>
                    </w:rPr>
                    <w:t>设备维护保养</w:t>
                  </w:r>
                </w:p>
              </w:tc>
              <w:tc>
                <w:tcPr>
                  <w:tcW w:w="330" w:type="pct"/>
                  <w:shd w:val="clear" w:color="auto" w:fill="auto"/>
                  <w:vAlign w:val="center"/>
                </w:tcPr>
                <w:p w14:paraId="1AC4FC0E">
                  <w:pPr>
                    <w:pStyle w:val="29"/>
                    <w:rPr>
                      <w:sz w:val="21"/>
                      <w:szCs w:val="21"/>
                    </w:rPr>
                  </w:pPr>
                  <w:r>
                    <w:rPr>
                      <w:sz w:val="21"/>
                      <w:szCs w:val="21"/>
                    </w:rPr>
                    <w:t>固态</w:t>
                  </w:r>
                </w:p>
              </w:tc>
              <w:tc>
                <w:tcPr>
                  <w:tcW w:w="532" w:type="pct"/>
                  <w:shd w:val="clear" w:color="auto" w:fill="auto"/>
                  <w:vAlign w:val="center"/>
                </w:tcPr>
                <w:p w14:paraId="120652B8">
                  <w:pPr>
                    <w:pStyle w:val="29"/>
                    <w:rPr>
                      <w:sz w:val="21"/>
                      <w:szCs w:val="21"/>
                    </w:rPr>
                  </w:pPr>
                  <w:r>
                    <w:rPr>
                      <w:sz w:val="21"/>
                      <w:szCs w:val="21"/>
                    </w:rPr>
                    <w:t>机油</w:t>
                  </w:r>
                </w:p>
              </w:tc>
              <w:tc>
                <w:tcPr>
                  <w:tcW w:w="313" w:type="pct"/>
                  <w:vMerge w:val="continue"/>
                  <w:vAlign w:val="center"/>
                </w:tcPr>
                <w:p w14:paraId="17A02813">
                  <w:pPr>
                    <w:pStyle w:val="29"/>
                    <w:rPr>
                      <w:sz w:val="21"/>
                      <w:szCs w:val="21"/>
                    </w:rPr>
                  </w:pPr>
                </w:p>
              </w:tc>
              <w:tc>
                <w:tcPr>
                  <w:tcW w:w="841" w:type="pct"/>
                  <w:vAlign w:val="center"/>
                </w:tcPr>
                <w:p w14:paraId="762E2276">
                  <w:pPr>
                    <w:pStyle w:val="29"/>
                    <w:rPr>
                      <w:sz w:val="21"/>
                      <w:szCs w:val="21"/>
                    </w:rPr>
                  </w:pPr>
                  <w:r>
                    <w:rPr>
                      <w:sz w:val="21"/>
                      <w:szCs w:val="21"/>
                    </w:rPr>
                    <w:t>HW08</w:t>
                  </w:r>
                </w:p>
                <w:p w14:paraId="62ED0698">
                  <w:pPr>
                    <w:pStyle w:val="29"/>
                    <w:rPr>
                      <w:sz w:val="21"/>
                      <w:szCs w:val="21"/>
                    </w:rPr>
                  </w:pPr>
                  <w:r>
                    <w:rPr>
                      <w:sz w:val="21"/>
                      <w:szCs w:val="21"/>
                    </w:rPr>
                    <w:t>900-249-08</w:t>
                  </w:r>
                </w:p>
              </w:tc>
              <w:tc>
                <w:tcPr>
                  <w:tcW w:w="590" w:type="pct"/>
                  <w:vAlign w:val="center"/>
                </w:tcPr>
                <w:p w14:paraId="3A22EDA1">
                  <w:pPr>
                    <w:pStyle w:val="29"/>
                    <w:rPr>
                      <w:sz w:val="21"/>
                      <w:szCs w:val="21"/>
                    </w:rPr>
                  </w:pPr>
                  <w:r>
                    <w:rPr>
                      <w:sz w:val="21"/>
                      <w:szCs w:val="21"/>
                    </w:rPr>
                    <w:t>0.1</w:t>
                  </w:r>
                </w:p>
              </w:tc>
              <w:tc>
                <w:tcPr>
                  <w:tcW w:w="525" w:type="pct"/>
                  <w:vAlign w:val="center"/>
                </w:tcPr>
                <w:p w14:paraId="69030F5B">
                  <w:pPr>
                    <w:pStyle w:val="29"/>
                    <w:rPr>
                      <w:sz w:val="21"/>
                      <w:szCs w:val="21"/>
                    </w:rPr>
                  </w:pPr>
                  <w:r>
                    <w:rPr>
                      <w:sz w:val="21"/>
                      <w:szCs w:val="21"/>
                    </w:rPr>
                    <w:t>T,I</w:t>
                  </w:r>
                </w:p>
              </w:tc>
              <w:tc>
                <w:tcPr>
                  <w:tcW w:w="526" w:type="pct"/>
                  <w:vMerge w:val="continue"/>
                  <w:vAlign w:val="center"/>
                </w:tcPr>
                <w:p w14:paraId="3570F60B">
                  <w:pPr>
                    <w:pStyle w:val="29"/>
                    <w:rPr>
                      <w:sz w:val="21"/>
                      <w:szCs w:val="21"/>
                    </w:rPr>
                  </w:pPr>
                </w:p>
              </w:tc>
            </w:tr>
            <w:tr w14:paraId="6AA6D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79C5A17E">
                  <w:pPr>
                    <w:pStyle w:val="29"/>
                    <w:rPr>
                      <w:sz w:val="21"/>
                      <w:szCs w:val="21"/>
                    </w:rPr>
                  </w:pPr>
                  <w:r>
                    <w:rPr>
                      <w:sz w:val="21"/>
                      <w:szCs w:val="21"/>
                    </w:rPr>
                    <w:t>10</w:t>
                  </w:r>
                </w:p>
              </w:tc>
              <w:tc>
                <w:tcPr>
                  <w:tcW w:w="543" w:type="pct"/>
                  <w:shd w:val="clear" w:color="auto" w:fill="auto"/>
                  <w:vAlign w:val="center"/>
                </w:tcPr>
                <w:p w14:paraId="2DD14BB8">
                  <w:pPr>
                    <w:pStyle w:val="29"/>
                    <w:rPr>
                      <w:sz w:val="21"/>
                      <w:szCs w:val="21"/>
                    </w:rPr>
                  </w:pPr>
                  <w:r>
                    <w:rPr>
                      <w:sz w:val="21"/>
                      <w:szCs w:val="21"/>
                    </w:rPr>
                    <w:t>废氢氧化钠包装袋</w:t>
                  </w:r>
                </w:p>
              </w:tc>
              <w:tc>
                <w:tcPr>
                  <w:tcW w:w="505" w:type="pct"/>
                  <w:shd w:val="clear" w:color="auto" w:fill="auto"/>
                  <w:vAlign w:val="center"/>
                </w:tcPr>
                <w:p w14:paraId="5152AFE1">
                  <w:pPr>
                    <w:pStyle w:val="29"/>
                    <w:rPr>
                      <w:sz w:val="21"/>
                      <w:szCs w:val="21"/>
                    </w:rPr>
                  </w:pPr>
                  <w:r>
                    <w:rPr>
                      <w:sz w:val="21"/>
                      <w:szCs w:val="21"/>
                    </w:rPr>
                    <w:t>制胶</w:t>
                  </w:r>
                </w:p>
              </w:tc>
              <w:tc>
                <w:tcPr>
                  <w:tcW w:w="330" w:type="pct"/>
                  <w:shd w:val="clear" w:color="auto" w:fill="auto"/>
                  <w:vAlign w:val="center"/>
                </w:tcPr>
                <w:p w14:paraId="6C322300">
                  <w:pPr>
                    <w:pStyle w:val="29"/>
                    <w:rPr>
                      <w:sz w:val="21"/>
                      <w:szCs w:val="21"/>
                    </w:rPr>
                  </w:pPr>
                  <w:r>
                    <w:rPr>
                      <w:sz w:val="21"/>
                      <w:szCs w:val="21"/>
                    </w:rPr>
                    <w:t>固态</w:t>
                  </w:r>
                </w:p>
              </w:tc>
              <w:tc>
                <w:tcPr>
                  <w:tcW w:w="532" w:type="pct"/>
                  <w:shd w:val="clear" w:color="auto" w:fill="auto"/>
                  <w:vAlign w:val="center"/>
                </w:tcPr>
                <w:p w14:paraId="5A75B627">
                  <w:pPr>
                    <w:pStyle w:val="29"/>
                    <w:rPr>
                      <w:sz w:val="21"/>
                      <w:szCs w:val="21"/>
                    </w:rPr>
                  </w:pPr>
                  <w:r>
                    <w:rPr>
                      <w:sz w:val="21"/>
                      <w:szCs w:val="21"/>
                    </w:rPr>
                    <w:t>氢氧化钠</w:t>
                  </w:r>
                </w:p>
              </w:tc>
              <w:tc>
                <w:tcPr>
                  <w:tcW w:w="313" w:type="pct"/>
                  <w:vMerge w:val="continue"/>
                  <w:vAlign w:val="center"/>
                </w:tcPr>
                <w:p w14:paraId="70D9D972">
                  <w:pPr>
                    <w:pStyle w:val="29"/>
                    <w:rPr>
                      <w:sz w:val="21"/>
                      <w:szCs w:val="21"/>
                    </w:rPr>
                  </w:pPr>
                </w:p>
              </w:tc>
              <w:tc>
                <w:tcPr>
                  <w:tcW w:w="841" w:type="pct"/>
                  <w:vAlign w:val="center"/>
                </w:tcPr>
                <w:p w14:paraId="7077DE1A">
                  <w:pPr>
                    <w:pStyle w:val="29"/>
                    <w:rPr>
                      <w:sz w:val="21"/>
                      <w:szCs w:val="21"/>
                    </w:rPr>
                  </w:pPr>
                  <w:r>
                    <w:rPr>
                      <w:sz w:val="21"/>
                      <w:szCs w:val="21"/>
                    </w:rPr>
                    <w:t>HW49</w:t>
                  </w:r>
                </w:p>
                <w:p w14:paraId="419076AB">
                  <w:pPr>
                    <w:pStyle w:val="29"/>
                    <w:rPr>
                      <w:sz w:val="21"/>
                      <w:szCs w:val="21"/>
                    </w:rPr>
                  </w:pPr>
                  <w:r>
                    <w:rPr>
                      <w:sz w:val="21"/>
                      <w:szCs w:val="21"/>
                    </w:rPr>
                    <w:t>900-041-49</w:t>
                  </w:r>
                </w:p>
              </w:tc>
              <w:tc>
                <w:tcPr>
                  <w:tcW w:w="590" w:type="pct"/>
                  <w:vAlign w:val="center"/>
                </w:tcPr>
                <w:p w14:paraId="5E255543">
                  <w:pPr>
                    <w:pStyle w:val="29"/>
                    <w:rPr>
                      <w:sz w:val="21"/>
                      <w:szCs w:val="21"/>
                    </w:rPr>
                  </w:pPr>
                  <w:r>
                    <w:rPr>
                      <w:sz w:val="21"/>
                      <w:szCs w:val="21"/>
                    </w:rPr>
                    <w:t>0.01</w:t>
                  </w:r>
                </w:p>
              </w:tc>
              <w:tc>
                <w:tcPr>
                  <w:tcW w:w="525" w:type="pct"/>
                  <w:vAlign w:val="center"/>
                </w:tcPr>
                <w:p w14:paraId="5944CEB2">
                  <w:pPr>
                    <w:pStyle w:val="29"/>
                    <w:rPr>
                      <w:sz w:val="21"/>
                      <w:szCs w:val="21"/>
                    </w:rPr>
                  </w:pPr>
                  <w:r>
                    <w:rPr>
                      <w:sz w:val="21"/>
                      <w:szCs w:val="21"/>
                    </w:rPr>
                    <w:t>/</w:t>
                  </w:r>
                </w:p>
              </w:tc>
              <w:tc>
                <w:tcPr>
                  <w:tcW w:w="526" w:type="pct"/>
                  <w:vMerge w:val="continue"/>
                  <w:vAlign w:val="center"/>
                </w:tcPr>
                <w:p w14:paraId="3FBA56F5">
                  <w:pPr>
                    <w:pStyle w:val="29"/>
                    <w:rPr>
                      <w:sz w:val="21"/>
                      <w:szCs w:val="21"/>
                    </w:rPr>
                  </w:pPr>
                </w:p>
              </w:tc>
            </w:tr>
            <w:tr w14:paraId="3296F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1E56CF41">
                  <w:pPr>
                    <w:pStyle w:val="29"/>
                    <w:rPr>
                      <w:sz w:val="21"/>
                      <w:szCs w:val="21"/>
                    </w:rPr>
                  </w:pPr>
                  <w:r>
                    <w:rPr>
                      <w:sz w:val="21"/>
                      <w:szCs w:val="21"/>
                    </w:rPr>
                    <w:t>11</w:t>
                  </w:r>
                </w:p>
              </w:tc>
              <w:tc>
                <w:tcPr>
                  <w:tcW w:w="543" w:type="pct"/>
                  <w:shd w:val="clear" w:color="auto" w:fill="auto"/>
                  <w:vAlign w:val="center"/>
                </w:tcPr>
                <w:p w14:paraId="0359A31E">
                  <w:pPr>
                    <w:pStyle w:val="29"/>
                    <w:rPr>
                      <w:sz w:val="21"/>
                      <w:szCs w:val="21"/>
                    </w:rPr>
                  </w:pPr>
                  <w:r>
                    <w:rPr>
                      <w:sz w:val="21"/>
                      <w:szCs w:val="21"/>
                    </w:rPr>
                    <w:t>废硼砂包装袋</w:t>
                  </w:r>
                </w:p>
              </w:tc>
              <w:tc>
                <w:tcPr>
                  <w:tcW w:w="505" w:type="pct"/>
                  <w:shd w:val="clear" w:color="auto" w:fill="auto"/>
                  <w:vAlign w:val="center"/>
                </w:tcPr>
                <w:p w14:paraId="20D379B6">
                  <w:pPr>
                    <w:pStyle w:val="29"/>
                    <w:rPr>
                      <w:sz w:val="21"/>
                      <w:szCs w:val="21"/>
                    </w:rPr>
                  </w:pPr>
                  <w:r>
                    <w:rPr>
                      <w:sz w:val="21"/>
                      <w:szCs w:val="21"/>
                    </w:rPr>
                    <w:t>制胶</w:t>
                  </w:r>
                </w:p>
              </w:tc>
              <w:tc>
                <w:tcPr>
                  <w:tcW w:w="330" w:type="pct"/>
                  <w:shd w:val="clear" w:color="auto" w:fill="auto"/>
                  <w:vAlign w:val="center"/>
                </w:tcPr>
                <w:p w14:paraId="6BF0FD5A">
                  <w:pPr>
                    <w:pStyle w:val="29"/>
                    <w:rPr>
                      <w:sz w:val="21"/>
                      <w:szCs w:val="21"/>
                    </w:rPr>
                  </w:pPr>
                  <w:r>
                    <w:rPr>
                      <w:sz w:val="21"/>
                      <w:szCs w:val="21"/>
                    </w:rPr>
                    <w:t>固态</w:t>
                  </w:r>
                </w:p>
              </w:tc>
              <w:tc>
                <w:tcPr>
                  <w:tcW w:w="532" w:type="pct"/>
                  <w:shd w:val="clear" w:color="auto" w:fill="auto"/>
                  <w:vAlign w:val="center"/>
                </w:tcPr>
                <w:p w14:paraId="1734556B">
                  <w:pPr>
                    <w:pStyle w:val="29"/>
                    <w:rPr>
                      <w:sz w:val="21"/>
                      <w:szCs w:val="21"/>
                    </w:rPr>
                  </w:pPr>
                  <w:r>
                    <w:rPr>
                      <w:sz w:val="21"/>
                      <w:szCs w:val="21"/>
                    </w:rPr>
                    <w:t>四硼酸钠</w:t>
                  </w:r>
                </w:p>
              </w:tc>
              <w:tc>
                <w:tcPr>
                  <w:tcW w:w="313" w:type="pct"/>
                  <w:vMerge w:val="continue"/>
                  <w:vAlign w:val="center"/>
                </w:tcPr>
                <w:p w14:paraId="4DBD96C1">
                  <w:pPr>
                    <w:pStyle w:val="29"/>
                    <w:rPr>
                      <w:sz w:val="21"/>
                      <w:szCs w:val="21"/>
                    </w:rPr>
                  </w:pPr>
                </w:p>
              </w:tc>
              <w:tc>
                <w:tcPr>
                  <w:tcW w:w="841" w:type="pct"/>
                  <w:vAlign w:val="center"/>
                </w:tcPr>
                <w:p w14:paraId="7D4D3C62">
                  <w:pPr>
                    <w:pStyle w:val="29"/>
                    <w:rPr>
                      <w:sz w:val="21"/>
                      <w:szCs w:val="21"/>
                    </w:rPr>
                  </w:pPr>
                  <w:r>
                    <w:rPr>
                      <w:sz w:val="21"/>
                      <w:szCs w:val="21"/>
                    </w:rPr>
                    <w:t>HW49</w:t>
                  </w:r>
                </w:p>
                <w:p w14:paraId="17126661">
                  <w:pPr>
                    <w:pStyle w:val="29"/>
                    <w:rPr>
                      <w:sz w:val="21"/>
                      <w:szCs w:val="21"/>
                    </w:rPr>
                  </w:pPr>
                  <w:r>
                    <w:rPr>
                      <w:sz w:val="21"/>
                      <w:szCs w:val="21"/>
                    </w:rPr>
                    <w:t>900-041-49</w:t>
                  </w:r>
                </w:p>
              </w:tc>
              <w:tc>
                <w:tcPr>
                  <w:tcW w:w="590" w:type="pct"/>
                  <w:vAlign w:val="center"/>
                </w:tcPr>
                <w:p w14:paraId="37EE4492">
                  <w:pPr>
                    <w:pStyle w:val="29"/>
                    <w:rPr>
                      <w:sz w:val="21"/>
                      <w:szCs w:val="21"/>
                    </w:rPr>
                  </w:pPr>
                  <w:r>
                    <w:rPr>
                      <w:sz w:val="21"/>
                      <w:szCs w:val="21"/>
                    </w:rPr>
                    <w:t>0.01</w:t>
                  </w:r>
                </w:p>
              </w:tc>
              <w:tc>
                <w:tcPr>
                  <w:tcW w:w="525" w:type="pct"/>
                  <w:vAlign w:val="center"/>
                </w:tcPr>
                <w:p w14:paraId="4AC96AC2">
                  <w:pPr>
                    <w:pStyle w:val="29"/>
                    <w:rPr>
                      <w:sz w:val="21"/>
                      <w:szCs w:val="21"/>
                    </w:rPr>
                  </w:pPr>
                  <w:r>
                    <w:rPr>
                      <w:sz w:val="21"/>
                      <w:szCs w:val="21"/>
                    </w:rPr>
                    <w:t>/</w:t>
                  </w:r>
                </w:p>
              </w:tc>
              <w:tc>
                <w:tcPr>
                  <w:tcW w:w="526" w:type="pct"/>
                  <w:vMerge w:val="continue"/>
                  <w:vAlign w:val="center"/>
                </w:tcPr>
                <w:p w14:paraId="2C116686">
                  <w:pPr>
                    <w:pStyle w:val="29"/>
                    <w:rPr>
                      <w:sz w:val="21"/>
                      <w:szCs w:val="21"/>
                    </w:rPr>
                  </w:pPr>
                </w:p>
              </w:tc>
            </w:tr>
            <w:tr w14:paraId="44B7B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9" w:type="pct"/>
                  <w:vAlign w:val="center"/>
                </w:tcPr>
                <w:p w14:paraId="64C9F2D7">
                  <w:pPr>
                    <w:pStyle w:val="29"/>
                    <w:rPr>
                      <w:sz w:val="21"/>
                      <w:szCs w:val="21"/>
                    </w:rPr>
                  </w:pPr>
                  <w:r>
                    <w:rPr>
                      <w:sz w:val="21"/>
                      <w:szCs w:val="21"/>
                    </w:rPr>
                    <w:t>12</w:t>
                  </w:r>
                </w:p>
              </w:tc>
              <w:tc>
                <w:tcPr>
                  <w:tcW w:w="543" w:type="pct"/>
                  <w:shd w:val="clear" w:color="auto" w:fill="auto"/>
                  <w:vAlign w:val="center"/>
                </w:tcPr>
                <w:p w14:paraId="32761618">
                  <w:pPr>
                    <w:pStyle w:val="29"/>
                    <w:rPr>
                      <w:sz w:val="21"/>
                      <w:szCs w:val="21"/>
                    </w:rPr>
                  </w:pPr>
                  <w:r>
                    <w:rPr>
                      <w:sz w:val="21"/>
                      <w:szCs w:val="21"/>
                    </w:rPr>
                    <w:t>废印版</w:t>
                  </w:r>
                </w:p>
              </w:tc>
              <w:tc>
                <w:tcPr>
                  <w:tcW w:w="505" w:type="pct"/>
                  <w:shd w:val="clear" w:color="auto" w:fill="auto"/>
                  <w:vAlign w:val="center"/>
                </w:tcPr>
                <w:p w14:paraId="773A7773">
                  <w:pPr>
                    <w:pStyle w:val="29"/>
                    <w:rPr>
                      <w:sz w:val="21"/>
                      <w:szCs w:val="21"/>
                    </w:rPr>
                  </w:pPr>
                  <w:r>
                    <w:rPr>
                      <w:sz w:val="21"/>
                      <w:szCs w:val="21"/>
                    </w:rPr>
                    <w:t>印刷</w:t>
                  </w:r>
                </w:p>
              </w:tc>
              <w:tc>
                <w:tcPr>
                  <w:tcW w:w="330" w:type="pct"/>
                  <w:shd w:val="clear" w:color="auto" w:fill="auto"/>
                  <w:vAlign w:val="center"/>
                </w:tcPr>
                <w:p w14:paraId="190563BA">
                  <w:pPr>
                    <w:pStyle w:val="29"/>
                    <w:rPr>
                      <w:sz w:val="21"/>
                      <w:szCs w:val="21"/>
                    </w:rPr>
                  </w:pPr>
                  <w:r>
                    <w:rPr>
                      <w:sz w:val="21"/>
                      <w:szCs w:val="21"/>
                    </w:rPr>
                    <w:t>固态</w:t>
                  </w:r>
                </w:p>
              </w:tc>
              <w:tc>
                <w:tcPr>
                  <w:tcW w:w="532" w:type="pct"/>
                  <w:shd w:val="clear" w:color="auto" w:fill="auto"/>
                  <w:vAlign w:val="center"/>
                </w:tcPr>
                <w:p w14:paraId="7ECF8E3D">
                  <w:pPr>
                    <w:pStyle w:val="29"/>
                    <w:rPr>
                      <w:sz w:val="21"/>
                      <w:szCs w:val="21"/>
                    </w:rPr>
                  </w:pPr>
                  <w:r>
                    <w:rPr>
                      <w:sz w:val="21"/>
                      <w:szCs w:val="21"/>
                    </w:rPr>
                    <w:t>水性油墨</w:t>
                  </w:r>
                </w:p>
              </w:tc>
              <w:tc>
                <w:tcPr>
                  <w:tcW w:w="313" w:type="pct"/>
                  <w:vMerge w:val="continue"/>
                  <w:vAlign w:val="center"/>
                </w:tcPr>
                <w:p w14:paraId="7B90B8C9">
                  <w:pPr>
                    <w:pStyle w:val="29"/>
                    <w:rPr>
                      <w:sz w:val="21"/>
                      <w:szCs w:val="21"/>
                    </w:rPr>
                  </w:pPr>
                </w:p>
              </w:tc>
              <w:tc>
                <w:tcPr>
                  <w:tcW w:w="841" w:type="pct"/>
                  <w:vAlign w:val="center"/>
                </w:tcPr>
                <w:p w14:paraId="7A0DF652">
                  <w:pPr>
                    <w:pStyle w:val="29"/>
                    <w:rPr>
                      <w:sz w:val="21"/>
                      <w:szCs w:val="21"/>
                    </w:rPr>
                  </w:pPr>
                  <w:r>
                    <w:rPr>
                      <w:sz w:val="21"/>
                      <w:szCs w:val="21"/>
                    </w:rPr>
                    <w:t>HW49</w:t>
                  </w:r>
                </w:p>
                <w:p w14:paraId="04AF9902">
                  <w:pPr>
                    <w:pStyle w:val="29"/>
                    <w:rPr>
                      <w:sz w:val="21"/>
                      <w:szCs w:val="21"/>
                    </w:rPr>
                  </w:pPr>
                  <w:r>
                    <w:rPr>
                      <w:sz w:val="21"/>
                      <w:szCs w:val="21"/>
                    </w:rPr>
                    <w:t>900-041-49</w:t>
                  </w:r>
                </w:p>
              </w:tc>
              <w:tc>
                <w:tcPr>
                  <w:tcW w:w="590" w:type="pct"/>
                  <w:vAlign w:val="center"/>
                </w:tcPr>
                <w:p w14:paraId="5F8DA6E2">
                  <w:pPr>
                    <w:pStyle w:val="29"/>
                    <w:rPr>
                      <w:sz w:val="21"/>
                      <w:szCs w:val="21"/>
                    </w:rPr>
                  </w:pPr>
                  <w:r>
                    <w:rPr>
                      <w:sz w:val="21"/>
                      <w:szCs w:val="21"/>
                    </w:rPr>
                    <w:t>0.004</w:t>
                  </w:r>
                </w:p>
              </w:tc>
              <w:tc>
                <w:tcPr>
                  <w:tcW w:w="525" w:type="pct"/>
                  <w:vAlign w:val="center"/>
                </w:tcPr>
                <w:p w14:paraId="58481F0A">
                  <w:pPr>
                    <w:pStyle w:val="29"/>
                    <w:rPr>
                      <w:sz w:val="21"/>
                      <w:szCs w:val="21"/>
                    </w:rPr>
                  </w:pPr>
                  <w:r>
                    <w:rPr>
                      <w:sz w:val="21"/>
                      <w:szCs w:val="21"/>
                    </w:rPr>
                    <w:t>/</w:t>
                  </w:r>
                </w:p>
              </w:tc>
              <w:tc>
                <w:tcPr>
                  <w:tcW w:w="526" w:type="pct"/>
                  <w:vMerge w:val="continue"/>
                  <w:vAlign w:val="center"/>
                </w:tcPr>
                <w:p w14:paraId="61DBB4E6">
                  <w:pPr>
                    <w:pStyle w:val="29"/>
                    <w:rPr>
                      <w:sz w:val="21"/>
                      <w:szCs w:val="21"/>
                    </w:rPr>
                  </w:pPr>
                </w:p>
              </w:tc>
            </w:tr>
            <w:tr w14:paraId="0D080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289" w:type="pct"/>
                  <w:vAlign w:val="center"/>
                </w:tcPr>
                <w:p w14:paraId="56B9953C">
                  <w:pPr>
                    <w:pStyle w:val="29"/>
                    <w:rPr>
                      <w:sz w:val="21"/>
                      <w:szCs w:val="21"/>
                    </w:rPr>
                  </w:pPr>
                  <w:r>
                    <w:rPr>
                      <w:sz w:val="21"/>
                      <w:szCs w:val="21"/>
                    </w:rPr>
                    <w:t>13</w:t>
                  </w:r>
                </w:p>
              </w:tc>
              <w:tc>
                <w:tcPr>
                  <w:tcW w:w="543" w:type="pct"/>
                  <w:shd w:val="clear" w:color="auto" w:fill="auto"/>
                  <w:vAlign w:val="center"/>
                </w:tcPr>
                <w:p w14:paraId="289EF411">
                  <w:pPr>
                    <w:pStyle w:val="29"/>
                    <w:rPr>
                      <w:sz w:val="21"/>
                      <w:szCs w:val="21"/>
                    </w:rPr>
                  </w:pPr>
                  <w:r>
                    <w:rPr>
                      <w:sz w:val="21"/>
                      <w:szCs w:val="21"/>
                    </w:rPr>
                    <w:t>废反渗透膜</w:t>
                  </w:r>
                </w:p>
              </w:tc>
              <w:tc>
                <w:tcPr>
                  <w:tcW w:w="505" w:type="pct"/>
                  <w:shd w:val="clear" w:color="auto" w:fill="auto"/>
                  <w:vAlign w:val="center"/>
                </w:tcPr>
                <w:p w14:paraId="7505FEC6">
                  <w:pPr>
                    <w:pStyle w:val="29"/>
                    <w:rPr>
                      <w:sz w:val="21"/>
                      <w:szCs w:val="21"/>
                    </w:rPr>
                  </w:pPr>
                  <w:r>
                    <w:rPr>
                      <w:sz w:val="21"/>
                      <w:szCs w:val="21"/>
                    </w:rPr>
                    <w:t>软水制备</w:t>
                  </w:r>
                </w:p>
              </w:tc>
              <w:tc>
                <w:tcPr>
                  <w:tcW w:w="330" w:type="pct"/>
                  <w:shd w:val="clear" w:color="auto" w:fill="auto"/>
                  <w:vAlign w:val="center"/>
                </w:tcPr>
                <w:p w14:paraId="020BE087">
                  <w:pPr>
                    <w:pStyle w:val="29"/>
                    <w:rPr>
                      <w:sz w:val="21"/>
                      <w:szCs w:val="21"/>
                    </w:rPr>
                  </w:pPr>
                  <w:r>
                    <w:rPr>
                      <w:sz w:val="21"/>
                      <w:szCs w:val="21"/>
                    </w:rPr>
                    <w:t>固态</w:t>
                  </w:r>
                </w:p>
              </w:tc>
              <w:tc>
                <w:tcPr>
                  <w:tcW w:w="532" w:type="pct"/>
                  <w:shd w:val="clear" w:color="auto" w:fill="auto"/>
                  <w:vAlign w:val="center"/>
                </w:tcPr>
                <w:p w14:paraId="1CB1526B">
                  <w:pPr>
                    <w:pStyle w:val="29"/>
                    <w:rPr>
                      <w:sz w:val="21"/>
                      <w:szCs w:val="21"/>
                    </w:rPr>
                  </w:pPr>
                  <w:r>
                    <w:rPr>
                      <w:sz w:val="21"/>
                      <w:szCs w:val="21"/>
                    </w:rPr>
                    <w:t>废反渗透膜</w:t>
                  </w:r>
                </w:p>
              </w:tc>
              <w:tc>
                <w:tcPr>
                  <w:tcW w:w="313" w:type="pct"/>
                  <w:vMerge w:val="continue"/>
                  <w:vAlign w:val="center"/>
                </w:tcPr>
                <w:p w14:paraId="59B38F44">
                  <w:pPr>
                    <w:pStyle w:val="29"/>
                    <w:rPr>
                      <w:sz w:val="21"/>
                      <w:szCs w:val="21"/>
                    </w:rPr>
                  </w:pPr>
                </w:p>
              </w:tc>
              <w:tc>
                <w:tcPr>
                  <w:tcW w:w="841" w:type="pct"/>
                  <w:vAlign w:val="center"/>
                </w:tcPr>
                <w:p w14:paraId="588BFD9E">
                  <w:pPr>
                    <w:pStyle w:val="29"/>
                    <w:rPr>
                      <w:sz w:val="21"/>
                      <w:szCs w:val="21"/>
                    </w:rPr>
                  </w:pPr>
                  <w:r>
                    <w:rPr>
                      <w:sz w:val="21"/>
                      <w:szCs w:val="21"/>
                    </w:rPr>
                    <w:t>HW13</w:t>
                  </w:r>
                </w:p>
                <w:p w14:paraId="0D8D6F0B">
                  <w:pPr>
                    <w:pStyle w:val="29"/>
                    <w:rPr>
                      <w:sz w:val="21"/>
                      <w:szCs w:val="21"/>
                    </w:rPr>
                  </w:pPr>
                  <w:r>
                    <w:rPr>
                      <w:sz w:val="21"/>
                      <w:szCs w:val="21"/>
                    </w:rPr>
                    <w:t>900-015-13</w:t>
                  </w:r>
                </w:p>
              </w:tc>
              <w:tc>
                <w:tcPr>
                  <w:tcW w:w="590" w:type="pct"/>
                  <w:vAlign w:val="center"/>
                </w:tcPr>
                <w:p w14:paraId="05E9A7E8">
                  <w:pPr>
                    <w:pStyle w:val="29"/>
                    <w:rPr>
                      <w:sz w:val="21"/>
                      <w:szCs w:val="21"/>
                    </w:rPr>
                  </w:pPr>
                  <w:r>
                    <w:rPr>
                      <w:sz w:val="21"/>
                      <w:szCs w:val="21"/>
                    </w:rPr>
                    <w:t>0.05</w:t>
                  </w:r>
                </w:p>
              </w:tc>
              <w:tc>
                <w:tcPr>
                  <w:tcW w:w="525" w:type="pct"/>
                  <w:vAlign w:val="center"/>
                </w:tcPr>
                <w:p w14:paraId="6FDB1784">
                  <w:pPr>
                    <w:pStyle w:val="29"/>
                    <w:rPr>
                      <w:sz w:val="21"/>
                      <w:szCs w:val="21"/>
                    </w:rPr>
                  </w:pPr>
                  <w:r>
                    <w:rPr>
                      <w:sz w:val="21"/>
                      <w:szCs w:val="21"/>
                    </w:rPr>
                    <w:t>/</w:t>
                  </w:r>
                </w:p>
              </w:tc>
              <w:tc>
                <w:tcPr>
                  <w:tcW w:w="526" w:type="pct"/>
                  <w:vMerge w:val="continue"/>
                  <w:vAlign w:val="center"/>
                </w:tcPr>
                <w:p w14:paraId="4322118C">
                  <w:pPr>
                    <w:pStyle w:val="29"/>
                    <w:rPr>
                      <w:sz w:val="21"/>
                      <w:szCs w:val="21"/>
                    </w:rPr>
                  </w:pPr>
                </w:p>
              </w:tc>
            </w:tr>
          </w:tbl>
          <w:p w14:paraId="07CB7AFA">
            <w:pPr>
              <w:pStyle w:val="37"/>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项目拟在车间东北侧设置1间一般固废暂存间（面积约20m</w:t>
            </w:r>
            <w:r>
              <w:rPr>
                <w:rFonts w:hint="default" w:ascii="Times New Roman" w:hAnsi="Times New Roman" w:cs="Times New Roman"/>
                <w:vertAlign w:val="superscript"/>
              </w:rPr>
              <w:t>2</w:t>
            </w:r>
            <w:r>
              <w:rPr>
                <w:rFonts w:hint="default" w:ascii="Times New Roman" w:hAnsi="Times New Roman" w:cs="Times New Roman"/>
              </w:rPr>
              <w:t>），设置1间危废暂存间（面积约10m</w:t>
            </w:r>
            <w:r>
              <w:rPr>
                <w:rFonts w:hint="default" w:ascii="Times New Roman" w:hAnsi="Times New Roman" w:cs="Times New Roman"/>
                <w:vertAlign w:val="superscript"/>
              </w:rPr>
              <w:t>2</w:t>
            </w:r>
            <w:r>
              <w:rPr>
                <w:rFonts w:hint="default" w:ascii="Times New Roman" w:hAnsi="Times New Roman" w:cs="Times New Roman"/>
              </w:rPr>
              <w:t>）。</w:t>
            </w:r>
            <w:bookmarkEnd w:id="13"/>
          </w:p>
          <w:p w14:paraId="24398BBC">
            <w:pPr>
              <w:pStyle w:val="37"/>
              <w:keepNext w:val="0"/>
              <w:keepLines w:val="0"/>
              <w:pageBreakBefore w:val="0"/>
              <w:widowControl w:val="0"/>
              <w:kinsoku/>
              <w:wordWrap/>
              <w:overflowPunct/>
              <w:topLinePunct w:val="0"/>
              <w:autoSpaceDE/>
              <w:autoSpaceDN/>
              <w:bidi w:val="0"/>
              <w:adjustRightInd w:val="0"/>
              <w:snapToGrid w:val="0"/>
              <w:spacing w:line="460" w:lineRule="exact"/>
              <w:ind w:firstLine="0" w:firstLineChars="0"/>
              <w:textAlignment w:val="auto"/>
              <w:rPr>
                <w:rFonts w:hint="default" w:ascii="Times New Roman" w:hAnsi="Times New Roman" w:cs="Times New Roman"/>
              </w:rPr>
            </w:pPr>
            <w:r>
              <w:rPr>
                <w:rFonts w:hint="default" w:ascii="Times New Roman" w:hAnsi="Times New Roman" w:cs="Times New Roman"/>
                <w:b/>
                <w:bCs/>
              </w:rPr>
              <w:t>4.5.2</w:t>
            </w:r>
            <w:r>
              <w:rPr>
                <w:rFonts w:hint="default" w:ascii="Times New Roman" w:hAnsi="Times New Roman" w:cs="Times New Roman"/>
                <w:b/>
                <w:bCs/>
                <w:color w:val="000000"/>
                <w:kern w:val="0"/>
                <w:lang w:bidi="ar"/>
              </w:rPr>
              <w:t>环境管理要求</w:t>
            </w:r>
          </w:p>
          <w:p w14:paraId="4EB266A4">
            <w:pPr>
              <w:pStyle w:val="37"/>
              <w:keepNext w:val="0"/>
              <w:keepLines w:val="0"/>
              <w:pageBreakBefore w:val="0"/>
              <w:kinsoku/>
              <w:overflowPunct/>
              <w:topLinePunct w:val="0"/>
              <w:autoSpaceDE/>
              <w:autoSpaceDN/>
              <w:bidi w:val="0"/>
              <w:spacing w:line="460" w:lineRule="exact"/>
              <w:ind w:firstLine="482"/>
              <w:textAlignment w:val="auto"/>
              <w:rPr>
                <w:rFonts w:hint="default" w:ascii="Times New Roman" w:hAnsi="Times New Roman" w:cs="Times New Roman"/>
                <w:b/>
                <w:bCs/>
              </w:rPr>
            </w:pPr>
            <w:r>
              <w:rPr>
                <w:rFonts w:hint="default" w:ascii="Times New Roman" w:hAnsi="Times New Roman" w:cs="Times New Roman"/>
                <w:b/>
                <w:bCs/>
              </w:rPr>
              <w:t>1、一般固废</w:t>
            </w:r>
          </w:p>
          <w:p w14:paraId="2D187606">
            <w:pPr>
              <w:keepNext w:val="0"/>
              <w:keepLines w:val="0"/>
              <w:pageBreakBefore w:val="0"/>
              <w:kinsoku/>
              <w:overflowPunct/>
              <w:topLinePunct w:val="0"/>
              <w:autoSpaceDE/>
              <w:autoSpaceDN/>
              <w:bidi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rPr>
              <w:t>本项目在车间内北侧设置1间一般固废暂存间，面积约为5m²，用于暂存废边角料、不合格品，最大存储量为5t，废边角料、不合格品产生量约为1.21t/d，可满足每周处理2~3次的暂存要求。建立健全工业固体废物产生、收集、贮存、运输、利用、处置全过程的污染环境防治责任制度，建立工业固体废物管理台账。</w:t>
            </w:r>
          </w:p>
          <w:p w14:paraId="1E7492DB">
            <w:pPr>
              <w:keepNext w:val="0"/>
              <w:keepLines w:val="0"/>
              <w:pageBreakBefore w:val="0"/>
              <w:kinsoku/>
              <w:overflowPunct/>
              <w:topLinePunct w:val="0"/>
              <w:autoSpaceDE/>
              <w:autoSpaceDN/>
              <w:bidi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rPr>
              <w:t xml:space="preserve">一般固废间采取防风防雨防晒措施、各类固废应分类收集、装贴环保图形标志；设置符合《一般工业固体废物贮存和填埋污染控制标准》（GB </w:t>
            </w:r>
          </w:p>
          <w:p w14:paraId="7932AAC1">
            <w:pPr>
              <w:keepNext w:val="0"/>
              <w:keepLines w:val="0"/>
              <w:pageBreakBefore w:val="0"/>
              <w:kinsoku/>
              <w:overflowPunct/>
              <w:topLinePunct w:val="0"/>
              <w:autoSpaceDE/>
              <w:autoSpaceDN/>
              <w:bidi w:val="0"/>
              <w:spacing w:line="460" w:lineRule="exact"/>
              <w:textAlignment w:val="auto"/>
              <w:rPr>
                <w:rFonts w:hint="default" w:ascii="Times New Roman" w:hAnsi="Times New Roman" w:cs="Times New Roman"/>
              </w:rPr>
            </w:pPr>
            <w:r>
              <w:rPr>
                <w:rFonts w:hint="default" w:ascii="Times New Roman" w:hAnsi="Times New Roman" w:cs="Times New Roman"/>
              </w:rPr>
              <w:t xml:space="preserve">18599-2020）的要求；本项目一般工业固废为固体，贮存在包装袋内，在贮 </w:t>
            </w:r>
          </w:p>
          <w:p w14:paraId="27CDAE18">
            <w:pPr>
              <w:keepNext w:val="0"/>
              <w:keepLines w:val="0"/>
              <w:pageBreakBefore w:val="0"/>
              <w:widowControl/>
              <w:kinsoku/>
              <w:overflowPunct/>
              <w:topLinePunct w:val="0"/>
              <w:autoSpaceDE/>
              <w:autoSpaceDN/>
              <w:bidi w:val="0"/>
              <w:spacing w:line="460" w:lineRule="exact"/>
              <w:jc w:val="left"/>
              <w:textAlignment w:val="auto"/>
              <w:rPr>
                <w:rFonts w:hint="default" w:ascii="Times New Roman" w:hAnsi="Times New Roman" w:cs="Times New Roman"/>
              </w:rPr>
            </w:pPr>
            <w:r>
              <w:rPr>
                <w:rFonts w:hint="default" w:ascii="Times New Roman" w:hAnsi="Times New Roman" w:cs="Times New Roman"/>
              </w:rPr>
              <w:t>存过程中不会对环境空气、地表水、地下水、土壤等产生影响。</w:t>
            </w:r>
            <w:r>
              <w:rPr>
                <w:rFonts w:hint="default" w:ascii="Times New Roman" w:hAnsi="Times New Roman" w:cs="Times New Roman"/>
                <w:color w:val="000000"/>
                <w:kern w:val="0"/>
                <w:lang w:bidi="ar"/>
              </w:rPr>
              <w:t>建设方应严格按照《中华人民共和国固体废物污染环境防治法》要求，建立健全一般工业固废产生、收集、贮存、运输、利用、处置全过程的污染环境防治责任制度，建立工业固体废物管理台账，如实记录产生一般工业固废的种类、数量、流向、贮存、利用、处置等信息，实现一般工业固体废物可追溯、可查询。</w:t>
            </w:r>
          </w:p>
          <w:p w14:paraId="189C8B7D">
            <w:pPr>
              <w:pStyle w:val="37"/>
              <w:keepNext w:val="0"/>
              <w:keepLines w:val="0"/>
              <w:pageBreakBefore w:val="0"/>
              <w:kinsoku/>
              <w:overflowPunct/>
              <w:topLinePunct w:val="0"/>
              <w:autoSpaceDE/>
              <w:autoSpaceDN/>
              <w:bidi w:val="0"/>
              <w:spacing w:line="460" w:lineRule="exact"/>
              <w:ind w:firstLine="482"/>
              <w:textAlignment w:val="auto"/>
              <w:rPr>
                <w:rFonts w:hint="default" w:ascii="Times New Roman" w:hAnsi="Times New Roman" w:cs="Times New Roman"/>
                <w:b/>
                <w:bCs/>
              </w:rPr>
            </w:pPr>
            <w:r>
              <w:rPr>
                <w:rFonts w:hint="default" w:ascii="Times New Roman" w:hAnsi="Times New Roman" w:cs="Times New Roman"/>
                <w:b/>
                <w:bCs/>
              </w:rPr>
              <w:t>2、危险废物</w:t>
            </w:r>
          </w:p>
          <w:p w14:paraId="489FF9CD">
            <w:pPr>
              <w:keepNext w:val="0"/>
              <w:keepLines w:val="0"/>
              <w:pageBreakBefore w:val="0"/>
              <w:kinsoku/>
              <w:overflowPunct/>
              <w:topLinePunct w:val="0"/>
              <w:autoSpaceDE/>
              <w:autoSpaceDN/>
              <w:bidi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rPr>
              <w:t>建设单位在车间内东北设置一处规范化危险废物暂存间，面积约10m</w:t>
            </w:r>
            <w:r>
              <w:rPr>
                <w:rFonts w:hint="default" w:ascii="Times New Roman" w:hAnsi="Times New Roman" w:cs="Times New Roman"/>
                <w:vertAlign w:val="superscript"/>
              </w:rPr>
              <w:t>2</w:t>
            </w:r>
            <w:r>
              <w:rPr>
                <w:rFonts w:hint="default" w:ascii="Times New Roman" w:hAnsi="Times New Roman" w:cs="Times New Roman"/>
              </w:rPr>
              <w:t>。该暂存场所建设中应按照《危险废物贮存污染控制标准》（G18597-2023）相关要求进行实施：</w:t>
            </w:r>
          </w:p>
          <w:p w14:paraId="3C3EFA93">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（1）履行申报登记制度；</w:t>
            </w:r>
          </w:p>
          <w:p w14:paraId="571FAFB8">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（2）建立台账管理制度，企业须做好危险废物情况的记录，记录上需注明危险废物的名称、来源、数量、特性和包装容器的类别；</w:t>
            </w:r>
          </w:p>
          <w:p w14:paraId="75A50945">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（3）委托处置应执行报批和转移联单等制度；</w:t>
            </w:r>
          </w:p>
          <w:p w14:paraId="57619DB1">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（4）定期对暂存的危险废物包装容器及贮存设施进行检查，及早发现破损，及时采取措施清理更换；</w:t>
            </w:r>
          </w:p>
          <w:p w14:paraId="56EB726E">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（5）直接从事收集、贮存、运输、利用、处置危险废物的人员，应当接受专业培训，经考核合格，方可从事该项工作。</w:t>
            </w:r>
          </w:p>
          <w:p w14:paraId="2191CBB7">
            <w:pPr>
              <w:pStyle w:val="45"/>
              <w:keepNext w:val="0"/>
              <w:keepLines w:val="0"/>
              <w:pageBreakBefore w:val="0"/>
              <w:kinsoku/>
              <w:overflowPunct/>
              <w:topLinePunct w:val="0"/>
              <w:autoSpaceDE/>
              <w:autoSpaceDN/>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（6）固废贮存（处置）场所规范化设置，固体废物贮存（处置）场所应在醒目处设置标志牌。危废间标识要求见下表：</w:t>
            </w:r>
          </w:p>
          <w:p w14:paraId="7140F894">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表4-2</w:t>
            </w:r>
            <w:r>
              <w:rPr>
                <w:rFonts w:hint="eastAsia" w:cs="Times New Roman"/>
                <w:b/>
                <w:kern w:val="0"/>
                <w:sz w:val="21"/>
                <w:szCs w:val="22"/>
                <w:lang w:val="en-US" w:eastAsia="zh-CN"/>
              </w:rPr>
              <w:t>4</w:t>
            </w:r>
            <w:r>
              <w:rPr>
                <w:rFonts w:hint="default" w:ascii="Times New Roman" w:hAnsi="Times New Roman" w:cs="Times New Roman"/>
                <w:b/>
                <w:kern w:val="0"/>
                <w:sz w:val="21"/>
                <w:szCs w:val="22"/>
              </w:rPr>
              <w:t xml:space="preserve"> 危险废物贮存设施分区、标志、标签示例</w:t>
            </w:r>
          </w:p>
          <w:tbl>
            <w:tblPr>
              <w:tblStyle w:val="2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430"/>
              <w:gridCol w:w="3656"/>
              <w:gridCol w:w="3866"/>
            </w:tblGrid>
            <w:tr w14:paraId="5BF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1" w:type="dxa"/>
                  <w:vAlign w:val="center"/>
                </w:tcPr>
                <w:p w14:paraId="648D4272">
                  <w:pPr>
                    <w:widowControl/>
                    <w:adjustRightInd w:val="0"/>
                    <w:snapToGrid w:val="0"/>
                    <w:spacing w:line="240" w:lineRule="auto"/>
                    <w:jc w:val="center"/>
                    <w:rPr>
                      <w:b/>
                      <w:bCs/>
                      <w:sz w:val="21"/>
                      <w:szCs w:val="21"/>
                      <w:lang w:val="zh-CN"/>
                    </w:rPr>
                  </w:pPr>
                  <w:r>
                    <w:rPr>
                      <w:b/>
                      <w:bCs/>
                      <w:sz w:val="21"/>
                      <w:szCs w:val="21"/>
                      <w:lang w:val="zh-CN"/>
                    </w:rPr>
                    <w:t>标志位置</w:t>
                  </w:r>
                </w:p>
              </w:tc>
              <w:tc>
                <w:tcPr>
                  <w:tcW w:w="3655" w:type="dxa"/>
                  <w:vAlign w:val="center"/>
                </w:tcPr>
                <w:p w14:paraId="1A3AF2D9">
                  <w:pPr>
                    <w:widowControl/>
                    <w:adjustRightInd w:val="0"/>
                    <w:snapToGrid w:val="0"/>
                    <w:spacing w:line="240" w:lineRule="auto"/>
                    <w:jc w:val="center"/>
                    <w:rPr>
                      <w:b/>
                      <w:bCs/>
                      <w:sz w:val="21"/>
                      <w:szCs w:val="21"/>
                      <w:lang w:val="zh-CN"/>
                    </w:rPr>
                  </w:pPr>
                  <w:r>
                    <w:rPr>
                      <w:b/>
                      <w:bCs/>
                      <w:sz w:val="21"/>
                      <w:szCs w:val="21"/>
                      <w:lang w:val="zh-CN"/>
                    </w:rPr>
                    <w:t>提示图形符号样式</w:t>
                  </w:r>
                </w:p>
              </w:tc>
              <w:tc>
                <w:tcPr>
                  <w:tcW w:w="4166" w:type="dxa"/>
                  <w:vAlign w:val="center"/>
                </w:tcPr>
                <w:p w14:paraId="628323BB">
                  <w:pPr>
                    <w:widowControl/>
                    <w:adjustRightInd w:val="0"/>
                    <w:snapToGrid w:val="0"/>
                    <w:spacing w:line="240" w:lineRule="auto"/>
                    <w:jc w:val="center"/>
                    <w:rPr>
                      <w:b/>
                      <w:bCs/>
                      <w:sz w:val="21"/>
                      <w:szCs w:val="21"/>
                      <w:lang w:val="zh-CN"/>
                    </w:rPr>
                  </w:pPr>
                  <w:r>
                    <w:rPr>
                      <w:b/>
                      <w:bCs/>
                      <w:sz w:val="21"/>
                      <w:szCs w:val="21"/>
                      <w:lang w:val="zh-CN"/>
                    </w:rPr>
                    <w:t>设置要求</w:t>
                  </w:r>
                </w:p>
              </w:tc>
            </w:tr>
            <w:tr w14:paraId="01367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1" w:type="dxa"/>
                  <w:vAlign w:val="center"/>
                </w:tcPr>
                <w:p w14:paraId="5249ABD3">
                  <w:pPr>
                    <w:widowControl/>
                    <w:adjustRightInd w:val="0"/>
                    <w:snapToGrid w:val="0"/>
                    <w:spacing w:line="240" w:lineRule="auto"/>
                    <w:jc w:val="center"/>
                    <w:rPr>
                      <w:sz w:val="21"/>
                      <w:szCs w:val="21"/>
                      <w:lang w:val="zh-CN"/>
                    </w:rPr>
                  </w:pPr>
                  <w:r>
                    <w:rPr>
                      <w:sz w:val="21"/>
                      <w:szCs w:val="21"/>
                      <w:lang w:val="zh-CN"/>
                    </w:rPr>
                    <w:t>厂区门口醒目位置</w:t>
                  </w:r>
                </w:p>
              </w:tc>
              <w:tc>
                <w:tcPr>
                  <w:tcW w:w="3655" w:type="dxa"/>
                  <w:vAlign w:val="center"/>
                </w:tcPr>
                <w:p w14:paraId="6F5192FE">
                  <w:pPr>
                    <w:widowControl/>
                    <w:adjustRightInd w:val="0"/>
                    <w:snapToGrid w:val="0"/>
                    <w:spacing w:line="240" w:lineRule="auto"/>
                    <w:jc w:val="center"/>
                    <w:rPr>
                      <w:sz w:val="21"/>
                      <w:szCs w:val="21"/>
                      <w:lang w:val="zh-CN"/>
                    </w:rPr>
                  </w:pPr>
                  <w:r>
                    <w:rPr>
                      <w:sz w:val="21"/>
                      <w:szCs w:val="21"/>
                    </w:rPr>
                    <w:drawing>
                      <wp:inline distT="0" distB="0" distL="0" distR="0">
                        <wp:extent cx="2207895" cy="1476375"/>
                        <wp:effectExtent l="0" t="0" r="1905" b="9525"/>
                        <wp:docPr id="42"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79.jpeg"/>
                                <pic:cNvPicPr>
                                  <a:picLocks noChangeAspect="1"/>
                                </pic:cNvPicPr>
                              </pic:nvPicPr>
                              <pic:blipFill>
                                <a:blip r:embed="rId44" cstate="print"/>
                                <a:stretch>
                                  <a:fillRect/>
                                </a:stretch>
                              </pic:blipFill>
                              <pic:spPr>
                                <a:xfrm>
                                  <a:off x="0" y="0"/>
                                  <a:ext cx="2212806" cy="1479601"/>
                                </a:xfrm>
                                <a:prstGeom prst="rect">
                                  <a:avLst/>
                                </a:prstGeom>
                              </pic:spPr>
                            </pic:pic>
                          </a:graphicData>
                        </a:graphic>
                      </wp:inline>
                    </w:drawing>
                  </w:r>
                </w:p>
              </w:tc>
              <w:tc>
                <w:tcPr>
                  <w:tcW w:w="4166" w:type="dxa"/>
                  <w:vAlign w:val="center"/>
                </w:tcPr>
                <w:p w14:paraId="27811635">
                  <w:pPr>
                    <w:widowControl/>
                    <w:adjustRightInd w:val="0"/>
                    <w:snapToGrid w:val="0"/>
                    <w:spacing w:line="240" w:lineRule="auto"/>
                    <w:rPr>
                      <w:sz w:val="21"/>
                      <w:szCs w:val="21"/>
                      <w:lang w:val="zh-CN"/>
                    </w:rPr>
                  </w:pPr>
                  <w:r>
                    <w:rPr>
                      <w:bCs/>
                      <w:sz w:val="21"/>
                      <w:szCs w:val="21"/>
                      <w:lang w:val="zh-CN"/>
                    </w:rPr>
                    <w:t>设置位置</w:t>
                  </w:r>
                  <w:r>
                    <w:rPr>
                      <w:sz w:val="21"/>
                      <w:szCs w:val="21"/>
                      <w:lang w:val="zh-CN"/>
                    </w:rPr>
                    <w:t>：采用立式固定方式固定在危险废物产生单位厂区门口醒目位置，公开栏顶端距离地面 200cm 处；</w:t>
                  </w:r>
                  <w:r>
                    <w:rPr>
                      <w:bCs/>
                      <w:sz w:val="21"/>
                      <w:szCs w:val="21"/>
                      <w:lang w:val="zh-CN"/>
                    </w:rPr>
                    <w:t>尺寸</w:t>
                  </w:r>
                  <w:r>
                    <w:rPr>
                      <w:sz w:val="21"/>
                      <w:szCs w:val="21"/>
                      <w:lang w:val="zh-CN"/>
                    </w:rPr>
                    <w:t>：底板 120cm×80cm14.</w:t>
                  </w:r>
                  <w:r>
                    <w:rPr>
                      <w:bCs/>
                      <w:sz w:val="21"/>
                      <w:szCs w:val="21"/>
                      <w:lang w:val="zh-CN"/>
                    </w:rPr>
                    <w:t>颜色与字体</w:t>
                  </w:r>
                  <w:r>
                    <w:rPr>
                      <w:sz w:val="21"/>
                      <w:szCs w:val="21"/>
                      <w:lang w:val="zh-CN"/>
                    </w:rPr>
                    <w:t>：公开栏底板背景颜色为蓝色，文字颜色为白色，所有文字字体为黑体14.</w:t>
                  </w:r>
                  <w:r>
                    <w:rPr>
                      <w:bCs/>
                      <w:sz w:val="21"/>
                      <w:szCs w:val="21"/>
                      <w:lang w:val="zh-CN"/>
                    </w:rPr>
                    <w:t>材料</w:t>
                  </w:r>
                  <w:r>
                    <w:rPr>
                      <w:sz w:val="21"/>
                      <w:szCs w:val="21"/>
                      <w:lang w:val="zh-CN"/>
                    </w:rPr>
                    <w:t>：底板采用 5mm 铝板；</w:t>
                  </w:r>
                </w:p>
                <w:p w14:paraId="1E3DB384">
                  <w:pPr>
                    <w:widowControl/>
                    <w:adjustRightInd w:val="0"/>
                    <w:snapToGrid w:val="0"/>
                    <w:spacing w:line="240" w:lineRule="auto"/>
                    <w:rPr>
                      <w:sz w:val="21"/>
                      <w:szCs w:val="21"/>
                      <w:lang w:val="zh-CN"/>
                    </w:rPr>
                  </w:pPr>
                  <w:r>
                    <w:rPr>
                      <w:sz w:val="21"/>
                      <w:szCs w:val="21"/>
                      <w:lang w:val="zh-CN"/>
                    </w:rPr>
                    <w:t>公开内容：</w:t>
                  </w:r>
                </w:p>
                <w:p w14:paraId="401C94A3">
                  <w:pPr>
                    <w:widowControl/>
                    <w:adjustRightInd w:val="0"/>
                    <w:snapToGrid w:val="0"/>
                    <w:spacing w:line="240" w:lineRule="auto"/>
                    <w:rPr>
                      <w:sz w:val="21"/>
                      <w:szCs w:val="21"/>
                      <w:lang w:val="zh-CN"/>
                    </w:rPr>
                  </w:pPr>
                  <w:r>
                    <w:rPr>
                      <w:bCs/>
                      <w:sz w:val="21"/>
                      <w:szCs w:val="21"/>
                      <w:lang w:val="zh-CN"/>
                    </w:rPr>
                    <w:t>企业基本信息</w:t>
                  </w:r>
                  <w:r>
                    <w:rPr>
                      <w:sz w:val="21"/>
                      <w:szCs w:val="21"/>
                      <w:lang w:val="zh-CN"/>
                    </w:rPr>
                    <w:t>：包括企业名称、地址、法人代表及电话、环保负责人及电话。</w:t>
                  </w:r>
                </w:p>
                <w:p w14:paraId="237F0835">
                  <w:pPr>
                    <w:widowControl/>
                    <w:adjustRightInd w:val="0"/>
                    <w:snapToGrid w:val="0"/>
                    <w:spacing w:line="240" w:lineRule="auto"/>
                    <w:rPr>
                      <w:sz w:val="21"/>
                      <w:szCs w:val="21"/>
                      <w:lang w:val="zh-CN"/>
                    </w:rPr>
                  </w:pPr>
                  <w:r>
                    <w:rPr>
                      <w:bCs/>
                      <w:sz w:val="21"/>
                      <w:szCs w:val="21"/>
                      <w:lang w:val="zh-CN"/>
                    </w:rPr>
                    <w:t>危险废物产生规模</w:t>
                  </w:r>
                  <w:r>
                    <w:rPr>
                      <w:sz w:val="21"/>
                      <w:szCs w:val="21"/>
                      <w:lang w:val="zh-CN"/>
                    </w:rPr>
                    <w:t>：分为 1 吨 / 年以下、1（含）-10 吨 / 年、10（含）-100 吨 / 年、100（含）-500 吨 / 年、500（含）-1000 吨 / 年、1000 吨 / 年及以上共六个等级。</w:t>
                  </w:r>
                </w:p>
                <w:p w14:paraId="5B6AAEAC">
                  <w:pPr>
                    <w:widowControl/>
                    <w:adjustRightInd w:val="0"/>
                    <w:snapToGrid w:val="0"/>
                    <w:spacing w:line="240" w:lineRule="auto"/>
                    <w:rPr>
                      <w:sz w:val="21"/>
                      <w:szCs w:val="21"/>
                      <w:lang w:val="zh-CN"/>
                    </w:rPr>
                  </w:pPr>
                  <w:r>
                    <w:rPr>
                      <w:bCs/>
                      <w:sz w:val="21"/>
                      <w:szCs w:val="21"/>
                      <w:lang w:val="zh-CN"/>
                    </w:rPr>
                    <w:t>贮存设施信息</w:t>
                  </w:r>
                  <w:r>
                    <w:rPr>
                      <w:sz w:val="21"/>
                      <w:szCs w:val="21"/>
                      <w:lang w:val="zh-CN"/>
                    </w:rPr>
                    <w:t>：贮存设施数量，需分别列出仓库及储罐的数量，仓库包括企业所有贮存危险废物的全封闭式仓库、围墙或防护栅栏隔离区域，储罐包括企业所有贮存危险废物的储罐、贮槽等；贮存设施建筑面积和容积，仓库面积指企业所有贮存危险废物的全封闭式仓库、围墙或防护栅栏隔离区域等建筑面积之和，以平方米计，储罐容积指企业所有贮存危险废物的储罐、贮槽等容积之和，以升计。</w:t>
                  </w:r>
                </w:p>
                <w:p w14:paraId="26BBD906">
                  <w:pPr>
                    <w:widowControl/>
                    <w:adjustRightInd w:val="0"/>
                    <w:snapToGrid w:val="0"/>
                    <w:spacing w:line="240" w:lineRule="auto"/>
                    <w:rPr>
                      <w:sz w:val="21"/>
                      <w:szCs w:val="21"/>
                      <w:lang w:val="zh-CN"/>
                    </w:rPr>
                  </w:pPr>
                  <w:r>
                    <w:rPr>
                      <w:bCs/>
                      <w:sz w:val="21"/>
                      <w:szCs w:val="21"/>
                      <w:lang w:val="zh-CN"/>
                    </w:rPr>
                    <w:t>危险废物详情</w:t>
                  </w:r>
                  <w:r>
                    <w:rPr>
                      <w:sz w:val="21"/>
                      <w:szCs w:val="21"/>
                      <w:lang w:val="zh-CN"/>
                    </w:rPr>
                    <w:t>：列出企业实际产生的所有危险废物名称及对应的八位危废代码。</w:t>
                  </w:r>
                </w:p>
                <w:p w14:paraId="0F817B2C">
                  <w:pPr>
                    <w:widowControl/>
                    <w:adjustRightInd w:val="0"/>
                    <w:snapToGrid w:val="0"/>
                    <w:spacing w:line="240" w:lineRule="auto"/>
                    <w:rPr>
                      <w:sz w:val="21"/>
                      <w:szCs w:val="21"/>
                      <w:lang w:val="zh-CN"/>
                    </w:rPr>
                  </w:pPr>
                  <w:r>
                    <w:rPr>
                      <w:bCs/>
                      <w:sz w:val="21"/>
                      <w:szCs w:val="21"/>
                      <w:lang w:val="zh-CN"/>
                    </w:rPr>
                    <w:t>环评批文</w:t>
                  </w:r>
                  <w:r>
                    <w:rPr>
                      <w:sz w:val="21"/>
                      <w:szCs w:val="21"/>
                      <w:lang w:val="zh-CN"/>
                    </w:rPr>
                    <w:t>：公开企业实际产生危险废物的环评情况，已取得环评批复的填写批复文号，未取得环评批复的填 “无”。</w:t>
                  </w:r>
                </w:p>
                <w:p w14:paraId="755EFF1A">
                  <w:pPr>
                    <w:widowControl/>
                    <w:adjustRightInd w:val="0"/>
                    <w:snapToGrid w:val="0"/>
                    <w:spacing w:line="240" w:lineRule="auto"/>
                    <w:rPr>
                      <w:sz w:val="21"/>
                      <w:szCs w:val="21"/>
                      <w:lang w:val="zh-CN"/>
                    </w:rPr>
                  </w:pPr>
                  <w:r>
                    <w:rPr>
                      <w:bCs/>
                      <w:sz w:val="21"/>
                      <w:szCs w:val="21"/>
                      <w:lang w:val="zh-CN"/>
                    </w:rPr>
                    <w:t>产生来源</w:t>
                  </w:r>
                  <w:r>
                    <w:rPr>
                      <w:sz w:val="21"/>
                      <w:szCs w:val="21"/>
                      <w:lang w:val="zh-CN"/>
                    </w:rPr>
                    <w:t>：指危险废物产生环节或产生工序。</w:t>
                  </w:r>
                </w:p>
                <w:p w14:paraId="586D8A85">
                  <w:pPr>
                    <w:widowControl/>
                    <w:adjustRightInd w:val="0"/>
                    <w:snapToGrid w:val="0"/>
                    <w:spacing w:line="240" w:lineRule="auto"/>
                    <w:rPr>
                      <w:sz w:val="21"/>
                      <w:szCs w:val="21"/>
                      <w:lang w:val="zh-CN"/>
                    </w:rPr>
                  </w:pPr>
                  <w:r>
                    <w:rPr>
                      <w:bCs/>
                      <w:sz w:val="21"/>
                      <w:szCs w:val="21"/>
                      <w:lang w:val="zh-CN"/>
                    </w:rPr>
                    <w:t>环境污染防治措施</w:t>
                  </w:r>
                  <w:r>
                    <w:rPr>
                      <w:sz w:val="21"/>
                      <w:szCs w:val="21"/>
                      <w:lang w:val="zh-CN"/>
                    </w:rPr>
                    <w:t>：根据全封闭式仓库、围墙或防护栅栏隔离区域、储罐、贮槽等设施贮存的危险废物种类和危险特性，确定需采取的污染防治措施，包括防风、防雨、防晒、防雷、防扬散、防流失、防渗漏、泄漏液体收集、废气收集导出及净化处理等。</w:t>
                  </w:r>
                </w:p>
                <w:p w14:paraId="7D67F6BD">
                  <w:pPr>
                    <w:widowControl/>
                    <w:adjustRightInd w:val="0"/>
                    <w:snapToGrid w:val="0"/>
                    <w:spacing w:line="240" w:lineRule="auto"/>
                    <w:rPr>
                      <w:sz w:val="21"/>
                      <w:szCs w:val="21"/>
                      <w:lang w:val="zh-CN"/>
                    </w:rPr>
                  </w:pPr>
                  <w:r>
                    <w:rPr>
                      <w:bCs/>
                      <w:sz w:val="21"/>
                      <w:szCs w:val="21"/>
                      <w:lang w:val="zh-CN"/>
                    </w:rPr>
                    <w:t>厂区平面示意图</w:t>
                  </w:r>
                  <w:r>
                    <w:rPr>
                      <w:sz w:val="21"/>
                      <w:szCs w:val="21"/>
                      <w:lang w:val="zh-CN"/>
                    </w:rPr>
                    <w:t>：绘制厂区建筑平面示意图，突出显示厂区每一处危险废物贮存设施在厂区的相对位置。</w:t>
                  </w:r>
                </w:p>
                <w:p w14:paraId="1871BC7B">
                  <w:pPr>
                    <w:widowControl/>
                    <w:adjustRightInd w:val="0"/>
                    <w:snapToGrid w:val="0"/>
                    <w:spacing w:line="240" w:lineRule="auto"/>
                    <w:rPr>
                      <w:sz w:val="21"/>
                      <w:szCs w:val="21"/>
                      <w:lang w:val="zh-CN"/>
                    </w:rPr>
                  </w:pPr>
                  <w:r>
                    <w:rPr>
                      <w:bCs/>
                      <w:sz w:val="21"/>
                      <w:szCs w:val="21"/>
                      <w:lang w:val="zh-CN"/>
                    </w:rPr>
                    <w:t>监督举报途径</w:t>
                  </w:r>
                  <w:r>
                    <w:rPr>
                      <w:sz w:val="21"/>
                      <w:szCs w:val="21"/>
                      <w:lang w:val="zh-CN"/>
                    </w:rPr>
                    <w:t>：明确监督举报的方式及联系电话等，以便公众对企业危险废物管理情况进行监督。</w:t>
                  </w:r>
                </w:p>
                <w:p w14:paraId="5E586C0F">
                  <w:pPr>
                    <w:widowControl/>
                    <w:adjustRightInd w:val="0"/>
                    <w:snapToGrid w:val="0"/>
                    <w:spacing w:line="240" w:lineRule="auto"/>
                    <w:rPr>
                      <w:sz w:val="21"/>
                      <w:szCs w:val="21"/>
                      <w:lang w:val="zh-CN"/>
                    </w:rPr>
                  </w:pPr>
                  <w:r>
                    <w:rPr>
                      <w:bCs/>
                      <w:sz w:val="21"/>
                      <w:szCs w:val="21"/>
                      <w:lang w:val="zh-CN"/>
                    </w:rPr>
                    <w:t>监制单位</w:t>
                  </w:r>
                  <w:r>
                    <w:rPr>
                      <w:sz w:val="21"/>
                      <w:szCs w:val="21"/>
                      <w:lang w:val="zh-CN"/>
                    </w:rPr>
                    <w:t>：注明信息公开牌的监制单位。</w:t>
                  </w:r>
                </w:p>
              </w:tc>
            </w:tr>
            <w:tr w14:paraId="7323A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1" w:type="dxa"/>
                  <w:vAlign w:val="center"/>
                </w:tcPr>
                <w:p w14:paraId="207ABB21">
                  <w:pPr>
                    <w:widowControl/>
                    <w:adjustRightInd w:val="0"/>
                    <w:snapToGrid w:val="0"/>
                    <w:spacing w:line="240" w:lineRule="auto"/>
                    <w:jc w:val="center"/>
                    <w:rPr>
                      <w:sz w:val="21"/>
                      <w:szCs w:val="21"/>
                      <w:lang w:val="zh-CN"/>
                    </w:rPr>
                  </w:pPr>
                  <w:r>
                    <w:rPr>
                      <w:sz w:val="21"/>
                      <w:szCs w:val="21"/>
                      <w:lang w:val="zh-CN"/>
                    </w:rPr>
                    <w:t>危险废物贮存设施标志</w:t>
                  </w:r>
                </w:p>
              </w:tc>
              <w:tc>
                <w:tcPr>
                  <w:tcW w:w="3655" w:type="dxa"/>
                  <w:vAlign w:val="center"/>
                </w:tcPr>
                <w:p w14:paraId="1F69A4BA">
                  <w:pPr>
                    <w:widowControl/>
                    <w:adjustRightInd w:val="0"/>
                    <w:snapToGrid w:val="0"/>
                    <w:spacing w:line="240" w:lineRule="auto"/>
                    <w:jc w:val="center"/>
                    <w:rPr>
                      <w:sz w:val="21"/>
                      <w:szCs w:val="21"/>
                      <w:lang w:val="zh-CN"/>
                    </w:rPr>
                  </w:pPr>
                  <w:r>
                    <w:rPr>
                      <w:sz w:val="21"/>
                      <w:szCs w:val="21"/>
                    </w:rPr>
                    <w:drawing>
                      <wp:inline distT="0" distB="0" distL="0" distR="0">
                        <wp:extent cx="2285365" cy="2974975"/>
                        <wp:effectExtent l="0" t="0" r="635" b="158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5"/>
                                <a:stretch>
                                  <a:fillRect/>
                                </a:stretch>
                              </pic:blipFill>
                              <pic:spPr>
                                <a:xfrm>
                                  <a:off x="0" y="0"/>
                                  <a:ext cx="2285365" cy="2974975"/>
                                </a:xfrm>
                                <a:prstGeom prst="rect">
                                  <a:avLst/>
                                </a:prstGeom>
                              </pic:spPr>
                            </pic:pic>
                          </a:graphicData>
                        </a:graphic>
                      </wp:inline>
                    </w:drawing>
                  </w:r>
                </w:p>
              </w:tc>
              <w:tc>
                <w:tcPr>
                  <w:tcW w:w="4166" w:type="dxa"/>
                  <w:vAlign w:val="center"/>
                </w:tcPr>
                <w:p w14:paraId="32E13A57">
                  <w:pPr>
                    <w:widowControl/>
                    <w:adjustRightInd w:val="0"/>
                    <w:snapToGrid w:val="0"/>
                    <w:spacing w:line="240" w:lineRule="auto"/>
                    <w:rPr>
                      <w:sz w:val="21"/>
                      <w:szCs w:val="21"/>
                      <w:lang w:val="zh-CN"/>
                    </w:rPr>
                  </w:pPr>
                  <w:r>
                    <w:rPr>
                      <w:sz w:val="21"/>
                      <w:szCs w:val="21"/>
                      <w:lang w:val="zh-CN"/>
                    </w:rPr>
                    <w:t>1、危险废物贮存设施标志宜采用坚固耐用的材料（如1.5mm～2mm 冷轧钢板），并做搪瓷处理或贴膜处理。一般不宜使用遇水变形、变质或易燃的材料。柱式标志牌的立柱可采用38×4 无缝钢管或其他坚固耐用的材料，并经过防腐处理。</w:t>
                  </w:r>
                </w:p>
                <w:p w14:paraId="0587F7BC">
                  <w:pPr>
                    <w:widowControl/>
                    <w:adjustRightInd w:val="0"/>
                    <w:snapToGrid w:val="0"/>
                    <w:spacing w:line="240" w:lineRule="auto"/>
                    <w:rPr>
                      <w:sz w:val="21"/>
                      <w:szCs w:val="21"/>
                      <w:lang w:val="zh-CN"/>
                    </w:rPr>
                  </w:pPr>
                  <w:r>
                    <w:rPr>
                      <w:sz w:val="21"/>
                      <w:szCs w:val="21"/>
                      <w:lang w:val="zh-CN"/>
                    </w:rPr>
                    <w:t>2、危险废物贮存设施标志的图形和文字应清晰、完整，保证在足够的观察距离条件下也不影响阅读。三角形警告性图形与其他信息间宜加黑色分界线区分，分界线的宽度宜不小于3mm。</w:t>
                  </w:r>
                </w:p>
                <w:p w14:paraId="4C379424">
                  <w:pPr>
                    <w:widowControl/>
                    <w:adjustRightInd w:val="0"/>
                    <w:snapToGrid w:val="0"/>
                    <w:spacing w:line="240" w:lineRule="auto"/>
                    <w:rPr>
                      <w:sz w:val="21"/>
                      <w:szCs w:val="21"/>
                      <w:lang w:val="zh-CN"/>
                    </w:rPr>
                  </w:pPr>
                  <w:r>
                    <w:rPr>
                      <w:sz w:val="21"/>
                      <w:szCs w:val="21"/>
                      <w:lang w:val="zh-CN"/>
                    </w:rPr>
                    <w:t>3、危险废物贮存、利用、处置设施的标志牌和立柱无明显变形。标志牌表面无气泡，膜或搪瓷无脱落。图案清晰，色泽一致，没有明显缺损。</w:t>
                  </w:r>
                </w:p>
                <w:p w14:paraId="0B3B0B0D">
                  <w:pPr>
                    <w:widowControl/>
                    <w:adjustRightInd w:val="0"/>
                    <w:snapToGrid w:val="0"/>
                    <w:spacing w:line="240" w:lineRule="auto"/>
                    <w:rPr>
                      <w:sz w:val="21"/>
                      <w:szCs w:val="21"/>
                      <w:lang w:val="zh-CN"/>
                    </w:rPr>
                  </w:pPr>
                  <w:r>
                    <w:rPr>
                      <w:sz w:val="21"/>
                      <w:szCs w:val="21"/>
                      <w:lang w:val="zh-CN"/>
                    </w:rPr>
                    <w:t>4、危险废物贮存设施标志可采用横版或竖版的形式，标志制作应符合《危险废物识别标志设置技术规范》要求的样式。</w:t>
                  </w:r>
                </w:p>
              </w:tc>
            </w:tr>
            <w:tr w14:paraId="2D15E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74" w:hRule="atLeast"/>
                <w:jc w:val="center"/>
              </w:trPr>
              <w:tc>
                <w:tcPr>
                  <w:tcW w:w="451" w:type="dxa"/>
                  <w:vAlign w:val="center"/>
                </w:tcPr>
                <w:p w14:paraId="397CC797">
                  <w:pPr>
                    <w:widowControl/>
                    <w:adjustRightInd w:val="0"/>
                    <w:snapToGrid w:val="0"/>
                    <w:spacing w:line="240" w:lineRule="auto"/>
                    <w:jc w:val="center"/>
                    <w:rPr>
                      <w:sz w:val="21"/>
                      <w:szCs w:val="21"/>
                      <w:lang w:val="zh-CN"/>
                    </w:rPr>
                  </w:pPr>
                  <w:r>
                    <w:rPr>
                      <w:sz w:val="21"/>
                      <w:szCs w:val="21"/>
                      <w:lang w:val="zh-CN"/>
                    </w:rPr>
                    <w:t>危险废物分区标志</w:t>
                  </w:r>
                </w:p>
              </w:tc>
              <w:tc>
                <w:tcPr>
                  <w:tcW w:w="3655" w:type="dxa"/>
                  <w:vAlign w:val="center"/>
                </w:tcPr>
                <w:p w14:paraId="0301AB53">
                  <w:pPr>
                    <w:widowControl/>
                    <w:adjustRightInd w:val="0"/>
                    <w:snapToGrid w:val="0"/>
                    <w:spacing w:line="240" w:lineRule="auto"/>
                    <w:jc w:val="center"/>
                    <w:rPr>
                      <w:sz w:val="21"/>
                      <w:szCs w:val="21"/>
                      <w:lang w:val="zh-CN"/>
                    </w:rPr>
                  </w:pPr>
                  <w:r>
                    <w:rPr>
                      <w:sz w:val="21"/>
                      <w:szCs w:val="21"/>
                    </w:rPr>
                    <w:drawing>
                      <wp:inline distT="0" distB="0" distL="0" distR="0">
                        <wp:extent cx="2221230" cy="2221230"/>
                        <wp:effectExtent l="0" t="0" r="7620" b="7620"/>
                        <wp:docPr id="4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2.jpeg"/>
                                <pic:cNvPicPr>
                                  <a:picLocks noChangeAspect="1"/>
                                </pic:cNvPicPr>
                              </pic:nvPicPr>
                              <pic:blipFill>
                                <a:blip r:embed="rId46" cstate="print"/>
                                <a:stretch>
                                  <a:fillRect/>
                                </a:stretch>
                              </pic:blipFill>
                              <pic:spPr>
                                <a:xfrm>
                                  <a:off x="0" y="0"/>
                                  <a:ext cx="2221770" cy="2221770"/>
                                </a:xfrm>
                                <a:prstGeom prst="rect">
                                  <a:avLst/>
                                </a:prstGeom>
                              </pic:spPr>
                            </pic:pic>
                          </a:graphicData>
                        </a:graphic>
                      </wp:inline>
                    </w:drawing>
                  </w:r>
                </w:p>
              </w:tc>
              <w:tc>
                <w:tcPr>
                  <w:tcW w:w="4166" w:type="dxa"/>
                  <w:vAlign w:val="center"/>
                </w:tcPr>
                <w:p w14:paraId="72163CDB">
                  <w:pPr>
                    <w:widowControl/>
                    <w:adjustRightInd w:val="0"/>
                    <w:snapToGrid w:val="0"/>
                    <w:spacing w:line="240" w:lineRule="auto"/>
                    <w:rPr>
                      <w:sz w:val="21"/>
                      <w:szCs w:val="21"/>
                      <w:lang w:val="zh-CN"/>
                    </w:rPr>
                  </w:pPr>
                  <w:r>
                    <w:rPr>
                      <w:sz w:val="21"/>
                      <w:szCs w:val="21"/>
                      <w:lang w:val="zh-CN"/>
                    </w:rPr>
                    <w:t>1、背景色应采用黄色，RGB 颜色值为（255,255, 0）。废物种类信息应采用醒目的橘黄色，RGB 颜色值为（255,150,0）。字体颜色为黑色，RGB 颜色值为（0,0,0）。</w:t>
                  </w:r>
                </w:p>
                <w:p w14:paraId="5A29961F">
                  <w:pPr>
                    <w:widowControl/>
                    <w:adjustRightInd w:val="0"/>
                    <w:snapToGrid w:val="0"/>
                    <w:spacing w:line="240" w:lineRule="auto"/>
                    <w:rPr>
                      <w:sz w:val="21"/>
                      <w:szCs w:val="21"/>
                      <w:lang w:val="zh-CN"/>
                    </w:rPr>
                  </w:pPr>
                  <w:r>
                    <w:rPr>
                      <w:sz w:val="21"/>
                      <w:szCs w:val="21"/>
                      <w:lang w:val="zh-CN"/>
                    </w:rPr>
                    <w:t>2、的字体宜采用黑体字，其中“危险废物贮存分区标志”字样应加粗放大并居中显示。</w:t>
                  </w:r>
                </w:p>
                <w:p w14:paraId="0870F7B6">
                  <w:pPr>
                    <w:widowControl/>
                    <w:adjustRightInd w:val="0"/>
                    <w:snapToGrid w:val="0"/>
                    <w:spacing w:line="240" w:lineRule="auto"/>
                    <w:rPr>
                      <w:sz w:val="21"/>
                      <w:szCs w:val="21"/>
                      <w:lang w:val="zh-CN"/>
                    </w:rPr>
                  </w:pPr>
                  <w:r>
                    <w:rPr>
                      <w:sz w:val="21"/>
                      <w:szCs w:val="21"/>
                      <w:lang w:val="zh-CN"/>
                    </w:rPr>
                    <w:t>3、危险废物贮存分区标志的尺寸宜根据对应的观察距离按照《危险废物识别标志设置技术规范》表2 中的要求设置。</w:t>
                  </w:r>
                </w:p>
                <w:p w14:paraId="70DBA96D">
                  <w:pPr>
                    <w:widowControl/>
                    <w:adjustRightInd w:val="0"/>
                    <w:snapToGrid w:val="0"/>
                    <w:spacing w:line="240" w:lineRule="auto"/>
                    <w:rPr>
                      <w:sz w:val="21"/>
                      <w:szCs w:val="21"/>
                      <w:lang w:val="zh-CN"/>
                    </w:rPr>
                  </w:pPr>
                  <w:r>
                    <w:rPr>
                      <w:sz w:val="21"/>
                      <w:szCs w:val="21"/>
                      <w:lang w:val="zh-CN"/>
                    </w:rPr>
                    <w:t>4、危险废物贮存分区标志的衬底宜采用坚固耐用的材料，并具有耐用性和防水性。废物贮存种类信息等可采用印刷纸张、不粘胶材质或塑料卡片等，以便固定在衬底上。</w:t>
                  </w:r>
                </w:p>
                <w:p w14:paraId="35FFB029">
                  <w:pPr>
                    <w:widowControl/>
                    <w:adjustRightInd w:val="0"/>
                    <w:snapToGrid w:val="0"/>
                    <w:spacing w:line="240" w:lineRule="auto"/>
                    <w:rPr>
                      <w:sz w:val="21"/>
                      <w:szCs w:val="21"/>
                      <w:lang w:val="zh-CN"/>
                    </w:rPr>
                  </w:pPr>
                  <w:r>
                    <w:rPr>
                      <w:sz w:val="21"/>
                      <w:szCs w:val="21"/>
                      <w:lang w:val="zh-CN"/>
                    </w:rPr>
                    <w:t>5、危险废物贮存分区标志的图形和文字应清晰、完整，保证在足够的观察距离条件下不影响阅读。“危险废物贮存分区标志”字样与其他信息宜加黑色分界线区分，分界线的宽度不小于2 mm。</w:t>
                  </w:r>
                </w:p>
              </w:tc>
            </w:tr>
            <w:tr w14:paraId="5CE6B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80" w:hRule="atLeast"/>
                <w:jc w:val="center"/>
              </w:trPr>
              <w:tc>
                <w:tcPr>
                  <w:tcW w:w="451" w:type="dxa"/>
                  <w:vAlign w:val="center"/>
                </w:tcPr>
                <w:p w14:paraId="3D6EB43A">
                  <w:pPr>
                    <w:widowControl/>
                    <w:adjustRightInd w:val="0"/>
                    <w:snapToGrid w:val="0"/>
                    <w:spacing w:line="240" w:lineRule="auto"/>
                    <w:jc w:val="center"/>
                    <w:rPr>
                      <w:sz w:val="21"/>
                      <w:szCs w:val="21"/>
                      <w:lang w:val="zh-CN"/>
                    </w:rPr>
                  </w:pPr>
                  <w:r>
                    <w:rPr>
                      <w:sz w:val="21"/>
                      <w:szCs w:val="21"/>
                      <w:lang w:val="zh-CN"/>
                    </w:rPr>
                    <w:t>危险废物标签</w:t>
                  </w:r>
                </w:p>
              </w:tc>
              <w:tc>
                <w:tcPr>
                  <w:tcW w:w="3655" w:type="dxa"/>
                  <w:vAlign w:val="center"/>
                </w:tcPr>
                <w:p w14:paraId="5B04F6B3">
                  <w:pPr>
                    <w:widowControl/>
                    <w:adjustRightInd w:val="0"/>
                    <w:snapToGrid w:val="0"/>
                    <w:spacing w:line="240" w:lineRule="auto"/>
                    <w:jc w:val="center"/>
                    <w:rPr>
                      <w:sz w:val="21"/>
                      <w:szCs w:val="21"/>
                      <w:lang w:val="zh-CN"/>
                    </w:rPr>
                  </w:pPr>
                  <w:r>
                    <w:rPr>
                      <w:sz w:val="21"/>
                      <w:szCs w:val="21"/>
                    </w:rPr>
                    <w:drawing>
                      <wp:inline distT="0" distB="0" distL="0" distR="0">
                        <wp:extent cx="2200275" cy="2200275"/>
                        <wp:effectExtent l="0" t="0" r="9525" b="9525"/>
                        <wp:docPr id="49"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83.jpeg"/>
                                <pic:cNvPicPr>
                                  <a:picLocks noChangeAspect="1"/>
                                </pic:cNvPicPr>
                              </pic:nvPicPr>
                              <pic:blipFill>
                                <a:blip r:embed="rId47" cstate="print"/>
                                <a:stretch>
                                  <a:fillRect/>
                                </a:stretch>
                              </pic:blipFill>
                              <pic:spPr>
                                <a:xfrm>
                                  <a:off x="0" y="0"/>
                                  <a:ext cx="2200460" cy="2200460"/>
                                </a:xfrm>
                                <a:prstGeom prst="rect">
                                  <a:avLst/>
                                </a:prstGeom>
                              </pic:spPr>
                            </pic:pic>
                          </a:graphicData>
                        </a:graphic>
                      </wp:inline>
                    </w:drawing>
                  </w:r>
                </w:p>
              </w:tc>
              <w:tc>
                <w:tcPr>
                  <w:tcW w:w="4166" w:type="dxa"/>
                  <w:vAlign w:val="center"/>
                </w:tcPr>
                <w:p w14:paraId="687924DD">
                  <w:pPr>
                    <w:widowControl/>
                    <w:adjustRightInd w:val="0"/>
                    <w:snapToGrid w:val="0"/>
                    <w:spacing w:line="240" w:lineRule="auto"/>
                    <w:rPr>
                      <w:sz w:val="21"/>
                      <w:szCs w:val="21"/>
                      <w:lang w:val="zh-CN"/>
                    </w:rPr>
                  </w:pPr>
                  <w:r>
                    <w:rPr>
                      <w:sz w:val="21"/>
                      <w:szCs w:val="21"/>
                      <w:lang w:val="zh-CN"/>
                    </w:rPr>
                    <w:t>1、危险废物标签的背景色应采用醒目的橘黄色，RGB 颜色值为（255,150,0）。标签边框和字体颜色为黑色，RGB颜色值为（0,0,0）。</w:t>
                  </w:r>
                </w:p>
                <w:p w14:paraId="0A882B73">
                  <w:pPr>
                    <w:widowControl/>
                    <w:adjustRightInd w:val="0"/>
                    <w:snapToGrid w:val="0"/>
                    <w:spacing w:line="240" w:lineRule="auto"/>
                    <w:rPr>
                      <w:sz w:val="21"/>
                      <w:szCs w:val="21"/>
                      <w:lang w:val="zh-CN"/>
                    </w:rPr>
                  </w:pPr>
                  <w:r>
                    <w:rPr>
                      <w:sz w:val="21"/>
                      <w:szCs w:val="21"/>
                      <w:lang w:val="zh-CN"/>
                    </w:rPr>
                    <w:t>2、标签字体宜采用黑体字，其中“危险废物”字样应加粗放大。</w:t>
                  </w:r>
                </w:p>
                <w:p w14:paraId="24F7833E">
                  <w:pPr>
                    <w:widowControl/>
                    <w:adjustRightInd w:val="0"/>
                    <w:snapToGrid w:val="0"/>
                    <w:spacing w:line="240" w:lineRule="auto"/>
                    <w:rPr>
                      <w:sz w:val="21"/>
                      <w:szCs w:val="21"/>
                      <w:lang w:val="zh-CN"/>
                    </w:rPr>
                  </w:pPr>
                  <w:r>
                    <w:rPr>
                      <w:sz w:val="21"/>
                      <w:szCs w:val="21"/>
                      <w:lang w:val="zh-CN"/>
                    </w:rPr>
                    <w:t>3、危险废物标签的尺寸宜根据容器或包装物的容积按照《危险废物识别标志设置技术规范》表1 中的要求设置。</w:t>
                  </w:r>
                </w:p>
                <w:p w14:paraId="4672984C">
                  <w:pPr>
                    <w:widowControl/>
                    <w:adjustRightInd w:val="0"/>
                    <w:snapToGrid w:val="0"/>
                    <w:spacing w:line="240" w:lineRule="auto"/>
                    <w:rPr>
                      <w:sz w:val="21"/>
                      <w:szCs w:val="21"/>
                      <w:lang w:val="zh-CN"/>
                    </w:rPr>
                  </w:pPr>
                  <w:r>
                    <w:rPr>
                      <w:sz w:val="21"/>
                      <w:szCs w:val="21"/>
                      <w:lang w:val="zh-CN"/>
                    </w:rPr>
                    <w:t>4、危险废物标签所选用的材质宜具有一定的耐用性和防水性。标签可采用不干胶印刷品，或印刷品外加防水塑料袋或塑封等。</w:t>
                  </w:r>
                </w:p>
                <w:p w14:paraId="35496CFC">
                  <w:pPr>
                    <w:widowControl/>
                    <w:adjustRightInd w:val="0"/>
                    <w:snapToGrid w:val="0"/>
                    <w:spacing w:line="240" w:lineRule="auto"/>
                    <w:rPr>
                      <w:sz w:val="21"/>
                      <w:szCs w:val="21"/>
                      <w:lang w:val="zh-CN"/>
                    </w:rPr>
                  </w:pPr>
                  <w:r>
                    <w:rPr>
                      <w:sz w:val="21"/>
                      <w:szCs w:val="21"/>
                      <w:lang w:val="zh-CN"/>
                    </w:rPr>
                    <w:t>5、危险废物标签印刷的油墨应均匀，图案和文字应清晰、完整。危险废物标签的文字边缘宜加黑色边框，边框宽度不小于1 mm，边框外宜留不小于3 mm 的空白。</w:t>
                  </w:r>
                </w:p>
              </w:tc>
            </w:tr>
          </w:tbl>
          <w:p w14:paraId="1AEFED86">
            <w:pPr>
              <w:ind w:firstLine="480" w:firstLineChars="200"/>
              <w:rPr>
                <w:rFonts w:hint="default" w:ascii="Times New Roman" w:hAnsi="Times New Roman" w:cs="Times New Roman"/>
              </w:rPr>
            </w:pPr>
            <w:r>
              <w:rPr>
                <w:rFonts w:hint="default" w:ascii="Times New Roman" w:hAnsi="Times New Roman" w:cs="Times New Roman"/>
              </w:rPr>
              <w:t>（7）危废应根据其化学特性选择合适的容器和存放地点，通过密闭容器存放，不可混合贮存，容器标签必须标明废物种类、贮存时间，定期处理。</w:t>
            </w:r>
          </w:p>
          <w:p w14:paraId="0177F7F0">
            <w:pPr>
              <w:ind w:firstLine="480" w:firstLineChars="200"/>
              <w:rPr>
                <w:rFonts w:hint="default" w:ascii="Times New Roman" w:hAnsi="Times New Roman" w:cs="Times New Roman"/>
              </w:rPr>
            </w:pPr>
            <w:r>
              <w:rPr>
                <w:rFonts w:hint="default" w:ascii="Times New Roman" w:hAnsi="Times New Roman" w:cs="Times New Roman"/>
              </w:rPr>
              <w:t>（8）危险废物产生单位在关键位置设置在线视频监控，企业应指定专人专职维护视频监控设施运行，定期巡视并做好相应的监控运行、维修、使用记录，保持摄像头表面整洁干净、监控拍摄位置正确、监控设施完好无损，确保视频传输图像清晰、监控设备正常稳定运行。</w:t>
            </w:r>
          </w:p>
          <w:p w14:paraId="726F65E3">
            <w:pPr>
              <w:ind w:firstLine="480" w:firstLineChars="200"/>
              <w:rPr>
                <w:rFonts w:hint="default" w:ascii="Times New Roman" w:hAnsi="Times New Roman" w:cs="Times New Roman"/>
              </w:rPr>
            </w:pPr>
            <w:r>
              <w:rPr>
                <w:rFonts w:hint="default" w:ascii="Times New Roman" w:hAnsi="Times New Roman" w:cs="Times New Roman"/>
              </w:rPr>
              <w:t>项目强化废物产生、收集、贮运各环节的管理，厂区内固废分类收集暂存，分类进行有效处置。危险废物收集在厂内危险废物暂存库内，避免危险废物在厂区内散失、渗漏。做好固体废物在厂区内的收集和贮存相关防护工作，收集后进行有效处置。建设单位应建立完善的规章制度，以降低固体废物散落对周围环境的影响，固废经妥善处理、处置后，可以实现零排放，对周围环境及人体不会造成影响，亦不会对环境产生二次污染，所采取的治理措施是可行的。</w:t>
            </w:r>
          </w:p>
          <w:p w14:paraId="36A49C0B">
            <w:pPr>
              <w:ind w:firstLine="480" w:firstLineChars="200"/>
              <w:rPr>
                <w:rFonts w:hint="default" w:ascii="Times New Roman" w:hAnsi="Times New Roman" w:cs="Times New Roman"/>
              </w:rPr>
            </w:pPr>
            <w:r>
              <w:rPr>
                <w:rFonts w:hint="default" w:ascii="Times New Roman" w:hAnsi="Times New Roman" w:cs="Times New Roman"/>
              </w:rPr>
              <w:t>建设项目强化废物产生、收集、贮运各环节的管理，杜绝固废在厂区内的散失、渗漏。做好固体废物在厂区内的收集和储存相关防护工作，收集后进行有效处置。建立完善的规章制度，以降低固体废物散落对周围环境的影响。</w:t>
            </w:r>
          </w:p>
          <w:p w14:paraId="64032AA2">
            <w:pPr>
              <w:ind w:firstLine="480" w:firstLineChars="200"/>
              <w:rPr>
                <w:rFonts w:hint="default" w:ascii="Times New Roman" w:hAnsi="Times New Roman" w:cs="Times New Roman"/>
              </w:rPr>
            </w:pPr>
            <w:r>
              <w:rPr>
                <w:rFonts w:hint="default" w:ascii="Times New Roman" w:hAnsi="Times New Roman" w:cs="Times New Roman"/>
              </w:rPr>
              <w:t>综上所述，经采取上述措施后，本项目固废均可得到有效处置，处置率100%，符合环保要求，不会对周围环境造成不良影响。</w:t>
            </w:r>
          </w:p>
          <w:p w14:paraId="6887847B">
            <w:pPr>
              <w:pStyle w:val="37"/>
              <w:ind w:firstLine="0" w:firstLineChars="0"/>
              <w:rPr>
                <w:rFonts w:hint="default" w:ascii="Times New Roman" w:hAnsi="Times New Roman" w:cs="Times New Roman"/>
                <w:b/>
                <w:bCs/>
              </w:rPr>
            </w:pPr>
            <w:r>
              <w:rPr>
                <w:rFonts w:hint="default" w:ascii="Times New Roman" w:hAnsi="Times New Roman" w:cs="Times New Roman"/>
                <w:b/>
                <w:bCs/>
              </w:rPr>
              <w:t>4.6生态环境影响</w:t>
            </w:r>
          </w:p>
          <w:p w14:paraId="31F257A6">
            <w:pPr>
              <w:pStyle w:val="37"/>
              <w:ind w:firstLine="480"/>
              <w:rPr>
                <w:rFonts w:hint="default" w:ascii="Times New Roman" w:hAnsi="Times New Roman" w:cs="Times New Roman"/>
              </w:rPr>
            </w:pPr>
            <w:r>
              <w:rPr>
                <w:rFonts w:hint="default" w:ascii="Times New Roman" w:hAnsi="Times New Roman" w:cs="Times New Roman"/>
              </w:rPr>
              <w:t>根据生态环境部办公厅2020年12月24日印发的《建设项目环境影响报告表编制技术指南（污染影响类）（试行）》中具体编制要求“产业园区外建设项目新增用地且用地范围内有生态环境敏感的，应明确环保措施”，本项目位于淮南经济技术开发区高端装备产业园内，不属于新增用地且用地范围内无生态环境敏感保护目标，不做生态环境影响分析。</w:t>
            </w:r>
          </w:p>
          <w:p w14:paraId="39194389">
            <w:pPr>
              <w:pStyle w:val="37"/>
              <w:ind w:firstLine="0" w:firstLineChars="0"/>
              <w:rPr>
                <w:rFonts w:hint="default" w:ascii="Times New Roman" w:hAnsi="Times New Roman" w:cs="Times New Roman"/>
                <w:b/>
                <w:bCs/>
              </w:rPr>
            </w:pPr>
            <w:r>
              <w:rPr>
                <w:rFonts w:hint="default" w:ascii="Times New Roman" w:hAnsi="Times New Roman" w:cs="Times New Roman"/>
                <w:b/>
                <w:bCs/>
              </w:rPr>
              <w:t>4.7土壤、地下水环境影响分析</w:t>
            </w:r>
          </w:p>
          <w:p w14:paraId="1940BC82">
            <w:pPr>
              <w:rPr>
                <w:rFonts w:hint="default" w:ascii="Times New Roman" w:hAnsi="Times New Roman" w:cs="Times New Roman"/>
                <w:b/>
                <w:bCs/>
              </w:rPr>
            </w:pPr>
            <w:r>
              <w:rPr>
                <w:rFonts w:hint="default" w:ascii="Times New Roman" w:hAnsi="Times New Roman" w:cs="Times New Roman"/>
                <w:b/>
                <w:bCs/>
              </w:rPr>
              <w:t>4.7.1 土壤、地下水污染途径</w:t>
            </w:r>
          </w:p>
          <w:p w14:paraId="638C839E">
            <w:pPr>
              <w:ind w:firstLine="480" w:firstLineChars="200"/>
              <w:rPr>
                <w:rFonts w:hint="default" w:ascii="Times New Roman" w:hAnsi="Times New Roman" w:cs="Times New Roman"/>
              </w:rPr>
            </w:pPr>
            <w:r>
              <w:rPr>
                <w:rFonts w:hint="default" w:ascii="Times New Roman" w:hAnsi="Times New Roman" w:cs="Times New Roman"/>
              </w:rPr>
              <w:t>本项目</w:t>
            </w:r>
            <w:r>
              <w:rPr>
                <w:rFonts w:hint="default" w:ascii="Times New Roman" w:hAnsi="Times New Roman" w:cs="Times New Roman"/>
                <w:lang w:eastAsia="zh-CN"/>
              </w:rPr>
              <w:t>依托现有厂区</w:t>
            </w:r>
            <w:r>
              <w:rPr>
                <w:rFonts w:hint="default" w:ascii="Times New Roman" w:hAnsi="Times New Roman" w:cs="Times New Roman"/>
              </w:rPr>
              <w:t>“雨污分流、清污分流”排水系统，雨水排入雨水管网。生活污水经现有化粪池预处理达标后纳入</w:t>
            </w:r>
            <w:r>
              <w:rPr>
                <w:rFonts w:hint="default" w:ascii="Times New Roman" w:hAnsi="Times New Roman" w:cs="Times New Roman"/>
                <w:lang w:eastAsia="zh-CN"/>
              </w:rPr>
              <w:t>淮南首创八公山污水处理厂</w:t>
            </w:r>
            <w:r>
              <w:rPr>
                <w:rFonts w:hint="default" w:ascii="Times New Roman" w:hAnsi="Times New Roman" w:cs="Times New Roman"/>
              </w:rPr>
              <w:t>深度处理后达标排放。</w:t>
            </w:r>
          </w:p>
          <w:p w14:paraId="20A22DAD">
            <w:pPr>
              <w:pStyle w:val="37"/>
              <w:ind w:firstLine="480"/>
              <w:rPr>
                <w:rFonts w:hint="default" w:ascii="Times New Roman" w:hAnsi="Times New Roman" w:cs="Times New Roman"/>
              </w:rPr>
            </w:pPr>
            <w:r>
              <w:rPr>
                <w:rFonts w:hint="default" w:ascii="Times New Roman" w:hAnsi="Times New Roman" w:cs="Times New Roman"/>
              </w:rPr>
              <w:t>本项目可能造成土壤和地下水污染的为辅料库内水性油</w:t>
            </w:r>
            <w:r>
              <w:rPr>
                <w:rFonts w:hint="default" w:ascii="Times New Roman" w:hAnsi="Times New Roman" w:cs="Times New Roman"/>
                <w:lang w:eastAsia="zh-CN"/>
              </w:rPr>
              <w:t>墨</w:t>
            </w:r>
            <w:r>
              <w:rPr>
                <w:rFonts w:hint="default" w:ascii="Times New Roman" w:hAnsi="Times New Roman" w:cs="Times New Roman"/>
              </w:rPr>
              <w:t>的泄露，通过垂直入渗的方式进入土壤和地下水中，导致土壤和地下水污染。本项目辅料库采取重点防渗措施，以防止存储物料外泄进入外环境造成污染地下水和土壤造成污染</w:t>
            </w:r>
          </w:p>
          <w:p w14:paraId="08BF0132">
            <w:pPr>
              <w:pStyle w:val="37"/>
              <w:ind w:firstLine="480"/>
              <w:rPr>
                <w:rFonts w:hint="default" w:ascii="Times New Roman" w:hAnsi="Times New Roman" w:cs="Times New Roman"/>
              </w:rPr>
            </w:pPr>
            <w:r>
              <w:rPr>
                <w:rFonts w:hint="default" w:ascii="Times New Roman" w:hAnsi="Times New Roman" w:cs="Times New Roman"/>
              </w:rPr>
              <w:t>本项目具有完备的</w:t>
            </w:r>
            <w:r>
              <w:rPr>
                <w:rFonts w:hint="default" w:ascii="Times New Roman" w:hAnsi="Times New Roman" w:cs="Times New Roman"/>
                <w:lang w:eastAsia="zh-CN"/>
              </w:rPr>
              <w:t>污染防治设施</w:t>
            </w:r>
            <w:r>
              <w:rPr>
                <w:rFonts w:hint="default" w:ascii="Times New Roman" w:hAnsi="Times New Roman" w:cs="Times New Roman"/>
              </w:rPr>
              <w:t>、危废库等。正常排放条件下，项目运行不会对区域土壤及地下水环境造成不利影响。但在非正常排放或者事故状态下，如危废库防渗层破损泄漏情况下，污染物和废水会渗入土壤及地下水中，对土壤及地下水造成污染。针对可能发生的土壤及地下水污染，本项目污染防治措施将按照“源头控制、分区防控、污染监控、应急响应”相结合的原则，从污染物的产生、入渗、扩散、应急响应全方位进行防控。</w:t>
            </w:r>
          </w:p>
          <w:p w14:paraId="229D893F">
            <w:pPr>
              <w:rPr>
                <w:rFonts w:hint="default" w:ascii="Times New Roman" w:hAnsi="Times New Roman" w:cs="Times New Roman"/>
                <w:b/>
              </w:rPr>
            </w:pPr>
            <w:r>
              <w:rPr>
                <w:rFonts w:hint="default" w:ascii="Times New Roman" w:hAnsi="Times New Roman" w:cs="Times New Roman"/>
                <w:b/>
              </w:rPr>
              <w:t>4.7.2 污染防治措施</w:t>
            </w:r>
          </w:p>
          <w:p w14:paraId="10A70491">
            <w:pPr>
              <w:ind w:firstLine="482" w:firstLineChars="200"/>
              <w:rPr>
                <w:rFonts w:hint="default" w:ascii="Times New Roman" w:hAnsi="Times New Roman" w:cs="Times New Roman"/>
                <w:b/>
              </w:rPr>
            </w:pPr>
            <w:r>
              <w:rPr>
                <w:rFonts w:hint="default" w:ascii="Times New Roman" w:hAnsi="Times New Roman" w:cs="Times New Roman"/>
                <w:b/>
              </w:rPr>
              <w:t>（1）源头控制措施</w:t>
            </w:r>
          </w:p>
          <w:p w14:paraId="7266D782">
            <w:pPr>
              <w:ind w:firstLine="480" w:firstLineChars="200"/>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 1 \* GB3 </w:instrText>
            </w:r>
            <w:r>
              <w:rPr>
                <w:rFonts w:hint="default" w:ascii="Times New Roman" w:hAnsi="Times New Roman" w:cs="Times New Roman"/>
              </w:rPr>
              <w:fldChar w:fldCharType="separate"/>
            </w:r>
            <w:r>
              <w:rPr>
                <w:rFonts w:hint="default" w:ascii="Times New Roman" w:hAnsi="Times New Roman" w:cs="Times New Roman"/>
              </w:rPr>
              <w:t>①</w:t>
            </w:r>
            <w:r>
              <w:rPr>
                <w:rFonts w:hint="default" w:ascii="Times New Roman" w:hAnsi="Times New Roman" w:cs="Times New Roman"/>
              </w:rPr>
              <w:fldChar w:fldCharType="end"/>
            </w:r>
            <w:r>
              <w:rPr>
                <w:rFonts w:hint="default" w:ascii="Times New Roman" w:hAnsi="Times New Roman" w:cs="Times New Roman"/>
              </w:rPr>
              <w:t>严格按照国家相关规范要求，对厂区内各污水收集设施、液态物料存储设施等采取相应措施，以防止和降低污染物的跑、冒、滴、漏，将污染物泄漏的环境风险事故降到最低程度。</w:t>
            </w:r>
          </w:p>
          <w:p w14:paraId="6E669634">
            <w:pPr>
              <w:ind w:firstLine="480" w:firstLineChars="200"/>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 2 \* GB3 </w:instrText>
            </w:r>
            <w:r>
              <w:rPr>
                <w:rFonts w:hint="default" w:ascii="Times New Roman" w:hAnsi="Times New Roman" w:cs="Times New Roman"/>
              </w:rPr>
              <w:fldChar w:fldCharType="separate"/>
            </w:r>
            <w:r>
              <w:rPr>
                <w:rFonts w:hint="default" w:ascii="Times New Roman" w:hAnsi="Times New Roman" w:cs="Times New Roman"/>
              </w:rPr>
              <w:t>②</w:t>
            </w:r>
            <w:r>
              <w:rPr>
                <w:rFonts w:hint="default" w:ascii="Times New Roman" w:hAnsi="Times New Roman" w:cs="Times New Roman"/>
              </w:rPr>
              <w:fldChar w:fldCharType="end"/>
            </w:r>
            <w:r>
              <w:rPr>
                <w:rFonts w:hint="default" w:ascii="Times New Roman" w:hAnsi="Times New Roman" w:cs="Times New Roman"/>
              </w:rPr>
              <w:t>设备和管线尽量采用“可视化”原则，即尽可能地上敷设和放置，做到污染物“早发现、早处理”，以减少由于埋地泄漏而可能造成的地下水污染。对地下管道、管道内外均采用防腐处理，定期对管道进行检漏，对出现泄漏处的土壤进行换土。</w:t>
            </w:r>
          </w:p>
          <w:p w14:paraId="709D2C05">
            <w:pPr>
              <w:ind w:firstLine="480" w:firstLineChars="200"/>
              <w:rPr>
                <w:rFonts w:hint="default" w:ascii="Times New Roman" w:hAnsi="Times New Roman" w:cs="Times New Roman"/>
                <w:b/>
                <w:bCs/>
              </w:rPr>
            </w:pPr>
            <w:r>
              <w:rPr>
                <w:rFonts w:hint="default" w:ascii="Times New Roman" w:hAnsi="Times New Roman" w:cs="Times New Roman"/>
              </w:rPr>
              <w:fldChar w:fldCharType="begin"/>
            </w:r>
            <w:r>
              <w:rPr>
                <w:rFonts w:hint="default" w:ascii="Times New Roman" w:hAnsi="Times New Roman" w:cs="Times New Roman"/>
              </w:rPr>
              <w:instrText xml:space="preserve"> = 3 \* GB3 </w:instrText>
            </w:r>
            <w:r>
              <w:rPr>
                <w:rFonts w:hint="default" w:ascii="Times New Roman" w:hAnsi="Times New Roman" w:cs="Times New Roman"/>
              </w:rPr>
              <w:fldChar w:fldCharType="separate"/>
            </w:r>
            <w:r>
              <w:rPr>
                <w:rFonts w:hint="default" w:ascii="Times New Roman" w:hAnsi="Times New Roman" w:cs="Times New Roman"/>
              </w:rPr>
              <w:t>③</w:t>
            </w:r>
            <w:r>
              <w:rPr>
                <w:rFonts w:hint="default" w:ascii="Times New Roman" w:hAnsi="Times New Roman" w:cs="Times New Roman"/>
              </w:rPr>
              <w:fldChar w:fldCharType="end"/>
            </w:r>
            <w:r>
              <w:rPr>
                <w:rFonts w:hint="default" w:ascii="Times New Roman" w:hAnsi="Times New Roman" w:cs="Times New Roman"/>
              </w:rPr>
              <w:t>严格固体废物管理，不接触外界降水，使其不产生淋滤液，严防污染物泄漏到地下水中。</w:t>
            </w:r>
          </w:p>
          <w:p w14:paraId="58AEA1A5">
            <w:pPr>
              <w:ind w:left="480" w:leftChars="200"/>
              <w:rPr>
                <w:rFonts w:hint="default" w:ascii="Times New Roman" w:hAnsi="Times New Roman" w:cs="Times New Roman"/>
                <w:b/>
                <w:bCs/>
              </w:rPr>
            </w:pPr>
            <w:r>
              <w:rPr>
                <w:rFonts w:hint="default" w:ascii="Times New Roman" w:hAnsi="Times New Roman" w:cs="Times New Roman"/>
                <w:b/>
                <w:bCs/>
              </w:rPr>
              <w:t>（2）分区防渗措施</w:t>
            </w:r>
          </w:p>
          <w:p w14:paraId="3E7C0B16">
            <w:pPr>
              <w:ind w:firstLine="480" w:firstLineChars="200"/>
              <w:rPr>
                <w:rFonts w:hint="default" w:ascii="Times New Roman" w:hAnsi="Times New Roman" w:cs="Times New Roman"/>
              </w:rPr>
            </w:pPr>
            <w:r>
              <w:rPr>
                <w:rFonts w:hint="default" w:ascii="Times New Roman" w:hAnsi="Times New Roman" w:cs="Times New Roman"/>
              </w:rPr>
              <w:t>根据《环境影响评价技术导则地下水环境》（HJ610-2016）表7地下水防渗分区参照表，分区防渗方案如下：</w:t>
            </w:r>
          </w:p>
          <w:p w14:paraId="37C22428">
            <w:pPr>
              <w:ind w:firstLine="480"/>
              <w:rPr>
                <w:rFonts w:hint="default" w:ascii="Times New Roman" w:hAnsi="Times New Roman" w:cs="Times New Roman"/>
              </w:rPr>
            </w:pPr>
            <w:r>
              <w:rPr>
                <w:rFonts w:hint="default" w:ascii="Times New Roman" w:hAnsi="Times New Roman" w:cs="Times New Roman"/>
              </w:rPr>
              <w:t>重点防渗区：危废暂存库、油墨仓库、机修车间，采用等效黏土防漆层进行防漆，防渗层为2mm厚的环氧树脂防水涂料，其渗透系数</w:t>
            </w:r>
            <w:r>
              <w:rPr>
                <w:rFonts w:hint="default" w:ascii="Times New Roman" w:hAnsi="Times New Roman" w:cs="Times New Roman"/>
                <w:lang w:val="en-GB"/>
              </w:rPr>
              <w:t>≤10</w:t>
            </w:r>
            <w:r>
              <w:rPr>
                <w:rFonts w:hint="default" w:ascii="Times New Roman" w:hAnsi="Times New Roman" w:cs="Times New Roman"/>
                <w:vertAlign w:val="superscript"/>
                <w:lang w:val="en-GB"/>
              </w:rPr>
              <w:t>-10</w:t>
            </w:r>
            <w:r>
              <w:rPr>
                <w:rFonts w:hint="default" w:ascii="Times New Roman" w:hAnsi="Times New Roman" w:cs="Times New Roman"/>
                <w:lang w:val="en-GB"/>
              </w:rPr>
              <w:t>cm/s</w:t>
            </w:r>
            <w:r>
              <w:rPr>
                <w:rFonts w:hint="default" w:ascii="Times New Roman" w:hAnsi="Times New Roman" w:cs="Times New Roman"/>
              </w:rPr>
              <w:t>；</w:t>
            </w:r>
          </w:p>
          <w:p w14:paraId="2DF1F237">
            <w:pPr>
              <w:ind w:firstLine="480" w:firstLineChars="200"/>
              <w:rPr>
                <w:rFonts w:hint="default" w:ascii="Times New Roman" w:hAnsi="Times New Roman" w:cs="Times New Roman"/>
              </w:rPr>
            </w:pPr>
            <w:r>
              <w:rPr>
                <w:rFonts w:hint="default" w:ascii="Times New Roman" w:hAnsi="Times New Roman" w:cs="Times New Roman"/>
              </w:rPr>
              <w:t>一般防渗区：一般固废暂存间、生产车间，采取等效黏土防漆层进行防渗，防渗层为1mm厚的环氧树脂防水涂料，其渗透系数</w:t>
            </w:r>
            <w:r>
              <w:rPr>
                <w:rFonts w:hint="default" w:ascii="Times New Roman" w:hAnsi="Times New Roman" w:cs="Times New Roman"/>
                <w:lang w:val="en-GB"/>
              </w:rPr>
              <w:t>≤10</w:t>
            </w:r>
            <w:r>
              <w:rPr>
                <w:rFonts w:hint="default" w:ascii="Times New Roman" w:hAnsi="Times New Roman" w:cs="Times New Roman"/>
                <w:vertAlign w:val="superscript"/>
                <w:lang w:val="en-GB"/>
              </w:rPr>
              <w:t>-</w:t>
            </w:r>
            <w:r>
              <w:rPr>
                <w:rFonts w:hint="default" w:ascii="Times New Roman" w:hAnsi="Times New Roman" w:cs="Times New Roman"/>
                <w:vertAlign w:val="superscript"/>
              </w:rPr>
              <w:t>5</w:t>
            </w:r>
            <w:r>
              <w:rPr>
                <w:rFonts w:hint="default" w:ascii="Times New Roman" w:hAnsi="Times New Roman" w:cs="Times New Roman"/>
                <w:lang w:val="en-GB"/>
              </w:rPr>
              <w:t>cm/s</w:t>
            </w:r>
            <w:r>
              <w:rPr>
                <w:rFonts w:hint="default" w:ascii="Times New Roman" w:hAnsi="Times New Roman" w:cs="Times New Roman"/>
              </w:rPr>
              <w:t>；</w:t>
            </w:r>
          </w:p>
          <w:p w14:paraId="35E60019">
            <w:pPr>
              <w:pStyle w:val="37"/>
              <w:ind w:firstLine="480"/>
              <w:rPr>
                <w:rFonts w:hint="default" w:ascii="Times New Roman" w:hAnsi="Times New Roman" w:cs="Times New Roman"/>
              </w:rPr>
            </w:pPr>
            <w:r>
              <w:rPr>
                <w:rFonts w:hint="default" w:ascii="Times New Roman" w:hAnsi="Times New Roman" w:cs="Times New Roman"/>
              </w:rPr>
              <w:t>简单防渗区：办公区以及其他除重点防渗区和一般防渗区以外的区域，一般地面硬化。</w:t>
            </w:r>
          </w:p>
          <w:p w14:paraId="539E89EF">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4-2</w:t>
            </w:r>
            <w:r>
              <w:rPr>
                <w:rFonts w:hint="eastAsia" w:cs="Times New Roman"/>
                <w:b/>
                <w:kern w:val="0"/>
                <w:sz w:val="21"/>
                <w:szCs w:val="22"/>
                <w:lang w:val="en-US" w:eastAsia="zh-CN"/>
              </w:rPr>
              <w:t>5</w:t>
            </w:r>
            <w:r>
              <w:rPr>
                <w:rFonts w:hint="default" w:ascii="Times New Roman" w:hAnsi="Times New Roman" w:cs="Times New Roman"/>
                <w:b/>
                <w:kern w:val="0"/>
                <w:sz w:val="21"/>
                <w:szCs w:val="22"/>
              </w:rPr>
              <w:t xml:space="preserve"> 污染防渗分区措施</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2285"/>
              <w:gridCol w:w="1614"/>
              <w:gridCol w:w="3353"/>
            </w:tblGrid>
            <w:tr w14:paraId="0C009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 w:type="pct"/>
                  <w:shd w:val="clear" w:color="auto" w:fill="auto"/>
                  <w:vAlign w:val="center"/>
                </w:tcPr>
                <w:p w14:paraId="041E8146">
                  <w:pPr>
                    <w:pStyle w:val="29"/>
                    <w:rPr>
                      <w:b/>
                      <w:bCs/>
                      <w:sz w:val="21"/>
                      <w:szCs w:val="21"/>
                    </w:rPr>
                  </w:pPr>
                  <w:r>
                    <w:rPr>
                      <w:b/>
                      <w:bCs/>
                      <w:sz w:val="21"/>
                      <w:szCs w:val="21"/>
                    </w:rPr>
                    <w:t>序号</w:t>
                  </w:r>
                </w:p>
              </w:tc>
              <w:tc>
                <w:tcPr>
                  <w:tcW w:w="1437" w:type="pct"/>
                  <w:shd w:val="clear" w:color="auto" w:fill="auto"/>
                  <w:vAlign w:val="center"/>
                </w:tcPr>
                <w:p w14:paraId="2152200A">
                  <w:pPr>
                    <w:pStyle w:val="29"/>
                    <w:rPr>
                      <w:b/>
                      <w:bCs/>
                      <w:sz w:val="21"/>
                      <w:szCs w:val="21"/>
                    </w:rPr>
                  </w:pPr>
                  <w:r>
                    <w:rPr>
                      <w:b/>
                      <w:bCs/>
                      <w:sz w:val="21"/>
                      <w:szCs w:val="21"/>
                    </w:rPr>
                    <w:t>防渗区域或部位</w:t>
                  </w:r>
                </w:p>
              </w:tc>
              <w:tc>
                <w:tcPr>
                  <w:tcW w:w="1015" w:type="pct"/>
                  <w:shd w:val="clear" w:color="auto" w:fill="auto"/>
                  <w:vAlign w:val="center"/>
                </w:tcPr>
                <w:p w14:paraId="66A3EFA7">
                  <w:pPr>
                    <w:pStyle w:val="29"/>
                    <w:rPr>
                      <w:b/>
                      <w:bCs/>
                      <w:sz w:val="21"/>
                      <w:szCs w:val="21"/>
                    </w:rPr>
                  </w:pPr>
                  <w:r>
                    <w:rPr>
                      <w:b/>
                      <w:bCs/>
                      <w:sz w:val="21"/>
                      <w:szCs w:val="21"/>
                    </w:rPr>
                    <w:t>防渗等级</w:t>
                  </w:r>
                </w:p>
              </w:tc>
              <w:tc>
                <w:tcPr>
                  <w:tcW w:w="2108" w:type="pct"/>
                  <w:shd w:val="clear" w:color="auto" w:fill="auto"/>
                  <w:vAlign w:val="center"/>
                </w:tcPr>
                <w:p w14:paraId="3A2DD992">
                  <w:pPr>
                    <w:pStyle w:val="29"/>
                    <w:rPr>
                      <w:b/>
                      <w:bCs/>
                      <w:sz w:val="21"/>
                      <w:szCs w:val="21"/>
                    </w:rPr>
                  </w:pPr>
                  <w:r>
                    <w:rPr>
                      <w:b/>
                      <w:bCs/>
                      <w:sz w:val="21"/>
                      <w:szCs w:val="21"/>
                    </w:rPr>
                    <w:t>防渗要求</w:t>
                  </w:r>
                </w:p>
              </w:tc>
            </w:tr>
            <w:tr w14:paraId="13DA7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 w:type="pct"/>
                  <w:vAlign w:val="center"/>
                </w:tcPr>
                <w:p w14:paraId="0CF59868">
                  <w:pPr>
                    <w:pStyle w:val="29"/>
                    <w:rPr>
                      <w:sz w:val="21"/>
                      <w:szCs w:val="21"/>
                    </w:rPr>
                  </w:pPr>
                  <w:r>
                    <w:rPr>
                      <w:sz w:val="21"/>
                      <w:szCs w:val="21"/>
                    </w:rPr>
                    <w:t>1</w:t>
                  </w:r>
                </w:p>
              </w:tc>
              <w:tc>
                <w:tcPr>
                  <w:tcW w:w="1437" w:type="pct"/>
                  <w:vAlign w:val="center"/>
                </w:tcPr>
                <w:p w14:paraId="44E47425">
                  <w:pPr>
                    <w:pStyle w:val="29"/>
                    <w:rPr>
                      <w:sz w:val="21"/>
                      <w:szCs w:val="21"/>
                    </w:rPr>
                  </w:pPr>
                  <w:r>
                    <w:rPr>
                      <w:sz w:val="21"/>
                      <w:szCs w:val="21"/>
                    </w:rPr>
                    <w:t>危废暂存库、油墨暂存间、机修车间</w:t>
                  </w:r>
                </w:p>
              </w:tc>
              <w:tc>
                <w:tcPr>
                  <w:tcW w:w="1015" w:type="pct"/>
                  <w:vAlign w:val="center"/>
                </w:tcPr>
                <w:p w14:paraId="0B488949">
                  <w:pPr>
                    <w:pStyle w:val="29"/>
                    <w:rPr>
                      <w:sz w:val="21"/>
                      <w:szCs w:val="21"/>
                    </w:rPr>
                  </w:pPr>
                  <w:r>
                    <w:rPr>
                      <w:sz w:val="21"/>
                      <w:szCs w:val="21"/>
                    </w:rPr>
                    <w:t>重点防渗</w:t>
                  </w:r>
                </w:p>
              </w:tc>
              <w:tc>
                <w:tcPr>
                  <w:tcW w:w="2108" w:type="pct"/>
                  <w:vAlign w:val="center"/>
                </w:tcPr>
                <w:p w14:paraId="78C760D3">
                  <w:pPr>
                    <w:pStyle w:val="29"/>
                    <w:rPr>
                      <w:sz w:val="21"/>
                      <w:szCs w:val="21"/>
                    </w:rPr>
                  </w:pPr>
                  <w:r>
                    <w:rPr>
                      <w:sz w:val="21"/>
                      <w:szCs w:val="21"/>
                    </w:rPr>
                    <w:t>等效黏土防渗层Mb≥6.0m，K≤10</w:t>
                  </w:r>
                  <w:r>
                    <w:rPr>
                      <w:sz w:val="21"/>
                      <w:szCs w:val="21"/>
                      <w:vertAlign w:val="superscript"/>
                    </w:rPr>
                    <w:t>-7</w:t>
                  </w:r>
                  <w:r>
                    <w:rPr>
                      <w:sz w:val="21"/>
                      <w:szCs w:val="21"/>
                    </w:rPr>
                    <w:t>cm/s；或参照GB18598执行</w:t>
                  </w:r>
                </w:p>
              </w:tc>
            </w:tr>
            <w:tr w14:paraId="5BE17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 w:type="pct"/>
                  <w:vAlign w:val="center"/>
                </w:tcPr>
                <w:p w14:paraId="40302A15">
                  <w:pPr>
                    <w:pStyle w:val="29"/>
                    <w:rPr>
                      <w:sz w:val="21"/>
                      <w:szCs w:val="21"/>
                    </w:rPr>
                  </w:pPr>
                  <w:r>
                    <w:rPr>
                      <w:sz w:val="21"/>
                      <w:szCs w:val="21"/>
                    </w:rPr>
                    <w:t>2</w:t>
                  </w:r>
                </w:p>
              </w:tc>
              <w:tc>
                <w:tcPr>
                  <w:tcW w:w="1437" w:type="pct"/>
                  <w:vAlign w:val="center"/>
                </w:tcPr>
                <w:p w14:paraId="12CB3A5A">
                  <w:pPr>
                    <w:pStyle w:val="29"/>
                    <w:rPr>
                      <w:sz w:val="21"/>
                      <w:szCs w:val="21"/>
                    </w:rPr>
                  </w:pPr>
                  <w:r>
                    <w:rPr>
                      <w:sz w:val="21"/>
                      <w:szCs w:val="21"/>
                    </w:rPr>
                    <w:t>一般固废暂存间、生产区域</w:t>
                  </w:r>
                </w:p>
              </w:tc>
              <w:tc>
                <w:tcPr>
                  <w:tcW w:w="1015" w:type="pct"/>
                  <w:vAlign w:val="center"/>
                </w:tcPr>
                <w:p w14:paraId="198A568E">
                  <w:pPr>
                    <w:pStyle w:val="29"/>
                    <w:rPr>
                      <w:sz w:val="21"/>
                      <w:szCs w:val="21"/>
                    </w:rPr>
                  </w:pPr>
                  <w:r>
                    <w:rPr>
                      <w:sz w:val="21"/>
                      <w:szCs w:val="21"/>
                    </w:rPr>
                    <w:t>一般防渗</w:t>
                  </w:r>
                </w:p>
              </w:tc>
              <w:tc>
                <w:tcPr>
                  <w:tcW w:w="2108" w:type="pct"/>
                  <w:vAlign w:val="center"/>
                </w:tcPr>
                <w:p w14:paraId="6B27407A">
                  <w:pPr>
                    <w:pStyle w:val="29"/>
                    <w:rPr>
                      <w:sz w:val="21"/>
                      <w:szCs w:val="21"/>
                    </w:rPr>
                  </w:pPr>
                  <w:r>
                    <w:rPr>
                      <w:sz w:val="21"/>
                      <w:szCs w:val="21"/>
                    </w:rPr>
                    <w:t>等效黏土防渗层Mb≥1.5m，K≤10-</w:t>
                  </w:r>
                  <w:r>
                    <w:rPr>
                      <w:sz w:val="21"/>
                      <w:szCs w:val="21"/>
                      <w:vertAlign w:val="superscript"/>
                    </w:rPr>
                    <w:t>7</w:t>
                  </w:r>
                  <w:r>
                    <w:rPr>
                      <w:sz w:val="21"/>
                      <w:szCs w:val="21"/>
                    </w:rPr>
                    <w:t>cm/s；或参照GB16889执行</w:t>
                  </w:r>
                </w:p>
              </w:tc>
            </w:tr>
            <w:tr w14:paraId="05FBC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 w:type="pct"/>
                  <w:vAlign w:val="center"/>
                </w:tcPr>
                <w:p w14:paraId="74EC1DAF">
                  <w:pPr>
                    <w:pStyle w:val="29"/>
                    <w:rPr>
                      <w:sz w:val="21"/>
                      <w:szCs w:val="21"/>
                    </w:rPr>
                  </w:pPr>
                  <w:r>
                    <w:rPr>
                      <w:sz w:val="21"/>
                      <w:szCs w:val="21"/>
                    </w:rPr>
                    <w:t>3</w:t>
                  </w:r>
                </w:p>
              </w:tc>
              <w:tc>
                <w:tcPr>
                  <w:tcW w:w="1437" w:type="pct"/>
                  <w:shd w:val="clear" w:color="auto" w:fill="auto"/>
                  <w:vAlign w:val="center"/>
                </w:tcPr>
                <w:p w14:paraId="213BBCDC">
                  <w:pPr>
                    <w:pStyle w:val="29"/>
                    <w:rPr>
                      <w:sz w:val="21"/>
                      <w:szCs w:val="21"/>
                    </w:rPr>
                  </w:pPr>
                  <w:r>
                    <w:rPr>
                      <w:sz w:val="21"/>
                      <w:szCs w:val="21"/>
                    </w:rPr>
                    <w:t>办公区以及其他除重点防渗区和一般防渗区以外的区域</w:t>
                  </w:r>
                </w:p>
              </w:tc>
              <w:tc>
                <w:tcPr>
                  <w:tcW w:w="1015" w:type="pct"/>
                  <w:shd w:val="clear" w:color="auto" w:fill="auto"/>
                  <w:vAlign w:val="center"/>
                </w:tcPr>
                <w:p w14:paraId="0BC9082F">
                  <w:pPr>
                    <w:pStyle w:val="29"/>
                    <w:rPr>
                      <w:sz w:val="21"/>
                      <w:szCs w:val="21"/>
                    </w:rPr>
                  </w:pPr>
                  <w:r>
                    <w:rPr>
                      <w:sz w:val="21"/>
                      <w:szCs w:val="21"/>
                    </w:rPr>
                    <w:t>简单防渗</w:t>
                  </w:r>
                </w:p>
              </w:tc>
              <w:tc>
                <w:tcPr>
                  <w:tcW w:w="2108" w:type="pct"/>
                  <w:shd w:val="clear" w:color="auto" w:fill="auto"/>
                  <w:vAlign w:val="center"/>
                </w:tcPr>
                <w:p w14:paraId="3A4BB8C2">
                  <w:pPr>
                    <w:pStyle w:val="29"/>
                    <w:rPr>
                      <w:sz w:val="21"/>
                      <w:szCs w:val="21"/>
                    </w:rPr>
                  </w:pPr>
                  <w:r>
                    <w:rPr>
                      <w:sz w:val="21"/>
                      <w:szCs w:val="21"/>
                    </w:rPr>
                    <w:t>一般地面硬化</w:t>
                  </w:r>
                </w:p>
              </w:tc>
            </w:tr>
          </w:tbl>
          <w:p w14:paraId="2639EE04">
            <w:pPr>
              <w:ind w:firstLine="482" w:firstLineChars="200"/>
              <w:rPr>
                <w:rFonts w:hint="default" w:ascii="Times New Roman" w:hAnsi="Times New Roman" w:cs="Times New Roman"/>
                <w:b/>
              </w:rPr>
            </w:pPr>
            <w:r>
              <w:rPr>
                <w:rFonts w:hint="default" w:ascii="Times New Roman" w:hAnsi="Times New Roman" w:cs="Times New Roman"/>
                <w:b/>
              </w:rPr>
              <w:t>（3）日常检查工作</w:t>
            </w:r>
          </w:p>
          <w:p w14:paraId="176CC5A1">
            <w:pPr>
              <w:ind w:firstLine="480" w:firstLineChars="200"/>
              <w:rPr>
                <w:rFonts w:hint="default" w:ascii="Times New Roman" w:hAnsi="Times New Roman" w:cs="Times New Roman"/>
              </w:rPr>
            </w:pPr>
            <w:r>
              <w:rPr>
                <w:rFonts w:hint="default" w:ascii="Times New Roman" w:hAnsi="Times New Roman" w:cs="Times New Roman"/>
              </w:rPr>
              <w:t>加强地下水污染源的日常管理与维护，尤其是重点防治区域，发现防渗性能有明显下降时应及时补修；定期检查项目污水管道的完好性，防止污水跑、冒、滴、漏，发现泄漏时应及时维修。一般固废暂存于一般固废间，杜绝露天堆放，安排专职人员进行日常检查。危废妥善暂存于规范危废暂存间内，做好台账记录。建设项目强化废物产生、收集、贮运各环节的管理，杜绝固废在厂区内的散失、渗漏。</w:t>
            </w:r>
          </w:p>
          <w:p w14:paraId="42E6717A">
            <w:pPr>
              <w:ind w:firstLine="480" w:firstLineChars="200"/>
              <w:rPr>
                <w:rFonts w:hint="default" w:ascii="Times New Roman" w:hAnsi="Times New Roman" w:cs="Times New Roman"/>
              </w:rPr>
            </w:pPr>
            <w:r>
              <w:rPr>
                <w:rFonts w:hint="default" w:ascii="Times New Roman" w:hAnsi="Times New Roman" w:cs="Times New Roman"/>
              </w:rPr>
              <w:t>采取上述措施后，本项目营运期基本不会对地下水造成污染影响。</w:t>
            </w:r>
          </w:p>
          <w:p w14:paraId="1D9C33CF">
            <w:pPr>
              <w:rPr>
                <w:rFonts w:hint="default" w:ascii="Times New Roman" w:hAnsi="Times New Roman" w:cs="Times New Roman"/>
                <w:b/>
                <w:bCs/>
              </w:rPr>
            </w:pPr>
            <w:r>
              <w:rPr>
                <w:rFonts w:hint="default" w:ascii="Times New Roman" w:hAnsi="Times New Roman" w:cs="Times New Roman"/>
                <w:b/>
                <w:bCs/>
              </w:rPr>
              <w:t>4.8 环境风险</w:t>
            </w:r>
          </w:p>
          <w:p w14:paraId="0C7C418D">
            <w:pPr>
              <w:pStyle w:val="37"/>
              <w:ind w:firstLine="480"/>
              <w:rPr>
                <w:rFonts w:hint="default" w:ascii="Times New Roman" w:hAnsi="Times New Roman" w:cs="Times New Roman"/>
              </w:rPr>
            </w:pPr>
            <w:r>
              <w:rPr>
                <w:rFonts w:hint="default" w:ascii="Times New Roman" w:hAnsi="Times New Roman" w:cs="Times New Roman"/>
              </w:rPr>
              <w:t>环境风险评价应以突发性事故导致的危险物质环境急性损害防控为目标，对建设项目的环境风险进行分析、预测和评估，提出环境风险预防、控制、减缓措施，明确环境风险监控及应急建议要求，为建设项目环境风险防控提出科学依据。本次环境风险评价根据《建设项目环境风险评价技术导则》（HJ169-2018）进行，主要内容包括风险源调查、环境敏感目标调查、环境风险潜势初判、风险识别、环境风险分析、环境风险防范措施及应急要求等。</w:t>
            </w:r>
          </w:p>
          <w:p w14:paraId="15EB7E4A">
            <w:pPr>
              <w:pStyle w:val="37"/>
              <w:ind w:firstLine="0" w:firstLineChars="0"/>
              <w:rPr>
                <w:rFonts w:hint="default" w:ascii="Times New Roman" w:hAnsi="Times New Roman" w:cs="Times New Roman"/>
                <w:b/>
                <w:bCs/>
              </w:rPr>
            </w:pPr>
            <w:r>
              <w:rPr>
                <w:rFonts w:hint="default" w:ascii="Times New Roman" w:hAnsi="Times New Roman" w:cs="Times New Roman"/>
                <w:b/>
                <w:bCs/>
              </w:rPr>
              <w:t>4.8.1物质危险性识别</w:t>
            </w:r>
          </w:p>
          <w:p w14:paraId="06589BFA">
            <w:pPr>
              <w:pStyle w:val="37"/>
              <w:ind w:firstLine="480"/>
              <w:rPr>
                <w:rFonts w:hint="default" w:ascii="Times New Roman" w:hAnsi="Times New Roman" w:cs="Times New Roman"/>
              </w:rPr>
            </w:pPr>
            <w:r>
              <w:rPr>
                <w:rFonts w:hint="default" w:ascii="Times New Roman" w:hAnsi="Times New Roman" w:cs="Times New Roman"/>
              </w:rPr>
              <w:t>根据项目特点，本项目运营期可能发生环境风险事件主要为原料仓库危险化学品泄漏、危废暂存间危险废物泄露和火灾。根据《建设项目环境风险评价导则》（HJ169-2018）附录C，计算本项目所涉及的每种危险物质在厂界内的最大存在总量与其在附录B中对应临界量的比值Q。当只涉及一种危险物质时，计算该物质的总量与其临界量比值，即为Q；当存在多种危险物质时，则下式计算物质总量与其临界量比值（Q）：</w:t>
            </w:r>
          </w:p>
          <w:p w14:paraId="1064770D">
            <w:pPr>
              <w:pStyle w:val="37"/>
              <w:ind w:firstLine="48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1552575" cy="409575"/>
                  <wp:effectExtent l="0" t="0" r="9525"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8"/>
                          <a:stretch>
                            <a:fillRect/>
                          </a:stretch>
                        </pic:blipFill>
                        <pic:spPr>
                          <a:xfrm>
                            <a:off x="0" y="0"/>
                            <a:ext cx="1552575" cy="409575"/>
                          </a:xfrm>
                          <a:prstGeom prst="rect">
                            <a:avLst/>
                          </a:prstGeom>
                          <a:noFill/>
                          <a:ln>
                            <a:noFill/>
                          </a:ln>
                        </pic:spPr>
                      </pic:pic>
                    </a:graphicData>
                  </a:graphic>
                </wp:inline>
              </w:drawing>
            </w:r>
          </w:p>
          <w:p w14:paraId="7937EE28">
            <w:pPr>
              <w:pStyle w:val="37"/>
              <w:ind w:firstLine="480"/>
              <w:rPr>
                <w:rFonts w:hint="default" w:ascii="Times New Roman" w:hAnsi="Times New Roman" w:cs="Times New Roman"/>
              </w:rPr>
            </w:pPr>
            <w:r>
              <w:rPr>
                <w:rFonts w:hint="default" w:ascii="Times New Roman" w:hAnsi="Times New Roman" w:cs="Times New Roman"/>
              </w:rPr>
              <w:t>式中：q1，q2，...，qn—每种化学物质的最大存在总量，t；</w:t>
            </w:r>
          </w:p>
          <w:p w14:paraId="71B87CD3">
            <w:pPr>
              <w:pStyle w:val="37"/>
              <w:ind w:firstLine="480"/>
              <w:rPr>
                <w:rFonts w:hint="default" w:ascii="Times New Roman" w:hAnsi="Times New Roman" w:cs="Times New Roman"/>
              </w:rPr>
            </w:pPr>
            <w:r>
              <w:rPr>
                <w:rFonts w:hint="default" w:ascii="Times New Roman" w:hAnsi="Times New Roman" w:cs="Times New Roman"/>
              </w:rPr>
              <w:t>Q1，Q2，...，Qn—每种化学物质的临界量，t。</w:t>
            </w:r>
          </w:p>
          <w:p w14:paraId="4D999413">
            <w:pPr>
              <w:pStyle w:val="37"/>
              <w:ind w:firstLine="480"/>
              <w:rPr>
                <w:rFonts w:hint="default" w:ascii="Times New Roman" w:hAnsi="Times New Roman" w:cs="Times New Roman"/>
                <w:b/>
                <w:bCs/>
              </w:rPr>
            </w:pPr>
            <w:r>
              <w:rPr>
                <w:rFonts w:hint="default" w:ascii="Times New Roman" w:hAnsi="Times New Roman" w:cs="Times New Roman"/>
              </w:rPr>
              <w:t>根据《建设项目环境风险评价技术导则》（HJ169-2018）附录B中表B.2突发环境事件风险物质及临界量以及参考《危险化学品重大危险源辨识》（GB18218-2018），项目风险物质储存情况及风险临界量比值情况如下表所示：</w:t>
            </w:r>
          </w:p>
          <w:p w14:paraId="17D28CA0">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4-2</w:t>
            </w:r>
            <w:r>
              <w:rPr>
                <w:rFonts w:hint="eastAsia" w:cs="Times New Roman"/>
                <w:b/>
                <w:kern w:val="0"/>
                <w:sz w:val="21"/>
                <w:szCs w:val="22"/>
                <w:lang w:val="en-US" w:eastAsia="zh-CN"/>
              </w:rPr>
              <w:t>6</w:t>
            </w:r>
            <w:r>
              <w:rPr>
                <w:rFonts w:hint="default" w:ascii="Times New Roman" w:hAnsi="Times New Roman" w:cs="Times New Roman"/>
                <w:b/>
                <w:kern w:val="0"/>
                <w:sz w:val="21"/>
                <w:szCs w:val="22"/>
              </w:rPr>
              <w:t xml:space="preserve">  本项目风险物质一览表</w:t>
            </w:r>
          </w:p>
          <w:tbl>
            <w:tblPr>
              <w:tblStyle w:val="32"/>
              <w:tblW w:w="10698468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0"/>
              <w:gridCol w:w="897"/>
              <w:gridCol w:w="543"/>
              <w:gridCol w:w="2380"/>
              <w:gridCol w:w="1271"/>
              <w:gridCol w:w="1459"/>
              <w:gridCol w:w="1092"/>
            </w:tblGrid>
            <w:tr w14:paraId="06202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036982F0">
                  <w:pPr>
                    <w:pStyle w:val="29"/>
                    <w:rPr>
                      <w:b/>
                      <w:bCs/>
                      <w:sz w:val="21"/>
                      <w:szCs w:val="21"/>
                    </w:rPr>
                  </w:pPr>
                  <w:r>
                    <w:rPr>
                      <w:b/>
                      <w:bCs/>
                      <w:sz w:val="21"/>
                      <w:szCs w:val="21"/>
                    </w:rPr>
                    <w:t>序号</w:t>
                  </w:r>
                </w:p>
              </w:tc>
              <w:tc>
                <w:tcPr>
                  <w:tcW w:w="564" w:type="pct"/>
                  <w:vAlign w:val="center"/>
                </w:tcPr>
                <w:p w14:paraId="01D0D622">
                  <w:pPr>
                    <w:pStyle w:val="29"/>
                    <w:rPr>
                      <w:b/>
                      <w:bCs/>
                      <w:sz w:val="21"/>
                      <w:szCs w:val="21"/>
                    </w:rPr>
                  </w:pPr>
                  <w:r>
                    <w:rPr>
                      <w:b/>
                      <w:bCs/>
                      <w:sz w:val="21"/>
                      <w:szCs w:val="21"/>
                    </w:rPr>
                    <w:t>风险物质名称</w:t>
                  </w:r>
                </w:p>
              </w:tc>
              <w:tc>
                <w:tcPr>
                  <w:tcW w:w="340" w:type="pct"/>
                  <w:vAlign w:val="center"/>
                </w:tcPr>
                <w:p w14:paraId="43B37885">
                  <w:pPr>
                    <w:pStyle w:val="29"/>
                    <w:rPr>
                      <w:b/>
                      <w:bCs/>
                      <w:sz w:val="21"/>
                      <w:szCs w:val="21"/>
                    </w:rPr>
                  </w:pPr>
                  <w:r>
                    <w:rPr>
                      <w:b/>
                      <w:bCs/>
                      <w:sz w:val="21"/>
                      <w:szCs w:val="21"/>
                    </w:rPr>
                    <w:t>形态</w:t>
                  </w:r>
                </w:p>
              </w:tc>
              <w:tc>
                <w:tcPr>
                  <w:tcW w:w="1496" w:type="pct"/>
                  <w:vAlign w:val="center"/>
                </w:tcPr>
                <w:p w14:paraId="57235990">
                  <w:pPr>
                    <w:pStyle w:val="29"/>
                    <w:rPr>
                      <w:b/>
                      <w:bCs/>
                      <w:sz w:val="21"/>
                      <w:szCs w:val="21"/>
                    </w:rPr>
                  </w:pPr>
                  <w:r>
                    <w:rPr>
                      <w:b/>
                      <w:bCs/>
                      <w:sz w:val="21"/>
                      <w:szCs w:val="21"/>
                    </w:rPr>
                    <w:t>判定依据</w:t>
                  </w:r>
                </w:p>
              </w:tc>
              <w:tc>
                <w:tcPr>
                  <w:tcW w:w="799" w:type="pct"/>
                  <w:vAlign w:val="center"/>
                </w:tcPr>
                <w:p w14:paraId="022FD297">
                  <w:pPr>
                    <w:pStyle w:val="29"/>
                    <w:rPr>
                      <w:b/>
                      <w:bCs/>
                      <w:sz w:val="21"/>
                      <w:szCs w:val="21"/>
                    </w:rPr>
                  </w:pPr>
                  <w:r>
                    <w:rPr>
                      <w:b/>
                      <w:bCs/>
                      <w:sz w:val="21"/>
                      <w:szCs w:val="21"/>
                    </w:rPr>
                    <w:t>最大存在量（t）</w:t>
                  </w:r>
                </w:p>
              </w:tc>
              <w:tc>
                <w:tcPr>
                  <w:tcW w:w="917" w:type="pct"/>
                  <w:shd w:val="clear" w:color="auto" w:fill="auto"/>
                  <w:vAlign w:val="center"/>
                </w:tcPr>
                <w:p w14:paraId="7FAEA632">
                  <w:pPr>
                    <w:pStyle w:val="29"/>
                    <w:rPr>
                      <w:b/>
                      <w:bCs/>
                      <w:sz w:val="21"/>
                      <w:szCs w:val="21"/>
                    </w:rPr>
                  </w:pPr>
                  <w:r>
                    <w:rPr>
                      <w:b/>
                      <w:bCs/>
                      <w:sz w:val="21"/>
                      <w:szCs w:val="21"/>
                    </w:rPr>
                    <w:t>临界量（t）</w:t>
                  </w:r>
                </w:p>
              </w:tc>
              <w:tc>
                <w:tcPr>
                  <w:tcW w:w="686" w:type="pct"/>
                  <w:vAlign w:val="center"/>
                </w:tcPr>
                <w:p w14:paraId="6A2AC6F9">
                  <w:pPr>
                    <w:pStyle w:val="29"/>
                    <w:rPr>
                      <w:b/>
                      <w:bCs/>
                      <w:sz w:val="21"/>
                      <w:szCs w:val="21"/>
                    </w:rPr>
                  </w:pPr>
                  <w:r>
                    <w:rPr>
                      <w:b/>
                      <w:bCs/>
                      <w:sz w:val="21"/>
                      <w:szCs w:val="21"/>
                    </w:rPr>
                    <w:t>Q值</w:t>
                  </w:r>
                </w:p>
              </w:tc>
            </w:tr>
            <w:tr w14:paraId="6F469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1A1718DA">
                  <w:pPr>
                    <w:pStyle w:val="29"/>
                    <w:rPr>
                      <w:sz w:val="21"/>
                      <w:szCs w:val="21"/>
                    </w:rPr>
                  </w:pPr>
                  <w:r>
                    <w:rPr>
                      <w:sz w:val="21"/>
                      <w:szCs w:val="21"/>
                    </w:rPr>
                    <w:t>1</w:t>
                  </w:r>
                </w:p>
              </w:tc>
              <w:tc>
                <w:tcPr>
                  <w:tcW w:w="564" w:type="pct"/>
                  <w:vAlign w:val="center"/>
                </w:tcPr>
                <w:p w14:paraId="03211746">
                  <w:pPr>
                    <w:pStyle w:val="29"/>
                    <w:rPr>
                      <w:sz w:val="21"/>
                      <w:szCs w:val="21"/>
                    </w:rPr>
                  </w:pPr>
                  <w:r>
                    <w:rPr>
                      <w:sz w:val="21"/>
                      <w:szCs w:val="21"/>
                    </w:rPr>
                    <w:t>水性油墨</w:t>
                  </w:r>
                </w:p>
              </w:tc>
              <w:tc>
                <w:tcPr>
                  <w:tcW w:w="340" w:type="pct"/>
                  <w:vAlign w:val="center"/>
                </w:tcPr>
                <w:p w14:paraId="27869520">
                  <w:pPr>
                    <w:pStyle w:val="29"/>
                    <w:rPr>
                      <w:sz w:val="21"/>
                      <w:szCs w:val="21"/>
                    </w:rPr>
                  </w:pPr>
                  <w:r>
                    <w:rPr>
                      <w:sz w:val="21"/>
                      <w:szCs w:val="21"/>
                    </w:rPr>
                    <w:t>液态</w:t>
                  </w:r>
                </w:p>
              </w:tc>
              <w:tc>
                <w:tcPr>
                  <w:tcW w:w="1496" w:type="pct"/>
                  <w:vAlign w:val="center"/>
                </w:tcPr>
                <w:p w14:paraId="7113A50C">
                  <w:pPr>
                    <w:pStyle w:val="29"/>
                    <w:rPr>
                      <w:sz w:val="21"/>
                      <w:szCs w:val="21"/>
                    </w:rPr>
                  </w:pPr>
                  <w:r>
                    <w:rPr>
                      <w:sz w:val="21"/>
                      <w:szCs w:val="21"/>
                    </w:rPr>
                    <w:t>《建设项目环境风险评价技术导则》（HJ169-2018）中“健康危险急性毒性物质（类别2，类别3）”</w:t>
                  </w:r>
                </w:p>
              </w:tc>
              <w:tc>
                <w:tcPr>
                  <w:tcW w:w="799" w:type="pct"/>
                  <w:vAlign w:val="center"/>
                </w:tcPr>
                <w:p w14:paraId="19AFA596">
                  <w:pPr>
                    <w:pStyle w:val="29"/>
                    <w:rPr>
                      <w:sz w:val="21"/>
                      <w:szCs w:val="21"/>
                    </w:rPr>
                  </w:pPr>
                  <w:r>
                    <w:rPr>
                      <w:sz w:val="21"/>
                      <w:szCs w:val="21"/>
                    </w:rPr>
                    <w:t>0.04</w:t>
                  </w:r>
                </w:p>
              </w:tc>
              <w:tc>
                <w:tcPr>
                  <w:tcW w:w="917" w:type="pct"/>
                  <w:shd w:val="clear" w:color="auto" w:fill="auto"/>
                  <w:vAlign w:val="center"/>
                </w:tcPr>
                <w:p w14:paraId="02703873">
                  <w:pPr>
                    <w:pStyle w:val="29"/>
                    <w:rPr>
                      <w:sz w:val="21"/>
                      <w:szCs w:val="21"/>
                    </w:rPr>
                  </w:pPr>
                  <w:r>
                    <w:rPr>
                      <w:sz w:val="21"/>
                      <w:szCs w:val="21"/>
                    </w:rPr>
                    <w:t>50</w:t>
                  </w:r>
                </w:p>
              </w:tc>
              <w:tc>
                <w:tcPr>
                  <w:tcW w:w="686" w:type="pct"/>
                  <w:vAlign w:val="center"/>
                </w:tcPr>
                <w:p w14:paraId="263235CC">
                  <w:pPr>
                    <w:pStyle w:val="29"/>
                    <w:rPr>
                      <w:sz w:val="21"/>
                      <w:szCs w:val="21"/>
                    </w:rPr>
                  </w:pPr>
                  <w:r>
                    <w:rPr>
                      <w:sz w:val="21"/>
                      <w:szCs w:val="21"/>
                    </w:rPr>
                    <w:t>0.0008</w:t>
                  </w:r>
                </w:p>
              </w:tc>
            </w:tr>
            <w:tr w14:paraId="773B0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02523264">
                  <w:pPr>
                    <w:pStyle w:val="29"/>
                    <w:rPr>
                      <w:sz w:val="21"/>
                      <w:szCs w:val="21"/>
                    </w:rPr>
                  </w:pPr>
                  <w:r>
                    <w:rPr>
                      <w:sz w:val="21"/>
                      <w:szCs w:val="21"/>
                    </w:rPr>
                    <w:t>2</w:t>
                  </w:r>
                </w:p>
              </w:tc>
              <w:tc>
                <w:tcPr>
                  <w:tcW w:w="564" w:type="pct"/>
                  <w:vAlign w:val="center"/>
                </w:tcPr>
                <w:p w14:paraId="2663E100">
                  <w:pPr>
                    <w:pStyle w:val="29"/>
                    <w:rPr>
                      <w:sz w:val="21"/>
                      <w:szCs w:val="21"/>
                    </w:rPr>
                  </w:pPr>
                  <w:r>
                    <w:rPr>
                      <w:sz w:val="21"/>
                      <w:szCs w:val="21"/>
                    </w:rPr>
                    <w:t>硼砂</w:t>
                  </w:r>
                </w:p>
              </w:tc>
              <w:tc>
                <w:tcPr>
                  <w:tcW w:w="340" w:type="pct"/>
                  <w:vAlign w:val="center"/>
                </w:tcPr>
                <w:p w14:paraId="60BB7918">
                  <w:pPr>
                    <w:pStyle w:val="29"/>
                    <w:rPr>
                      <w:sz w:val="21"/>
                      <w:szCs w:val="21"/>
                    </w:rPr>
                  </w:pPr>
                  <w:r>
                    <w:rPr>
                      <w:sz w:val="21"/>
                      <w:szCs w:val="21"/>
                    </w:rPr>
                    <w:t>固态</w:t>
                  </w:r>
                </w:p>
              </w:tc>
              <w:tc>
                <w:tcPr>
                  <w:tcW w:w="1496" w:type="pct"/>
                  <w:vMerge w:val="restart"/>
                  <w:vAlign w:val="center"/>
                </w:tcPr>
                <w:p w14:paraId="13217220">
                  <w:pPr>
                    <w:pStyle w:val="29"/>
                    <w:rPr>
                      <w:sz w:val="21"/>
                      <w:szCs w:val="21"/>
                    </w:rPr>
                  </w:pPr>
                  <w:r>
                    <w:rPr>
                      <w:sz w:val="21"/>
                      <w:szCs w:val="21"/>
                    </w:rPr>
                    <w:t>《建设项目环境风险评价技术导则》（HJ169-2018）中“危害水环境物质（急性毒性类别1）”</w:t>
                  </w:r>
                </w:p>
              </w:tc>
              <w:tc>
                <w:tcPr>
                  <w:tcW w:w="799" w:type="pct"/>
                  <w:vAlign w:val="center"/>
                </w:tcPr>
                <w:p w14:paraId="0523F864">
                  <w:pPr>
                    <w:pStyle w:val="29"/>
                    <w:rPr>
                      <w:sz w:val="21"/>
                      <w:szCs w:val="21"/>
                    </w:rPr>
                  </w:pPr>
                  <w:r>
                    <w:rPr>
                      <w:sz w:val="21"/>
                      <w:szCs w:val="21"/>
                    </w:rPr>
                    <w:t>0.5</w:t>
                  </w:r>
                </w:p>
              </w:tc>
              <w:tc>
                <w:tcPr>
                  <w:tcW w:w="917" w:type="pct"/>
                  <w:shd w:val="clear" w:color="auto" w:fill="auto"/>
                  <w:vAlign w:val="center"/>
                </w:tcPr>
                <w:p w14:paraId="4FFCC1BC">
                  <w:pPr>
                    <w:pStyle w:val="29"/>
                    <w:rPr>
                      <w:sz w:val="21"/>
                      <w:szCs w:val="21"/>
                    </w:rPr>
                  </w:pPr>
                  <w:r>
                    <w:rPr>
                      <w:sz w:val="21"/>
                      <w:szCs w:val="21"/>
                    </w:rPr>
                    <w:t>100</w:t>
                  </w:r>
                </w:p>
              </w:tc>
              <w:tc>
                <w:tcPr>
                  <w:tcW w:w="686" w:type="pct"/>
                  <w:vAlign w:val="center"/>
                </w:tcPr>
                <w:p w14:paraId="2EA125FC">
                  <w:pPr>
                    <w:pStyle w:val="29"/>
                    <w:rPr>
                      <w:sz w:val="21"/>
                      <w:szCs w:val="21"/>
                    </w:rPr>
                  </w:pPr>
                  <w:r>
                    <w:rPr>
                      <w:sz w:val="21"/>
                      <w:szCs w:val="21"/>
                    </w:rPr>
                    <w:t>0.005</w:t>
                  </w:r>
                </w:p>
              </w:tc>
            </w:tr>
            <w:tr w14:paraId="151F5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2DDAB233">
                  <w:pPr>
                    <w:pStyle w:val="29"/>
                    <w:rPr>
                      <w:sz w:val="21"/>
                      <w:szCs w:val="21"/>
                    </w:rPr>
                  </w:pPr>
                  <w:r>
                    <w:rPr>
                      <w:sz w:val="21"/>
                      <w:szCs w:val="21"/>
                    </w:rPr>
                    <w:t>3</w:t>
                  </w:r>
                </w:p>
              </w:tc>
              <w:tc>
                <w:tcPr>
                  <w:tcW w:w="564" w:type="pct"/>
                  <w:vAlign w:val="center"/>
                </w:tcPr>
                <w:p w14:paraId="39F32B11">
                  <w:pPr>
                    <w:pStyle w:val="29"/>
                    <w:rPr>
                      <w:sz w:val="21"/>
                      <w:szCs w:val="21"/>
                    </w:rPr>
                  </w:pPr>
                  <w:r>
                    <w:rPr>
                      <w:sz w:val="21"/>
                      <w:szCs w:val="21"/>
                    </w:rPr>
                    <w:t>氢氧化钠</w:t>
                  </w:r>
                </w:p>
              </w:tc>
              <w:tc>
                <w:tcPr>
                  <w:tcW w:w="340" w:type="pct"/>
                  <w:vAlign w:val="center"/>
                </w:tcPr>
                <w:p w14:paraId="40C7EB2A">
                  <w:pPr>
                    <w:pStyle w:val="29"/>
                    <w:rPr>
                      <w:sz w:val="21"/>
                      <w:szCs w:val="21"/>
                    </w:rPr>
                  </w:pPr>
                  <w:r>
                    <w:rPr>
                      <w:sz w:val="21"/>
                      <w:szCs w:val="21"/>
                    </w:rPr>
                    <w:t>固态</w:t>
                  </w:r>
                </w:p>
              </w:tc>
              <w:tc>
                <w:tcPr>
                  <w:tcW w:w="1496" w:type="pct"/>
                  <w:vMerge w:val="continue"/>
                  <w:vAlign w:val="center"/>
                </w:tcPr>
                <w:p w14:paraId="509588BE">
                  <w:pPr>
                    <w:pStyle w:val="29"/>
                    <w:rPr>
                      <w:sz w:val="21"/>
                      <w:szCs w:val="21"/>
                    </w:rPr>
                  </w:pPr>
                </w:p>
              </w:tc>
              <w:tc>
                <w:tcPr>
                  <w:tcW w:w="799" w:type="pct"/>
                  <w:vAlign w:val="center"/>
                </w:tcPr>
                <w:p w14:paraId="13ABBCBD">
                  <w:pPr>
                    <w:pStyle w:val="29"/>
                    <w:rPr>
                      <w:sz w:val="21"/>
                      <w:szCs w:val="21"/>
                    </w:rPr>
                  </w:pPr>
                  <w:r>
                    <w:rPr>
                      <w:sz w:val="21"/>
                      <w:szCs w:val="21"/>
                    </w:rPr>
                    <w:t>0.3</w:t>
                  </w:r>
                </w:p>
              </w:tc>
              <w:tc>
                <w:tcPr>
                  <w:tcW w:w="917" w:type="pct"/>
                  <w:shd w:val="clear" w:color="auto" w:fill="auto"/>
                  <w:vAlign w:val="center"/>
                </w:tcPr>
                <w:p w14:paraId="3E745EB9">
                  <w:pPr>
                    <w:pStyle w:val="29"/>
                    <w:rPr>
                      <w:sz w:val="21"/>
                      <w:szCs w:val="21"/>
                    </w:rPr>
                  </w:pPr>
                  <w:r>
                    <w:rPr>
                      <w:sz w:val="21"/>
                      <w:szCs w:val="21"/>
                    </w:rPr>
                    <w:t>100</w:t>
                  </w:r>
                </w:p>
              </w:tc>
              <w:tc>
                <w:tcPr>
                  <w:tcW w:w="686" w:type="pct"/>
                  <w:vAlign w:val="center"/>
                </w:tcPr>
                <w:p w14:paraId="1162C4AA">
                  <w:pPr>
                    <w:pStyle w:val="29"/>
                    <w:rPr>
                      <w:sz w:val="21"/>
                      <w:szCs w:val="21"/>
                    </w:rPr>
                  </w:pPr>
                  <w:r>
                    <w:rPr>
                      <w:sz w:val="21"/>
                      <w:szCs w:val="21"/>
                    </w:rPr>
                    <w:t>0.003</w:t>
                  </w:r>
                </w:p>
              </w:tc>
            </w:tr>
            <w:tr w14:paraId="3030E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6F8BD059">
                  <w:pPr>
                    <w:pStyle w:val="29"/>
                    <w:rPr>
                      <w:sz w:val="21"/>
                      <w:szCs w:val="21"/>
                    </w:rPr>
                  </w:pPr>
                  <w:r>
                    <w:rPr>
                      <w:sz w:val="21"/>
                      <w:szCs w:val="21"/>
                    </w:rPr>
                    <w:t>4</w:t>
                  </w:r>
                </w:p>
              </w:tc>
              <w:tc>
                <w:tcPr>
                  <w:tcW w:w="564" w:type="pct"/>
                  <w:vAlign w:val="center"/>
                </w:tcPr>
                <w:p w14:paraId="61C4C843">
                  <w:pPr>
                    <w:pStyle w:val="29"/>
                    <w:rPr>
                      <w:sz w:val="21"/>
                      <w:szCs w:val="21"/>
                    </w:rPr>
                  </w:pPr>
                  <w:r>
                    <w:rPr>
                      <w:sz w:val="21"/>
                      <w:szCs w:val="21"/>
                    </w:rPr>
                    <w:t>机油</w:t>
                  </w:r>
                </w:p>
              </w:tc>
              <w:tc>
                <w:tcPr>
                  <w:tcW w:w="340" w:type="pct"/>
                  <w:vAlign w:val="center"/>
                </w:tcPr>
                <w:p w14:paraId="55439BC3">
                  <w:pPr>
                    <w:pStyle w:val="29"/>
                    <w:rPr>
                      <w:sz w:val="21"/>
                      <w:szCs w:val="21"/>
                    </w:rPr>
                  </w:pPr>
                  <w:r>
                    <w:rPr>
                      <w:sz w:val="21"/>
                      <w:szCs w:val="21"/>
                    </w:rPr>
                    <w:t>液态</w:t>
                  </w:r>
                </w:p>
              </w:tc>
              <w:tc>
                <w:tcPr>
                  <w:tcW w:w="1496" w:type="pct"/>
                  <w:vAlign w:val="center"/>
                </w:tcPr>
                <w:p w14:paraId="1DBB777C">
                  <w:pPr>
                    <w:pStyle w:val="29"/>
                    <w:rPr>
                      <w:sz w:val="21"/>
                      <w:szCs w:val="21"/>
                    </w:rPr>
                  </w:pPr>
                  <w:r>
                    <w:rPr>
                      <w:sz w:val="21"/>
                      <w:szCs w:val="21"/>
                    </w:rPr>
                    <w:t>《建设项目环境风险评价技术导则》（HJ169-2018）中“油类物质（矿物油类，如石油、汽油、柴油等；生物柴油等）</w:t>
                  </w:r>
                </w:p>
              </w:tc>
              <w:tc>
                <w:tcPr>
                  <w:tcW w:w="799" w:type="pct"/>
                  <w:vAlign w:val="center"/>
                </w:tcPr>
                <w:p w14:paraId="3BE39C40">
                  <w:pPr>
                    <w:pStyle w:val="29"/>
                    <w:rPr>
                      <w:sz w:val="21"/>
                      <w:szCs w:val="21"/>
                    </w:rPr>
                  </w:pPr>
                  <w:r>
                    <w:rPr>
                      <w:sz w:val="21"/>
                      <w:szCs w:val="21"/>
                    </w:rPr>
                    <w:t>0.3</w:t>
                  </w:r>
                </w:p>
              </w:tc>
              <w:tc>
                <w:tcPr>
                  <w:tcW w:w="917" w:type="pct"/>
                  <w:shd w:val="clear" w:color="auto" w:fill="auto"/>
                  <w:vAlign w:val="center"/>
                </w:tcPr>
                <w:p w14:paraId="25EE12AD">
                  <w:pPr>
                    <w:pStyle w:val="29"/>
                    <w:rPr>
                      <w:sz w:val="21"/>
                      <w:szCs w:val="21"/>
                    </w:rPr>
                  </w:pPr>
                  <w:r>
                    <w:rPr>
                      <w:sz w:val="21"/>
                      <w:szCs w:val="21"/>
                    </w:rPr>
                    <w:t>2500</w:t>
                  </w:r>
                </w:p>
              </w:tc>
              <w:tc>
                <w:tcPr>
                  <w:tcW w:w="686" w:type="pct"/>
                  <w:vAlign w:val="center"/>
                </w:tcPr>
                <w:p w14:paraId="394F3F01">
                  <w:pPr>
                    <w:pStyle w:val="29"/>
                    <w:rPr>
                      <w:sz w:val="21"/>
                      <w:szCs w:val="21"/>
                    </w:rPr>
                  </w:pPr>
                  <w:r>
                    <w:rPr>
                      <w:sz w:val="21"/>
                      <w:szCs w:val="21"/>
                    </w:rPr>
                    <w:t>0.00012</w:t>
                  </w:r>
                </w:p>
              </w:tc>
            </w:tr>
            <w:tr w14:paraId="4CF72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5E1338DD">
                  <w:pPr>
                    <w:pStyle w:val="29"/>
                    <w:rPr>
                      <w:sz w:val="21"/>
                      <w:szCs w:val="21"/>
                    </w:rPr>
                  </w:pPr>
                  <w:r>
                    <w:rPr>
                      <w:sz w:val="21"/>
                      <w:szCs w:val="21"/>
                    </w:rPr>
                    <w:t>5</w:t>
                  </w:r>
                </w:p>
              </w:tc>
              <w:tc>
                <w:tcPr>
                  <w:tcW w:w="564" w:type="pct"/>
                  <w:vAlign w:val="center"/>
                </w:tcPr>
                <w:p w14:paraId="22795F30">
                  <w:pPr>
                    <w:pStyle w:val="29"/>
                    <w:rPr>
                      <w:sz w:val="21"/>
                      <w:szCs w:val="21"/>
                    </w:rPr>
                  </w:pPr>
                  <w:r>
                    <w:rPr>
                      <w:sz w:val="21"/>
                      <w:szCs w:val="21"/>
                    </w:rPr>
                    <w:t>天然气</w:t>
                  </w:r>
                </w:p>
              </w:tc>
              <w:tc>
                <w:tcPr>
                  <w:tcW w:w="340" w:type="pct"/>
                  <w:vAlign w:val="center"/>
                </w:tcPr>
                <w:p w14:paraId="2545734E">
                  <w:pPr>
                    <w:pStyle w:val="29"/>
                    <w:rPr>
                      <w:sz w:val="21"/>
                      <w:szCs w:val="21"/>
                    </w:rPr>
                  </w:pPr>
                  <w:r>
                    <w:rPr>
                      <w:sz w:val="21"/>
                      <w:szCs w:val="21"/>
                    </w:rPr>
                    <w:t>气态</w:t>
                  </w:r>
                </w:p>
              </w:tc>
              <w:tc>
                <w:tcPr>
                  <w:tcW w:w="1496" w:type="pct"/>
                  <w:vAlign w:val="center"/>
                </w:tcPr>
                <w:p w14:paraId="74653A05">
                  <w:pPr>
                    <w:pStyle w:val="29"/>
                    <w:rPr>
                      <w:sz w:val="21"/>
                      <w:szCs w:val="21"/>
                    </w:rPr>
                  </w:pPr>
                  <w:r>
                    <w:rPr>
                      <w:sz w:val="21"/>
                      <w:szCs w:val="21"/>
                    </w:rPr>
                    <w:t>《危险化学品重大危险源辨识》（GB18218-2018）</w:t>
                  </w:r>
                </w:p>
              </w:tc>
              <w:tc>
                <w:tcPr>
                  <w:tcW w:w="799" w:type="pct"/>
                  <w:vAlign w:val="center"/>
                </w:tcPr>
                <w:p w14:paraId="6A6FC4FB">
                  <w:pPr>
                    <w:pStyle w:val="29"/>
                    <w:rPr>
                      <w:sz w:val="21"/>
                      <w:szCs w:val="21"/>
                    </w:rPr>
                  </w:pPr>
                  <w:r>
                    <w:rPr>
                      <w:sz w:val="21"/>
                      <w:szCs w:val="21"/>
                    </w:rPr>
                    <w:t>0.5</w:t>
                  </w:r>
                </w:p>
              </w:tc>
              <w:tc>
                <w:tcPr>
                  <w:tcW w:w="917" w:type="pct"/>
                  <w:shd w:val="clear" w:color="auto" w:fill="auto"/>
                  <w:vAlign w:val="center"/>
                </w:tcPr>
                <w:p w14:paraId="5CE4B210">
                  <w:pPr>
                    <w:pStyle w:val="29"/>
                    <w:rPr>
                      <w:sz w:val="21"/>
                      <w:szCs w:val="21"/>
                    </w:rPr>
                  </w:pPr>
                  <w:r>
                    <w:rPr>
                      <w:sz w:val="21"/>
                      <w:szCs w:val="21"/>
                    </w:rPr>
                    <w:t>10</w:t>
                  </w:r>
                </w:p>
              </w:tc>
              <w:tc>
                <w:tcPr>
                  <w:tcW w:w="686" w:type="pct"/>
                  <w:vAlign w:val="center"/>
                </w:tcPr>
                <w:p w14:paraId="4C900AB2">
                  <w:pPr>
                    <w:pStyle w:val="29"/>
                    <w:rPr>
                      <w:sz w:val="21"/>
                      <w:szCs w:val="21"/>
                    </w:rPr>
                  </w:pPr>
                  <w:r>
                    <w:rPr>
                      <w:sz w:val="21"/>
                      <w:szCs w:val="21"/>
                    </w:rPr>
                    <w:t>0.05</w:t>
                  </w:r>
                </w:p>
              </w:tc>
            </w:tr>
            <w:tr w14:paraId="020FF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95" w:type="pct"/>
                  <w:vAlign w:val="center"/>
                </w:tcPr>
                <w:p w14:paraId="4038B5C7">
                  <w:pPr>
                    <w:pStyle w:val="29"/>
                    <w:rPr>
                      <w:sz w:val="21"/>
                      <w:szCs w:val="21"/>
                    </w:rPr>
                  </w:pPr>
                  <w:r>
                    <w:rPr>
                      <w:sz w:val="21"/>
                      <w:szCs w:val="21"/>
                    </w:rPr>
                    <w:t>6</w:t>
                  </w:r>
                </w:p>
              </w:tc>
              <w:tc>
                <w:tcPr>
                  <w:tcW w:w="564" w:type="pct"/>
                  <w:vAlign w:val="center"/>
                </w:tcPr>
                <w:p w14:paraId="5AA26D48">
                  <w:pPr>
                    <w:pStyle w:val="29"/>
                    <w:rPr>
                      <w:sz w:val="21"/>
                      <w:szCs w:val="21"/>
                    </w:rPr>
                  </w:pPr>
                  <w:r>
                    <w:rPr>
                      <w:sz w:val="21"/>
                      <w:szCs w:val="21"/>
                    </w:rPr>
                    <w:t>危险废物</w:t>
                  </w:r>
                </w:p>
              </w:tc>
              <w:tc>
                <w:tcPr>
                  <w:tcW w:w="340" w:type="pct"/>
                  <w:vAlign w:val="center"/>
                </w:tcPr>
                <w:p w14:paraId="244742C4">
                  <w:pPr>
                    <w:pStyle w:val="29"/>
                    <w:rPr>
                      <w:sz w:val="21"/>
                      <w:szCs w:val="21"/>
                    </w:rPr>
                  </w:pPr>
                  <w:r>
                    <w:rPr>
                      <w:sz w:val="21"/>
                      <w:szCs w:val="21"/>
                    </w:rPr>
                    <w:t>固/液态</w:t>
                  </w:r>
                </w:p>
              </w:tc>
              <w:tc>
                <w:tcPr>
                  <w:tcW w:w="1496" w:type="pct"/>
                  <w:vAlign w:val="center"/>
                </w:tcPr>
                <w:p w14:paraId="5CD92A59">
                  <w:pPr>
                    <w:pStyle w:val="29"/>
                    <w:rPr>
                      <w:sz w:val="21"/>
                      <w:szCs w:val="21"/>
                    </w:rPr>
                  </w:pPr>
                  <w:r>
                    <w:rPr>
                      <w:sz w:val="21"/>
                      <w:szCs w:val="21"/>
                    </w:rPr>
                    <w:t>《建设项目环境风险评价技术导则》（HJ169-7.55500.151</w:t>
                  </w:r>
                </w:p>
                <w:p w14:paraId="123A8DAC">
                  <w:pPr>
                    <w:pStyle w:val="29"/>
                    <w:rPr>
                      <w:sz w:val="21"/>
                      <w:szCs w:val="21"/>
                    </w:rPr>
                  </w:pPr>
                  <w:r>
                    <w:rPr>
                      <w:sz w:val="21"/>
                      <w:szCs w:val="21"/>
                    </w:rPr>
                    <w:t>—79—2018）中“健康危险急性毒性物质（类别2，类别3）</w:t>
                  </w:r>
                </w:p>
              </w:tc>
              <w:tc>
                <w:tcPr>
                  <w:tcW w:w="799" w:type="pct"/>
                  <w:vAlign w:val="center"/>
                </w:tcPr>
                <w:p w14:paraId="6B59C431">
                  <w:pPr>
                    <w:pStyle w:val="29"/>
                    <w:rPr>
                      <w:sz w:val="21"/>
                      <w:szCs w:val="21"/>
                    </w:rPr>
                  </w:pPr>
                  <w:r>
                    <w:rPr>
                      <w:sz w:val="21"/>
                      <w:szCs w:val="21"/>
                    </w:rPr>
                    <w:t>0.733</w:t>
                  </w:r>
                </w:p>
              </w:tc>
              <w:tc>
                <w:tcPr>
                  <w:tcW w:w="917" w:type="pct"/>
                  <w:shd w:val="clear" w:color="auto" w:fill="auto"/>
                  <w:vAlign w:val="center"/>
                </w:tcPr>
                <w:p w14:paraId="6DC87B4B">
                  <w:pPr>
                    <w:pStyle w:val="29"/>
                    <w:rPr>
                      <w:sz w:val="21"/>
                      <w:szCs w:val="21"/>
                    </w:rPr>
                  </w:pPr>
                  <w:r>
                    <w:rPr>
                      <w:sz w:val="21"/>
                      <w:szCs w:val="21"/>
                    </w:rPr>
                    <w:t>50</w:t>
                  </w:r>
                </w:p>
              </w:tc>
              <w:tc>
                <w:tcPr>
                  <w:tcW w:w="686" w:type="pct"/>
                  <w:vAlign w:val="center"/>
                </w:tcPr>
                <w:p w14:paraId="3F2ED0E0">
                  <w:pPr>
                    <w:pStyle w:val="29"/>
                    <w:rPr>
                      <w:sz w:val="21"/>
                      <w:szCs w:val="21"/>
                    </w:rPr>
                  </w:pPr>
                  <w:r>
                    <w:rPr>
                      <w:sz w:val="21"/>
                      <w:szCs w:val="21"/>
                    </w:rPr>
                    <w:t>0.014</w:t>
                  </w:r>
                </w:p>
              </w:tc>
            </w:tr>
            <w:tr w14:paraId="31516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1100" w:type="pct"/>
                  <w:gridSpan w:val="3"/>
                  <w:vAlign w:val="center"/>
                </w:tcPr>
                <w:p w14:paraId="39D4C246">
                  <w:pPr>
                    <w:pStyle w:val="29"/>
                    <w:rPr>
                      <w:rFonts w:ascii="Times New Roman" w:hAnsi="Times New Roman" w:eastAsia="宋体" w:cs="Times New Roman"/>
                      <w:sz w:val="21"/>
                      <w:szCs w:val="21"/>
                    </w:rPr>
                  </w:pPr>
                  <w:r>
                    <w:rPr>
                      <w:rFonts w:ascii="Times New Roman" w:hAnsi="Times New Roman" w:eastAsia="宋体" w:cs="Times New Roman"/>
                      <w:sz w:val="21"/>
                      <w:szCs w:val="21"/>
                    </w:rPr>
                    <w:t>合计</w:t>
                  </w:r>
                </w:p>
              </w:tc>
              <w:tc>
                <w:tcPr>
                  <w:tcW w:w="1496" w:type="pct"/>
                  <w:vAlign w:val="center"/>
                </w:tcPr>
                <w:p w14:paraId="322DD11F">
                  <w:pPr>
                    <w:pStyle w:val="29"/>
                    <w:rPr>
                      <w:rFonts w:ascii="Times New Roman" w:hAnsi="Times New Roman" w:eastAsia="宋体" w:cs="Times New Roman"/>
                      <w:sz w:val="21"/>
                      <w:szCs w:val="21"/>
                    </w:rPr>
                  </w:pPr>
                </w:p>
              </w:tc>
              <w:tc>
                <w:tcPr>
                  <w:tcW w:w="799" w:type="pct"/>
                  <w:vAlign w:val="center"/>
                </w:tcPr>
                <w:p w14:paraId="22BC6D01">
                  <w:pPr>
                    <w:pStyle w:val="29"/>
                    <w:rPr>
                      <w:rFonts w:ascii="Times New Roman" w:hAnsi="Times New Roman" w:eastAsia="宋体" w:cs="Times New Roman"/>
                      <w:sz w:val="21"/>
                      <w:szCs w:val="21"/>
                    </w:rPr>
                  </w:pPr>
                </w:p>
              </w:tc>
              <w:tc>
                <w:tcPr>
                  <w:tcW w:w="917" w:type="pct"/>
                  <w:shd w:val="clear" w:color="auto" w:fill="auto"/>
                  <w:vAlign w:val="center"/>
                </w:tcPr>
                <w:p w14:paraId="31AE7191">
                  <w:pPr>
                    <w:pStyle w:val="29"/>
                    <w:rPr>
                      <w:rFonts w:ascii="Times New Roman" w:hAnsi="Times New Roman" w:eastAsia="宋体" w:cs="Times New Roman"/>
                      <w:sz w:val="21"/>
                      <w:szCs w:val="21"/>
                    </w:rPr>
                  </w:pPr>
                </w:p>
              </w:tc>
              <w:tc>
                <w:tcPr>
                  <w:tcW w:w="686" w:type="pct"/>
                  <w:vAlign w:val="center"/>
                </w:tcPr>
                <w:p w14:paraId="0C4795FB">
                  <w:pPr>
                    <w:pStyle w:val="29"/>
                    <w:rPr>
                      <w:rFonts w:ascii="Times New Roman" w:hAnsi="Times New Roman" w:eastAsia="宋体" w:cs="Times New Roman"/>
                      <w:sz w:val="21"/>
                      <w:szCs w:val="21"/>
                    </w:rPr>
                  </w:pPr>
                  <w:r>
                    <w:rPr>
                      <w:rFonts w:ascii="Times New Roman" w:hAnsi="Times New Roman" w:eastAsia="宋体" w:cs="Times New Roman"/>
                      <w:sz w:val="21"/>
                      <w:szCs w:val="21"/>
                    </w:rPr>
                    <w:t>0.073</w:t>
                  </w:r>
                </w:p>
              </w:tc>
            </w:tr>
          </w:tbl>
          <w:p w14:paraId="1B711E5B">
            <w:pPr>
              <w:pStyle w:val="37"/>
              <w:spacing w:line="460" w:lineRule="exact"/>
              <w:ind w:firstLine="480"/>
              <w:rPr>
                <w:rFonts w:hint="default" w:ascii="Times New Roman" w:hAnsi="Times New Roman" w:cs="Times New Roman"/>
              </w:rPr>
            </w:pPr>
            <w:r>
              <w:rPr>
                <w:rFonts w:hint="default" w:ascii="Times New Roman" w:hAnsi="Times New Roman" w:cs="Times New Roman"/>
              </w:rPr>
              <w:t>由上表可知，本项目的Q值&lt;1。该项目环境风险潜势为I。因此，本项目的风险评价工作等级为简单分析。</w:t>
            </w:r>
          </w:p>
          <w:p w14:paraId="5DA643F3">
            <w:pPr>
              <w:pStyle w:val="45"/>
              <w:spacing w:line="460" w:lineRule="exact"/>
              <w:ind w:firstLine="464"/>
              <w:rPr>
                <w:rFonts w:hint="default" w:ascii="Times New Roman" w:hAnsi="Times New Roman" w:cs="Times New Roman"/>
                <w:snapToGrid w:val="0"/>
              </w:rPr>
            </w:pPr>
            <w:r>
              <w:rPr>
                <w:rFonts w:hint="default" w:ascii="Times New Roman" w:hAnsi="Times New Roman" w:cs="Times New Roman"/>
                <w:snapToGrid w:val="0"/>
                <w:spacing w:val="-4"/>
              </w:rPr>
              <w:t>根据《建设项目环境风险评价技术导则》（</w:t>
            </w:r>
            <w:r>
              <w:rPr>
                <w:rFonts w:hint="default" w:ascii="Times New Roman" w:hAnsi="Times New Roman" w:eastAsia="Times New Roman" w:cs="Times New Roman"/>
                <w:snapToGrid w:val="0"/>
                <w:spacing w:val="-5"/>
              </w:rPr>
              <w:t>HJ169-2018</w:t>
            </w:r>
            <w:r>
              <w:rPr>
                <w:rFonts w:hint="default" w:ascii="Times New Roman" w:hAnsi="Times New Roman" w:cs="Times New Roman"/>
                <w:snapToGrid w:val="0"/>
                <w:spacing w:val="-5"/>
              </w:rPr>
              <w:t xml:space="preserve">）表 </w:t>
            </w:r>
            <w:r>
              <w:rPr>
                <w:rFonts w:hint="default" w:ascii="Times New Roman" w:hAnsi="Times New Roman" w:eastAsia="Times New Roman" w:cs="Times New Roman"/>
                <w:snapToGrid w:val="0"/>
                <w:spacing w:val="-5"/>
              </w:rPr>
              <w:t xml:space="preserve">1 </w:t>
            </w:r>
            <w:r>
              <w:rPr>
                <w:rFonts w:hint="default" w:ascii="Times New Roman" w:hAnsi="Times New Roman" w:cs="Times New Roman"/>
                <w:snapToGrid w:val="0"/>
                <w:spacing w:val="-5"/>
              </w:rPr>
              <w:t>评价工作等级</w:t>
            </w:r>
            <w:r>
              <w:rPr>
                <w:rFonts w:hint="default" w:ascii="Times New Roman" w:hAnsi="Times New Roman" w:cs="Times New Roman"/>
                <w:snapToGrid w:val="0"/>
              </w:rPr>
              <w:t xml:space="preserve"> 的划分，本项目环境风险评价等级为简单分析，评价工作等级划分见下表。</w:t>
            </w:r>
          </w:p>
          <w:p w14:paraId="4E89B8A3">
            <w:pPr>
              <w:pStyle w:val="44"/>
              <w:framePr w:hSpace="0" w:wrap="auto" w:vAnchor="margin" w:hAnchor="text" w:xAlign="left" w:yAlign="inline"/>
              <w:spacing w:before="156"/>
              <w:rPr>
                <w:rFonts w:hint="default" w:ascii="Times New Roman" w:hAnsi="Times New Roman" w:cs="Times New Roman"/>
                <w:snapToGrid w:val="0"/>
              </w:rPr>
            </w:pPr>
            <w:r>
              <w:rPr>
                <w:rFonts w:hint="default" w:ascii="Times New Roman" w:hAnsi="Times New Roman" w:cs="Times New Roman"/>
                <w:snapToGrid w:val="0"/>
              </w:rPr>
              <w:t>表</w:t>
            </w:r>
            <w:r>
              <w:rPr>
                <w:rFonts w:hint="default" w:ascii="Times New Roman" w:hAnsi="Times New Roman" w:cs="Times New Roman"/>
              </w:rPr>
              <w:t>4-2</w:t>
            </w:r>
            <w:r>
              <w:rPr>
                <w:rFonts w:hint="eastAsia" w:cs="Times New Roman"/>
                <w:lang w:val="en-US" w:eastAsia="zh-CN"/>
              </w:rPr>
              <w:t>7</w:t>
            </w:r>
            <w:r>
              <w:rPr>
                <w:rFonts w:hint="default" w:ascii="Times New Roman" w:hAnsi="Times New Roman" w:eastAsia="Times New Roman" w:cs="Times New Roman"/>
                <w:snapToGrid w:val="0"/>
              </w:rPr>
              <w:t xml:space="preserve"> </w:t>
            </w:r>
            <w:r>
              <w:rPr>
                <w:rFonts w:hint="default" w:ascii="Times New Roman" w:hAnsi="Times New Roman" w:cs="Times New Roman"/>
                <w:snapToGrid w:val="0"/>
              </w:rPr>
              <w:t>环境风险评价等级划分</w:t>
            </w:r>
          </w:p>
          <w:tbl>
            <w:tblPr>
              <w:tblStyle w:val="21"/>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96"/>
              <w:gridCol w:w="1584"/>
              <w:gridCol w:w="1586"/>
              <w:gridCol w:w="1586"/>
              <w:gridCol w:w="1600"/>
            </w:tblGrid>
            <w:tr w14:paraId="11D14B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jc w:val="center"/>
              </w:trPr>
              <w:tc>
                <w:tcPr>
                  <w:tcW w:w="1594" w:type="dxa"/>
                  <w:tcBorders>
                    <w:top w:val="single" w:color="000000" w:sz="10" w:space="0"/>
                    <w:left w:val="single" w:color="000000" w:sz="10" w:space="0"/>
                  </w:tcBorders>
                  <w:vAlign w:val="center"/>
                </w:tcPr>
                <w:p w14:paraId="147D2C9E">
                  <w:pPr>
                    <w:pStyle w:val="46"/>
                    <w:framePr w:hSpace="0" w:wrap="auto" w:vAnchor="margin" w:hAnchor="text" w:xAlign="left" w:yAlign="inline"/>
                    <w:rPr>
                      <w:rFonts w:cs="Times New Roman"/>
                      <w:b/>
                      <w:bCs/>
                      <w:snapToGrid w:val="0"/>
                      <w:lang w:eastAsia="en-US"/>
                    </w:rPr>
                  </w:pPr>
                  <w:r>
                    <w:rPr>
                      <w:rFonts w:cs="Times New Roman"/>
                      <w:b/>
                      <w:bCs/>
                      <w:snapToGrid w:val="0"/>
                      <w:lang w:eastAsia="en-US"/>
                    </w:rPr>
                    <w:t>环境风险潜势</w:t>
                  </w:r>
                </w:p>
              </w:tc>
              <w:tc>
                <w:tcPr>
                  <w:tcW w:w="1582" w:type="dxa"/>
                  <w:tcBorders>
                    <w:top w:val="single" w:color="000000" w:sz="10" w:space="0"/>
                  </w:tcBorders>
                  <w:vAlign w:val="center"/>
                </w:tcPr>
                <w:p w14:paraId="2125765A">
                  <w:pPr>
                    <w:pStyle w:val="46"/>
                    <w:framePr w:hSpace="0" w:wrap="auto" w:vAnchor="margin" w:hAnchor="text" w:xAlign="left" w:yAlign="inline"/>
                    <w:rPr>
                      <w:rFonts w:eastAsia="Times New Roman" w:cs="Times New Roman"/>
                      <w:b/>
                      <w:bCs/>
                      <w:snapToGrid w:val="0"/>
                      <w:sz w:val="13"/>
                      <w:szCs w:val="13"/>
                      <w:lang w:eastAsia="en-US"/>
                    </w:rPr>
                  </w:pPr>
                  <w:r>
                    <w:rPr>
                      <w:rFonts w:eastAsia="Times New Roman" w:cs="Times New Roman"/>
                      <w:b/>
                      <w:bCs/>
                      <w:snapToGrid w:val="0"/>
                      <w:spacing w:val="-6"/>
                      <w:position w:val="-1"/>
                      <w:lang w:eastAsia="en-US"/>
                    </w:rPr>
                    <w:t>Ⅳ</w:t>
                  </w:r>
                  <w:r>
                    <w:rPr>
                      <w:rFonts w:eastAsia="Times New Roman" w:cs="Times New Roman"/>
                      <w:b/>
                      <w:bCs/>
                      <w:snapToGrid w:val="0"/>
                      <w:spacing w:val="-29"/>
                      <w:position w:val="-1"/>
                      <w:lang w:eastAsia="en-US"/>
                    </w:rPr>
                    <w:t xml:space="preserve"> </w:t>
                  </w:r>
                  <w:r>
                    <w:rPr>
                      <w:rFonts w:cs="Times New Roman"/>
                      <w:b/>
                      <w:bCs/>
                      <w:snapToGrid w:val="0"/>
                      <w:spacing w:val="-6"/>
                      <w:position w:val="-1"/>
                      <w:lang w:eastAsia="en-US"/>
                    </w:rPr>
                    <w:t>、</w:t>
                  </w:r>
                  <w:r>
                    <w:rPr>
                      <w:rFonts w:eastAsia="Times New Roman" w:cs="Times New Roman"/>
                      <w:b/>
                      <w:bCs/>
                      <w:snapToGrid w:val="0"/>
                      <w:spacing w:val="-6"/>
                      <w:position w:val="-1"/>
                      <w:lang w:eastAsia="en-US"/>
                    </w:rPr>
                    <w:t>Ⅳ</w:t>
                  </w:r>
                  <w:r>
                    <w:rPr>
                      <w:rFonts w:eastAsia="Times New Roman" w:cs="Times New Roman"/>
                      <w:b/>
                      <w:bCs/>
                      <w:snapToGrid w:val="0"/>
                      <w:spacing w:val="-6"/>
                      <w:position w:val="5"/>
                      <w:sz w:val="13"/>
                      <w:szCs w:val="13"/>
                      <w:lang w:eastAsia="en-US"/>
                    </w:rPr>
                    <w:t>+</w:t>
                  </w:r>
                </w:p>
              </w:tc>
              <w:tc>
                <w:tcPr>
                  <w:tcW w:w="1584" w:type="dxa"/>
                  <w:tcBorders>
                    <w:top w:val="single" w:color="000000" w:sz="10" w:space="0"/>
                  </w:tcBorders>
                  <w:vAlign w:val="center"/>
                </w:tcPr>
                <w:p w14:paraId="353A2314">
                  <w:pPr>
                    <w:pStyle w:val="46"/>
                    <w:framePr w:hSpace="0" w:wrap="auto" w:vAnchor="margin" w:hAnchor="text" w:xAlign="left" w:yAlign="inline"/>
                    <w:rPr>
                      <w:rFonts w:eastAsia="Times New Roman" w:cs="Times New Roman"/>
                      <w:b/>
                      <w:bCs/>
                      <w:snapToGrid w:val="0"/>
                      <w:lang w:eastAsia="en-US"/>
                    </w:rPr>
                  </w:pPr>
                  <w:r>
                    <w:rPr>
                      <w:rFonts w:eastAsia="Times New Roman" w:cs="Times New Roman"/>
                      <w:b/>
                      <w:bCs/>
                      <w:snapToGrid w:val="0"/>
                      <w:lang w:eastAsia="en-US"/>
                    </w:rPr>
                    <w:t>Ⅲ</w:t>
                  </w:r>
                </w:p>
              </w:tc>
              <w:tc>
                <w:tcPr>
                  <w:tcW w:w="1584" w:type="dxa"/>
                  <w:tcBorders>
                    <w:top w:val="single" w:color="000000" w:sz="10" w:space="0"/>
                  </w:tcBorders>
                  <w:vAlign w:val="center"/>
                </w:tcPr>
                <w:p w14:paraId="12607B94">
                  <w:pPr>
                    <w:pStyle w:val="46"/>
                    <w:framePr w:hSpace="0" w:wrap="auto" w:vAnchor="margin" w:hAnchor="text" w:xAlign="left" w:yAlign="inline"/>
                    <w:rPr>
                      <w:rFonts w:eastAsia="Times New Roman" w:cs="Times New Roman"/>
                      <w:b/>
                      <w:bCs/>
                      <w:snapToGrid w:val="0"/>
                      <w:lang w:eastAsia="en-US"/>
                    </w:rPr>
                  </w:pPr>
                  <w:r>
                    <w:rPr>
                      <w:rFonts w:eastAsia="Times New Roman" w:cs="Times New Roman"/>
                      <w:b/>
                      <w:bCs/>
                      <w:snapToGrid w:val="0"/>
                      <w:lang w:eastAsia="en-US"/>
                    </w:rPr>
                    <w:t>Ⅱ</w:t>
                  </w:r>
                </w:p>
              </w:tc>
              <w:tc>
                <w:tcPr>
                  <w:tcW w:w="1598" w:type="dxa"/>
                  <w:tcBorders>
                    <w:top w:val="single" w:color="000000" w:sz="10" w:space="0"/>
                    <w:right w:val="single" w:color="000000" w:sz="10" w:space="0"/>
                  </w:tcBorders>
                  <w:vAlign w:val="center"/>
                </w:tcPr>
                <w:p w14:paraId="1A7190EB">
                  <w:pPr>
                    <w:pStyle w:val="46"/>
                    <w:framePr w:hSpace="0" w:wrap="auto" w:vAnchor="margin" w:hAnchor="text" w:xAlign="left" w:yAlign="inline"/>
                    <w:rPr>
                      <w:rFonts w:eastAsia="Times New Roman" w:cs="Times New Roman"/>
                      <w:b/>
                      <w:bCs/>
                      <w:snapToGrid w:val="0"/>
                      <w:lang w:eastAsia="en-US"/>
                    </w:rPr>
                  </w:pPr>
                  <w:r>
                    <w:rPr>
                      <w:rFonts w:eastAsia="Times New Roman" w:cs="Times New Roman"/>
                      <w:b/>
                      <w:bCs/>
                      <w:snapToGrid w:val="0"/>
                      <w:lang w:eastAsia="en-US"/>
                    </w:rPr>
                    <w:t>Ⅰ</w:t>
                  </w:r>
                </w:p>
              </w:tc>
            </w:tr>
            <w:tr w14:paraId="41513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3" w:hRule="atLeast"/>
                <w:jc w:val="center"/>
              </w:trPr>
              <w:tc>
                <w:tcPr>
                  <w:tcW w:w="1594" w:type="dxa"/>
                  <w:tcBorders>
                    <w:left w:val="single" w:color="000000" w:sz="10" w:space="0"/>
                  </w:tcBorders>
                  <w:vAlign w:val="center"/>
                </w:tcPr>
                <w:p w14:paraId="25384C92">
                  <w:pPr>
                    <w:pStyle w:val="46"/>
                    <w:framePr w:hSpace="0" w:wrap="auto" w:vAnchor="margin" w:hAnchor="text" w:xAlign="left" w:yAlign="inline"/>
                    <w:rPr>
                      <w:rFonts w:hint="default" w:ascii="Times New Roman" w:hAnsi="Times New Roman" w:cs="Times New Roman"/>
                      <w:snapToGrid w:val="0"/>
                      <w:lang w:eastAsia="en-US"/>
                    </w:rPr>
                  </w:pPr>
                  <w:r>
                    <w:rPr>
                      <w:rFonts w:hint="default" w:ascii="Times New Roman" w:hAnsi="Times New Roman" w:cs="Times New Roman"/>
                      <w:snapToGrid w:val="0"/>
                      <w:spacing w:val="-1"/>
                      <w:lang w:eastAsia="en-US"/>
                    </w:rPr>
                    <w:t>评价工作等级</w:t>
                  </w:r>
                </w:p>
              </w:tc>
              <w:tc>
                <w:tcPr>
                  <w:tcW w:w="1582" w:type="dxa"/>
                  <w:vAlign w:val="center"/>
                </w:tcPr>
                <w:p w14:paraId="7BDE4EA2">
                  <w:pPr>
                    <w:pStyle w:val="46"/>
                    <w:framePr w:hSpace="0" w:wrap="auto" w:vAnchor="margin" w:hAnchor="text" w:xAlign="left" w:yAlign="inline"/>
                    <w:rPr>
                      <w:rFonts w:hint="default" w:ascii="Times New Roman" w:hAnsi="Times New Roman" w:cs="Times New Roman"/>
                      <w:snapToGrid w:val="0"/>
                      <w:lang w:eastAsia="en-US"/>
                    </w:rPr>
                  </w:pPr>
                  <w:r>
                    <w:rPr>
                      <w:rFonts w:hint="default" w:ascii="Times New Roman" w:hAnsi="Times New Roman" w:cs="Times New Roman"/>
                      <w:snapToGrid w:val="0"/>
                      <w:spacing w:val="-5"/>
                      <w:lang w:eastAsia="en-US"/>
                    </w:rPr>
                    <w:t>一级</w:t>
                  </w:r>
                </w:p>
              </w:tc>
              <w:tc>
                <w:tcPr>
                  <w:tcW w:w="1584" w:type="dxa"/>
                  <w:vAlign w:val="center"/>
                </w:tcPr>
                <w:p w14:paraId="1A7B95A3">
                  <w:pPr>
                    <w:pStyle w:val="46"/>
                    <w:framePr w:hSpace="0" w:wrap="auto" w:vAnchor="margin" w:hAnchor="text" w:xAlign="left" w:yAlign="inline"/>
                    <w:rPr>
                      <w:rFonts w:hint="default" w:ascii="Times New Roman" w:hAnsi="Times New Roman" w:cs="Times New Roman"/>
                      <w:snapToGrid w:val="0"/>
                      <w:lang w:eastAsia="en-US"/>
                    </w:rPr>
                  </w:pPr>
                  <w:r>
                    <w:rPr>
                      <w:rFonts w:hint="default" w:ascii="Times New Roman" w:hAnsi="Times New Roman" w:cs="Times New Roman"/>
                      <w:snapToGrid w:val="0"/>
                      <w:lang w:eastAsia="en-US"/>
                    </w:rPr>
                    <w:t>二级</w:t>
                  </w:r>
                </w:p>
              </w:tc>
              <w:tc>
                <w:tcPr>
                  <w:tcW w:w="1584" w:type="dxa"/>
                  <w:vAlign w:val="center"/>
                </w:tcPr>
                <w:p w14:paraId="12286090">
                  <w:pPr>
                    <w:pStyle w:val="46"/>
                    <w:framePr w:hSpace="0" w:wrap="auto" w:vAnchor="margin" w:hAnchor="text" w:xAlign="left" w:yAlign="inline"/>
                    <w:rPr>
                      <w:rFonts w:hint="default" w:ascii="Times New Roman" w:hAnsi="Times New Roman" w:cs="Times New Roman"/>
                      <w:snapToGrid w:val="0"/>
                      <w:lang w:eastAsia="en-US"/>
                    </w:rPr>
                  </w:pPr>
                  <w:r>
                    <w:rPr>
                      <w:rFonts w:hint="default" w:ascii="Times New Roman" w:hAnsi="Times New Roman" w:cs="Times New Roman"/>
                      <w:snapToGrid w:val="0"/>
                      <w:spacing w:val="-2"/>
                      <w:lang w:eastAsia="en-US"/>
                    </w:rPr>
                    <w:t>三级</w:t>
                  </w:r>
                </w:p>
              </w:tc>
              <w:tc>
                <w:tcPr>
                  <w:tcW w:w="1598" w:type="dxa"/>
                  <w:tcBorders>
                    <w:right w:val="single" w:color="000000" w:sz="10" w:space="0"/>
                  </w:tcBorders>
                  <w:vAlign w:val="center"/>
                </w:tcPr>
                <w:p w14:paraId="320D3FB1">
                  <w:pPr>
                    <w:pStyle w:val="46"/>
                    <w:framePr w:hSpace="0" w:wrap="auto" w:vAnchor="margin" w:hAnchor="text" w:xAlign="left" w:yAlign="inline"/>
                    <w:rPr>
                      <w:rFonts w:hint="default" w:ascii="Times New Roman" w:hAnsi="Times New Roman" w:eastAsia="Times New Roman" w:cs="Times New Roman"/>
                      <w:snapToGrid w:val="0"/>
                      <w:sz w:val="13"/>
                      <w:szCs w:val="13"/>
                      <w:lang w:eastAsia="en-US"/>
                    </w:rPr>
                  </w:pPr>
                  <w:r>
                    <w:rPr>
                      <w:rFonts w:hint="default" w:ascii="Times New Roman" w:hAnsi="Times New Roman" w:cs="Times New Roman"/>
                      <w:snapToGrid w:val="0"/>
                      <w:spacing w:val="-2"/>
                      <w:lang w:eastAsia="en-US"/>
                    </w:rPr>
                    <w:t>简单分析</w:t>
                  </w:r>
                  <w:r>
                    <w:rPr>
                      <w:rFonts w:hint="default" w:ascii="Times New Roman" w:hAnsi="Times New Roman" w:cs="Times New Roman"/>
                      <w:snapToGrid w:val="0"/>
                      <w:spacing w:val="-47"/>
                      <w:lang w:eastAsia="en-US"/>
                    </w:rPr>
                    <w:t xml:space="preserve"> </w:t>
                  </w:r>
                  <w:r>
                    <w:rPr>
                      <w:rFonts w:hint="default" w:ascii="Times New Roman" w:hAnsi="Times New Roman" w:eastAsia="Times New Roman" w:cs="Times New Roman"/>
                      <w:snapToGrid w:val="0"/>
                      <w:spacing w:val="-2"/>
                      <w:position w:val="6"/>
                      <w:sz w:val="13"/>
                      <w:szCs w:val="13"/>
                      <w:lang w:eastAsia="en-US"/>
                    </w:rPr>
                    <w:t>a</w:t>
                  </w:r>
                </w:p>
              </w:tc>
            </w:tr>
            <w:tr w14:paraId="771AC3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3" w:hRule="atLeast"/>
                <w:jc w:val="center"/>
              </w:trPr>
              <w:tc>
                <w:tcPr>
                  <w:tcW w:w="7942" w:type="dxa"/>
                  <w:gridSpan w:val="5"/>
                  <w:tcBorders>
                    <w:left w:val="single" w:color="000000" w:sz="10" w:space="0"/>
                    <w:bottom w:val="single" w:color="000000" w:sz="10" w:space="0"/>
                    <w:right w:val="single" w:color="000000" w:sz="10" w:space="0"/>
                  </w:tcBorders>
                  <w:vAlign w:val="center"/>
                </w:tcPr>
                <w:p w14:paraId="63FCDF98">
                  <w:pPr>
                    <w:pStyle w:val="46"/>
                    <w:framePr w:hSpace="0" w:wrap="auto" w:vAnchor="margin" w:hAnchor="text" w:xAlign="left" w:yAlign="inline"/>
                    <w:jc w:val="left"/>
                    <w:rPr>
                      <w:rFonts w:hint="default" w:ascii="Times New Roman" w:hAnsi="Times New Roman" w:eastAsia="Times New Roman" w:cs="Times New Roman"/>
                      <w:snapToGrid w:val="0"/>
                    </w:rPr>
                  </w:pPr>
                  <w:r>
                    <w:rPr>
                      <w:rFonts w:hint="default" w:ascii="Times New Roman" w:hAnsi="Times New Roman" w:eastAsia="Times New Roman" w:cs="Times New Roman"/>
                      <w:snapToGrid w:val="0"/>
                      <w:spacing w:val="-2"/>
                      <w:position w:val="6"/>
                      <w:sz w:val="13"/>
                      <w:szCs w:val="13"/>
                    </w:rPr>
                    <w:t>a</w:t>
                  </w:r>
                  <w:r>
                    <w:rPr>
                      <w:rFonts w:hint="default" w:ascii="Times New Roman" w:hAnsi="Times New Roman" w:eastAsia="Times New Roman" w:cs="Times New Roman"/>
                      <w:snapToGrid w:val="0"/>
                      <w:spacing w:val="16"/>
                      <w:w w:val="101"/>
                      <w:position w:val="6"/>
                      <w:sz w:val="13"/>
                      <w:szCs w:val="13"/>
                    </w:rPr>
                    <w:t xml:space="preserve"> </w:t>
                  </w:r>
                  <w:r>
                    <w:rPr>
                      <w:rFonts w:hint="default" w:ascii="Times New Roman" w:hAnsi="Times New Roman" w:cs="Times New Roman"/>
                      <w:snapToGrid w:val="0"/>
                      <w:spacing w:val="-2"/>
                    </w:rPr>
                    <w:t>是相对于详细评价工作内容而言，在描述危险物质、环境影响途径</w:t>
                  </w:r>
                  <w:r>
                    <w:rPr>
                      <w:rFonts w:hint="default" w:ascii="Times New Roman" w:hAnsi="Times New Roman" w:cs="Times New Roman"/>
                      <w:snapToGrid w:val="0"/>
                    </w:rPr>
                    <w:t xml:space="preserve">、环境危害后果、 </w:t>
                  </w:r>
                  <w:r>
                    <w:rPr>
                      <w:rFonts w:hint="default" w:ascii="Times New Roman" w:hAnsi="Times New Roman" w:cs="Times New Roman"/>
                      <w:snapToGrid w:val="0"/>
                      <w:spacing w:val="-1"/>
                    </w:rPr>
                    <w:t>风险防范措施等方面给出的说明。见附录</w:t>
                  </w:r>
                  <w:r>
                    <w:rPr>
                      <w:rFonts w:hint="default" w:ascii="Times New Roman" w:hAnsi="Times New Roman" w:cs="Times New Roman"/>
                      <w:snapToGrid w:val="0"/>
                      <w:spacing w:val="-39"/>
                    </w:rPr>
                    <w:t xml:space="preserve"> </w:t>
                  </w:r>
                  <w:r>
                    <w:rPr>
                      <w:rFonts w:hint="default" w:ascii="Times New Roman" w:hAnsi="Times New Roman" w:eastAsia="Times New Roman" w:cs="Times New Roman"/>
                      <w:snapToGrid w:val="0"/>
                      <w:spacing w:val="-1"/>
                    </w:rPr>
                    <w:t>A</w:t>
                  </w:r>
                </w:p>
              </w:tc>
            </w:tr>
          </w:tbl>
          <w:p w14:paraId="58C06F52">
            <w:pPr>
              <w:pStyle w:val="37"/>
              <w:spacing w:line="460" w:lineRule="exact"/>
              <w:ind w:firstLine="0" w:firstLineChars="0"/>
              <w:rPr>
                <w:rFonts w:hint="default" w:ascii="Times New Roman" w:hAnsi="Times New Roman" w:cs="Times New Roman"/>
                <w:b/>
                <w:bCs/>
              </w:rPr>
            </w:pPr>
            <w:r>
              <w:rPr>
                <w:rFonts w:hint="default" w:ascii="Times New Roman" w:hAnsi="Times New Roman" w:cs="Times New Roman"/>
                <w:b/>
                <w:bCs/>
              </w:rPr>
              <w:t>4.8.2环境风险分析</w:t>
            </w:r>
          </w:p>
          <w:p w14:paraId="697B8251">
            <w:pPr>
              <w:pStyle w:val="37"/>
              <w:spacing w:line="460" w:lineRule="exact"/>
              <w:ind w:firstLine="480"/>
              <w:rPr>
                <w:rFonts w:hint="default" w:ascii="Times New Roman" w:hAnsi="Times New Roman" w:cs="Times New Roman"/>
              </w:rPr>
            </w:pPr>
            <w:r>
              <w:rPr>
                <w:rFonts w:hint="default" w:ascii="Times New Roman" w:hAnsi="Times New Roman" w:cs="Times New Roman"/>
              </w:rPr>
              <w:t>根据项目风险特征，本项目主要存在的环境风险事故情形为：漆料等液态 原辅料或危险废物发生泄露下渗，造成土壤及地下水污染；活性炭吸附装置发生故障导致废气非正常排放，从而对周边水体和大气环境造成影响。</w:t>
            </w:r>
          </w:p>
          <w:p w14:paraId="42433BFC">
            <w:pPr>
              <w:pStyle w:val="37"/>
              <w:spacing w:line="460" w:lineRule="exact"/>
              <w:ind w:firstLine="480"/>
              <w:rPr>
                <w:rFonts w:hint="default" w:ascii="Times New Roman" w:hAnsi="Times New Roman" w:cs="Times New Roman"/>
              </w:rPr>
            </w:pPr>
            <w:r>
              <w:rPr>
                <w:rFonts w:hint="default" w:ascii="Times New Roman" w:hAnsi="Times New Roman" w:cs="Times New Roman"/>
              </w:rPr>
              <w:t>1、泄漏事故影响分析</w:t>
            </w:r>
          </w:p>
          <w:p w14:paraId="2861153B">
            <w:pPr>
              <w:pStyle w:val="37"/>
              <w:spacing w:line="460" w:lineRule="exact"/>
              <w:ind w:firstLine="480"/>
              <w:rPr>
                <w:rFonts w:hint="default" w:ascii="Times New Roman" w:hAnsi="Times New Roman" w:cs="Times New Roman"/>
              </w:rPr>
            </w:pPr>
            <w:r>
              <w:rPr>
                <w:rFonts w:hint="default" w:ascii="Times New Roman" w:hAnsi="Times New Roman" w:cs="Times New Roman"/>
              </w:rPr>
              <w:t>本项目辅料库、危废库满足“四防”（防风、防雨、防晒、防渗漏）要求，并已采取防渗措施和渗漏收集措施，在采取严格防治措施的前提下，不 会对环境造成不利环境影响。</w:t>
            </w:r>
          </w:p>
          <w:p w14:paraId="2F783461">
            <w:pPr>
              <w:pStyle w:val="37"/>
              <w:spacing w:line="460" w:lineRule="exact"/>
              <w:ind w:firstLine="480"/>
              <w:rPr>
                <w:rFonts w:hint="default" w:ascii="Times New Roman" w:hAnsi="Times New Roman" w:cs="Times New Roman"/>
              </w:rPr>
            </w:pPr>
            <w:r>
              <w:rPr>
                <w:rFonts w:hint="default" w:ascii="Times New Roman" w:hAnsi="Times New Roman" w:cs="Times New Roman"/>
              </w:rPr>
              <w:t>2、火灾事故影响分析</w:t>
            </w:r>
          </w:p>
          <w:p w14:paraId="317E2CB4">
            <w:pPr>
              <w:pStyle w:val="37"/>
              <w:spacing w:line="460" w:lineRule="exact"/>
              <w:ind w:firstLine="480"/>
              <w:rPr>
                <w:rFonts w:hint="default" w:ascii="Times New Roman" w:hAnsi="Times New Roman" w:cs="Times New Roman"/>
              </w:rPr>
            </w:pPr>
            <w:r>
              <w:rPr>
                <w:rFonts w:hint="default" w:ascii="Times New Roman" w:hAnsi="Times New Roman" w:cs="Times New Roman"/>
              </w:rPr>
              <w:t>一旦发生火灾事故，有毒有害气体可通过热辐射、烟雾及冲击波等形式扩散至空气中，泄漏液体和消防水将进入排水系统以及渗透到土壤中，会造成财 产损失和人员伤亡，以及水环境、土壤环境的污染。</w:t>
            </w:r>
          </w:p>
          <w:p w14:paraId="5085C976">
            <w:pPr>
              <w:pStyle w:val="37"/>
              <w:spacing w:line="460" w:lineRule="exact"/>
              <w:ind w:firstLine="480"/>
              <w:rPr>
                <w:rFonts w:hint="default" w:ascii="Times New Roman" w:hAnsi="Times New Roman" w:cs="Times New Roman"/>
              </w:rPr>
            </w:pPr>
            <w:r>
              <w:rPr>
                <w:rFonts w:hint="default" w:ascii="Times New Roman" w:hAnsi="Times New Roman" w:cs="Times New Roman"/>
              </w:rPr>
              <w:t>3、治污设施非正常运行事故影响分析</w:t>
            </w:r>
          </w:p>
          <w:p w14:paraId="378E8610">
            <w:pPr>
              <w:pStyle w:val="37"/>
              <w:spacing w:line="460" w:lineRule="exact"/>
              <w:ind w:firstLine="480"/>
              <w:rPr>
                <w:rFonts w:hint="default" w:ascii="Times New Roman" w:hAnsi="Times New Roman" w:cs="Times New Roman"/>
              </w:rPr>
            </w:pPr>
            <w:r>
              <w:rPr>
                <w:rFonts w:hint="default" w:ascii="Times New Roman" w:hAnsi="Times New Roman" w:cs="Times New Roman"/>
              </w:rPr>
              <w:t>公司生产过程中一旦出现生产设备以及废气处理设备的故障，不仅会造成较大的经济损失，还会造成污染物的非正常排放。本公司非正常工况为废气处 理设施失效或效率降低造成的污染物超标排放。事故状态下粉尘、非甲烷总烃排放浓度超过标准要求，对周边人群及大气、水、土壤环境造成一定的污染。</w:t>
            </w:r>
          </w:p>
          <w:p w14:paraId="71B9F79D">
            <w:pPr>
              <w:pStyle w:val="37"/>
              <w:spacing w:line="460" w:lineRule="exact"/>
              <w:ind w:firstLine="480"/>
              <w:rPr>
                <w:rFonts w:hint="default" w:ascii="Times New Roman" w:hAnsi="Times New Roman" w:cs="Times New Roman"/>
              </w:rPr>
            </w:pPr>
            <w:r>
              <w:rPr>
                <w:rFonts w:hint="default" w:ascii="Times New Roman" w:hAnsi="Times New Roman" w:cs="Times New Roman"/>
              </w:rPr>
              <w:t>4、委托利用或者处置的环境影响分析</w:t>
            </w:r>
          </w:p>
          <w:p w14:paraId="065D4025">
            <w:pPr>
              <w:pStyle w:val="37"/>
              <w:spacing w:line="460" w:lineRule="exact"/>
              <w:ind w:firstLine="480"/>
              <w:rPr>
                <w:rFonts w:hint="default" w:ascii="Times New Roman" w:hAnsi="Times New Roman" w:cs="Times New Roman"/>
              </w:rPr>
            </w:pPr>
            <w:r>
              <w:rPr>
                <w:rFonts w:hint="default" w:ascii="Times New Roman" w:hAnsi="Times New Roman" w:cs="Times New Roman"/>
              </w:rPr>
              <w:t>本项目危险废物均委托有资质单位收集处理，且本项目危险废物产生量较小，不会产生显著的环境影响。</w:t>
            </w:r>
          </w:p>
          <w:p w14:paraId="42727387">
            <w:pPr>
              <w:pStyle w:val="37"/>
              <w:spacing w:line="460" w:lineRule="exact"/>
              <w:ind w:firstLine="0" w:firstLineChars="0"/>
              <w:rPr>
                <w:rFonts w:hint="default" w:ascii="Times New Roman" w:hAnsi="Times New Roman" w:cs="Times New Roman"/>
                <w:b/>
                <w:bCs/>
              </w:rPr>
            </w:pPr>
            <w:r>
              <w:rPr>
                <w:rFonts w:hint="default" w:ascii="Times New Roman" w:hAnsi="Times New Roman" w:cs="Times New Roman"/>
                <w:b/>
                <w:bCs/>
              </w:rPr>
              <w:t>4.8.3环境风险防范措施及应急要求</w:t>
            </w:r>
          </w:p>
          <w:p w14:paraId="3BC6E2B3">
            <w:pPr>
              <w:pStyle w:val="45"/>
              <w:ind w:firstLine="480"/>
              <w:rPr>
                <w:rFonts w:hint="default" w:ascii="Times New Roman" w:hAnsi="Times New Roman" w:cs="Times New Roman"/>
              </w:rPr>
            </w:pPr>
            <w:r>
              <w:rPr>
                <w:rFonts w:hint="default" w:ascii="Times New Roman" w:hAnsi="Times New Roman" w:cs="Times New Roman"/>
              </w:rPr>
              <w:t>1、在总平面布置上，将液态物料或危险废物贮存在仓库内，总平布置基本合理。</w:t>
            </w:r>
          </w:p>
          <w:p w14:paraId="57F3D301">
            <w:pPr>
              <w:pStyle w:val="45"/>
              <w:ind w:firstLine="480"/>
              <w:rPr>
                <w:rFonts w:hint="default" w:ascii="Times New Roman" w:hAnsi="Times New Roman" w:cs="Times New Roman"/>
              </w:rPr>
            </w:pPr>
            <w:r>
              <w:rPr>
                <w:rFonts w:hint="default" w:ascii="Times New Roman" w:hAnsi="Times New Roman" w:cs="Times New Roman"/>
              </w:rPr>
              <w:t>2、液态物料或危险废物应配备有专业知识技术人员管理，管理人员配备可靠的个人安全防护用品。</w:t>
            </w:r>
          </w:p>
          <w:p w14:paraId="3FF2AF5F">
            <w:pPr>
              <w:pStyle w:val="45"/>
              <w:ind w:firstLine="480"/>
              <w:rPr>
                <w:rFonts w:hint="default" w:ascii="Times New Roman" w:hAnsi="Times New Roman" w:cs="Times New Roman"/>
              </w:rPr>
            </w:pPr>
            <w:r>
              <w:rPr>
                <w:rFonts w:hint="default" w:ascii="Times New Roman" w:hAnsi="Times New Roman" w:cs="Times New Roman"/>
              </w:rPr>
              <w:t>3、液态物料或危险废物入库（辅料库、危废库）时，严格检验物品质量、数量、包装情况、有无泄露。入库后采取适当的养护措施，在贮存期间，定期检查，发现其品质变化、包装破损、渗漏、稳定剂短缺等，及时处理。</w:t>
            </w:r>
          </w:p>
          <w:p w14:paraId="5C3E9977">
            <w:pPr>
              <w:pStyle w:val="45"/>
              <w:ind w:firstLine="480"/>
              <w:rPr>
                <w:rFonts w:hint="default" w:ascii="Times New Roman" w:hAnsi="Times New Roman" w:cs="Times New Roman"/>
              </w:rPr>
            </w:pPr>
            <w:r>
              <w:rPr>
                <w:rFonts w:hint="default" w:ascii="Times New Roman" w:hAnsi="Times New Roman" w:cs="Times New Roman"/>
              </w:rPr>
              <w:t>4、液态物料或危险废物分区存放，因此贮存区周围应设围堰，防止事故泄漏辅料外流。严格控制室内温度、湿度，经常检查，发现变化及时调整，并配备相应灭火器。</w:t>
            </w:r>
          </w:p>
          <w:p w14:paraId="68924EC8">
            <w:pPr>
              <w:pStyle w:val="45"/>
              <w:ind w:firstLine="480"/>
              <w:rPr>
                <w:rFonts w:hint="default" w:ascii="Times New Roman" w:hAnsi="Times New Roman" w:cs="Times New Roman"/>
              </w:rPr>
            </w:pPr>
            <w:r>
              <w:rPr>
                <w:rFonts w:hint="default" w:ascii="Times New Roman" w:hAnsi="Times New Roman" w:cs="Times New Roman"/>
              </w:rPr>
              <w:t>5、装卸各液态物料或危险废物时，操作人员根据危险性，穿戴相应的防护用品。使用各液态原辅料的过程中，泄露和渗漏的包装容器应迅速转移至安全区域。</w:t>
            </w:r>
          </w:p>
          <w:p w14:paraId="4FE545B7">
            <w:pPr>
              <w:pStyle w:val="45"/>
              <w:ind w:firstLine="480"/>
              <w:rPr>
                <w:rFonts w:hint="default" w:ascii="Times New Roman" w:hAnsi="Times New Roman" w:cs="Times New Roman"/>
              </w:rPr>
            </w:pPr>
            <w:r>
              <w:rPr>
                <w:rFonts w:hint="default" w:ascii="Times New Roman" w:hAnsi="Times New Roman" w:cs="Times New Roman"/>
              </w:rPr>
              <w:t>6、危险废物应采用桶密闭保存，防止二次污染。</w:t>
            </w:r>
          </w:p>
          <w:p w14:paraId="29B06F60">
            <w:pPr>
              <w:pStyle w:val="45"/>
              <w:ind w:firstLine="480"/>
              <w:rPr>
                <w:rFonts w:hint="default" w:ascii="Times New Roman" w:hAnsi="Times New Roman" w:cs="Times New Roman"/>
              </w:rPr>
            </w:pPr>
            <w:r>
              <w:rPr>
                <w:rFonts w:hint="default" w:ascii="Times New Roman" w:hAnsi="Times New Roman" w:cs="Times New Roman"/>
              </w:rPr>
              <w:t>7、贮存及使用管理：包装必须严密，严防泄露；装卸、搬运时应按有关规定进行，做到轻卸、轻装，严禁摔、碰、撞、击、拖拉、倾倒和滚动。</w:t>
            </w:r>
          </w:p>
          <w:p w14:paraId="70AD6CF2">
            <w:pPr>
              <w:pStyle w:val="45"/>
              <w:ind w:firstLine="480"/>
              <w:rPr>
                <w:rFonts w:hint="default" w:ascii="Times New Roman" w:hAnsi="Times New Roman" w:cs="Times New Roman"/>
              </w:rPr>
            </w:pPr>
            <w:r>
              <w:rPr>
                <w:rFonts w:hint="default" w:ascii="Times New Roman" w:hAnsi="Times New Roman" w:cs="Times New Roman"/>
              </w:rPr>
              <w:t>8、生产装置区的配电和照明均应按《爆炸和火灾危险环境电力装置设计规范》的规定，选用相应防爆级别的电气设备和照明灯具及开关，线路敷设均应满足安全要求。</w:t>
            </w:r>
          </w:p>
          <w:p w14:paraId="48396D29">
            <w:pPr>
              <w:pStyle w:val="45"/>
              <w:ind w:firstLine="480"/>
              <w:rPr>
                <w:rFonts w:hint="default" w:ascii="Times New Roman" w:hAnsi="Times New Roman" w:cs="Times New Roman"/>
              </w:rPr>
            </w:pPr>
            <w:r>
              <w:rPr>
                <w:rFonts w:hint="default" w:ascii="Times New Roman" w:hAnsi="Times New Roman" w:cs="Times New Roman"/>
              </w:rPr>
              <w:t>9、加强废气治理设施的日常运行管理及维护，建立台账管理制度；定期检查废气治理设施，对损坏的布袋或吸附饱和活性炭及时更换，确保治理设施正常稳定运行；完善设备的操作规程，对设备操作人员进行定期培训，保证设备 的正常运行；按照规范进行例行监测，确保废气达标排放。</w:t>
            </w:r>
          </w:p>
          <w:p w14:paraId="5E1D9170">
            <w:pPr>
              <w:pStyle w:val="45"/>
              <w:ind w:firstLine="0" w:firstLineChars="0"/>
              <w:rPr>
                <w:rFonts w:hint="default" w:ascii="Times New Roman" w:hAnsi="Times New Roman" w:cs="Times New Roman"/>
                <w:b/>
                <w:bCs/>
              </w:rPr>
            </w:pPr>
            <w:r>
              <w:rPr>
                <w:rFonts w:hint="default" w:ascii="Times New Roman" w:hAnsi="Times New Roman" w:cs="Times New Roman"/>
                <w:b/>
                <w:bCs/>
              </w:rPr>
              <w:t>4.8.4事故废水污环境风险防范措施</w:t>
            </w:r>
          </w:p>
          <w:p w14:paraId="2F6163D5">
            <w:pPr>
              <w:pStyle w:val="45"/>
              <w:ind w:firstLine="480"/>
              <w:rPr>
                <w:rFonts w:hint="default" w:ascii="Times New Roman" w:hAnsi="Times New Roman" w:cs="Times New Roman"/>
              </w:rPr>
            </w:pPr>
            <w:r>
              <w:rPr>
                <w:rFonts w:hint="default" w:ascii="Times New Roman" w:hAnsi="Times New Roman" w:cs="Times New Roman"/>
              </w:rPr>
              <w:t>为防止事故废水异常排放情况，厂区应设置事故应急池，厂内所有外排污水均设置切断装置与应急设施，确保一旦发生意外事故，所有污水均能控制不外流，事故解除后，对事故废水进行检测后进行相应的处理，根据受污染程度进行处理达标后纳管进入污水处理厂进行处理或者委托有资质的第三方单位进行处置。</w:t>
            </w:r>
          </w:p>
          <w:p w14:paraId="463FBCAB">
            <w:pPr>
              <w:pStyle w:val="45"/>
              <w:ind w:firstLine="480"/>
              <w:rPr>
                <w:rFonts w:hint="default" w:ascii="Times New Roman" w:hAnsi="Times New Roman" w:cs="Times New Roman"/>
              </w:rPr>
            </w:pPr>
            <w:r>
              <w:rPr>
                <w:rFonts w:hint="default" w:ascii="Times New Roman" w:hAnsi="Times New Roman" w:cs="Times New Roman"/>
              </w:rPr>
              <w:t>根据《事故状态下水体污染的预防与控制技术要求》（Q/SY1190-2013），事故水池总有效容积计算公式如下：</w:t>
            </w:r>
          </w:p>
          <w:p w14:paraId="1635C13E">
            <w:pPr>
              <w:pStyle w:val="45"/>
              <w:ind w:firstLine="464"/>
              <w:rPr>
                <w:rFonts w:hint="default" w:ascii="Times New Roman" w:hAnsi="Times New Roman" w:cs="Times New Roman"/>
                <w:sz w:val="16"/>
                <w:szCs w:val="16"/>
              </w:rPr>
            </w:pPr>
            <w:r>
              <w:rPr>
                <w:rFonts w:hint="default" w:ascii="Times New Roman" w:hAnsi="Times New Roman" w:cs="Times New Roman"/>
                <w:spacing w:val="-4"/>
              </w:rPr>
              <w:t>V</w:t>
            </w:r>
            <w:r>
              <w:rPr>
                <w:rFonts w:hint="default" w:ascii="Times New Roman" w:hAnsi="Times New Roman" w:cs="Times New Roman"/>
                <w:spacing w:val="8"/>
              </w:rPr>
              <w:t xml:space="preserve"> </w:t>
            </w:r>
            <w:r>
              <w:rPr>
                <w:rFonts w:hint="default" w:ascii="Times New Roman" w:hAnsi="Times New Roman" w:cs="Times New Roman"/>
                <w:spacing w:val="-4"/>
                <w:position w:val="-1"/>
                <w:sz w:val="12"/>
                <w:szCs w:val="12"/>
              </w:rPr>
              <w:t>总</w:t>
            </w:r>
            <w:r>
              <w:rPr>
                <w:rFonts w:hint="default" w:ascii="Times New Roman" w:hAnsi="Times New Roman" w:cs="Times New Roman"/>
                <w:spacing w:val="-4"/>
              </w:rPr>
              <w:t>=</w:t>
            </w:r>
            <w:r>
              <w:rPr>
                <w:rFonts w:hint="default" w:ascii="Times New Roman" w:hAnsi="Times New Roman" w:cs="Times New Roman"/>
              </w:rPr>
              <w:t>（V</w:t>
            </w:r>
            <w:r>
              <w:rPr>
                <w:rFonts w:hint="default" w:ascii="Times New Roman" w:hAnsi="Times New Roman" w:cs="Times New Roman"/>
                <w:position w:val="-1"/>
                <w:sz w:val="16"/>
                <w:szCs w:val="16"/>
              </w:rPr>
              <w:t>1</w:t>
            </w:r>
            <w:r>
              <w:rPr>
                <w:rFonts w:hint="default" w:ascii="Times New Roman" w:hAnsi="Times New Roman" w:cs="Times New Roman"/>
              </w:rPr>
              <w:t>+V</w:t>
            </w:r>
            <w:r>
              <w:rPr>
                <w:rFonts w:hint="default" w:ascii="Times New Roman" w:hAnsi="Times New Roman" w:cs="Times New Roman"/>
                <w:position w:val="-1"/>
                <w:sz w:val="16"/>
                <w:szCs w:val="16"/>
              </w:rPr>
              <w:t>2</w:t>
            </w:r>
            <w:r>
              <w:rPr>
                <w:rFonts w:hint="default" w:ascii="Times New Roman" w:hAnsi="Times New Roman" w:cs="Times New Roman"/>
              </w:rPr>
              <w:t>-V</w:t>
            </w:r>
            <w:r>
              <w:rPr>
                <w:rFonts w:hint="default" w:ascii="Times New Roman" w:hAnsi="Times New Roman" w:cs="Times New Roman"/>
                <w:position w:val="-1"/>
                <w:sz w:val="16"/>
                <w:szCs w:val="16"/>
              </w:rPr>
              <w:t xml:space="preserve">3 </w:t>
            </w:r>
            <w:r>
              <w:rPr>
                <w:rFonts w:hint="default" w:ascii="Times New Roman" w:hAnsi="Times New Roman" w:cs="Times New Roman"/>
              </w:rPr>
              <w:t>）max+V</w:t>
            </w:r>
            <w:r>
              <w:rPr>
                <w:rFonts w:hint="default" w:ascii="Times New Roman" w:hAnsi="Times New Roman" w:cs="Times New Roman"/>
                <w:position w:val="-1"/>
                <w:sz w:val="16"/>
                <w:szCs w:val="16"/>
              </w:rPr>
              <w:t>4</w:t>
            </w:r>
            <w:r>
              <w:rPr>
                <w:rFonts w:hint="default" w:ascii="Times New Roman" w:hAnsi="Times New Roman" w:cs="Times New Roman"/>
              </w:rPr>
              <w:t>+V</w:t>
            </w:r>
            <w:r>
              <w:rPr>
                <w:rFonts w:hint="default" w:ascii="Times New Roman" w:hAnsi="Times New Roman" w:cs="Times New Roman"/>
                <w:position w:val="-1"/>
                <w:sz w:val="16"/>
                <w:szCs w:val="16"/>
              </w:rPr>
              <w:t>5</w:t>
            </w:r>
          </w:p>
          <w:p w14:paraId="27432830">
            <w:pPr>
              <w:pStyle w:val="45"/>
              <w:ind w:firstLine="480"/>
              <w:rPr>
                <w:rFonts w:hint="default" w:ascii="Times New Roman" w:hAnsi="Times New Roman" w:cs="Times New Roman"/>
              </w:rPr>
            </w:pPr>
            <w:r>
              <w:rPr>
                <w:rFonts w:hint="default" w:ascii="Times New Roman" w:hAnsi="Times New Roman" w:cs="Times New Roman"/>
              </w:rPr>
              <w:t>注</w:t>
            </w:r>
            <w:r>
              <w:rPr>
                <w:rFonts w:hint="default" w:ascii="Times New Roman" w:hAnsi="Times New Roman" w:cs="Times New Roman"/>
                <w:spacing w:val="-12"/>
              </w:rPr>
              <w:t>：（</w:t>
            </w: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1</w:t>
            </w: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2</w:t>
            </w: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 xml:space="preserve">3 </w:t>
            </w:r>
            <w:r>
              <w:rPr>
                <w:rFonts w:hint="default" w:ascii="Times New Roman" w:hAnsi="Times New Roman" w:cs="Times New Roman"/>
              </w:rPr>
              <w:t>）</w:t>
            </w:r>
            <w:r>
              <w:rPr>
                <w:rFonts w:hint="default" w:ascii="Times New Roman" w:hAnsi="Times New Roman" w:eastAsia="Times New Roman" w:cs="Times New Roman"/>
              </w:rPr>
              <w:t xml:space="preserve">max  </w:t>
            </w:r>
            <w:r>
              <w:rPr>
                <w:rFonts w:hint="default" w:ascii="Times New Roman" w:hAnsi="Times New Roman" w:cs="Times New Roman"/>
              </w:rPr>
              <w:t>是指对收集系统范围内不同罐组或装置分别计算，</w:t>
            </w:r>
            <w:r>
              <w:rPr>
                <w:rFonts w:hint="default" w:ascii="Times New Roman" w:hAnsi="Times New Roman" w:cs="Times New Roman"/>
                <w:spacing w:val="1"/>
              </w:rPr>
              <w:t xml:space="preserve"> </w:t>
            </w:r>
            <w:r>
              <w:rPr>
                <w:rFonts w:hint="default" w:ascii="Times New Roman" w:hAnsi="Times New Roman" w:cs="Times New Roman"/>
              </w:rPr>
              <w:t>取其中最大值。</w:t>
            </w:r>
          </w:p>
          <w:p w14:paraId="566989E9">
            <w:pPr>
              <w:pStyle w:val="45"/>
              <w:ind w:firstLine="480"/>
              <w:rPr>
                <w:rFonts w:hint="default" w:ascii="Times New Roman" w:hAnsi="Times New Roman" w:cs="Times New Roman"/>
              </w:rPr>
            </w:pP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1</w:t>
            </w:r>
            <w:r>
              <w:rPr>
                <w:rFonts w:hint="default" w:ascii="Times New Roman" w:hAnsi="Times New Roman" w:eastAsia="Times New Roman" w:cs="Times New Roman"/>
              </w:rPr>
              <w:t>——</w:t>
            </w:r>
            <w:r>
              <w:rPr>
                <w:rFonts w:hint="default" w:ascii="Times New Roman" w:hAnsi="Times New Roman" w:cs="Times New Roman"/>
              </w:rPr>
              <w:t>收集系统范围内发生事故的一个罐组或一套装置的物料</w:t>
            </w:r>
            <w:r>
              <w:rPr>
                <w:rFonts w:hint="default" w:ascii="Times New Roman" w:hAnsi="Times New Roman" w:cs="Times New Roman"/>
                <w:spacing w:val="-2"/>
              </w:rPr>
              <w:t>量。</w:t>
            </w:r>
          </w:p>
          <w:p w14:paraId="29DC8CA2">
            <w:pPr>
              <w:pStyle w:val="45"/>
              <w:ind w:firstLine="480"/>
              <w:rPr>
                <w:rFonts w:hint="default" w:ascii="Times New Roman" w:hAnsi="Times New Roman" w:cs="Times New Roman"/>
                <w:sz w:val="12"/>
                <w:szCs w:val="12"/>
              </w:rPr>
            </w:pP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2</w:t>
            </w:r>
            <w:r>
              <w:rPr>
                <w:rFonts w:hint="default" w:ascii="Times New Roman" w:hAnsi="Times New Roman" w:eastAsia="Times New Roman" w:cs="Times New Roman"/>
              </w:rPr>
              <w:t>——</w:t>
            </w:r>
            <w:r>
              <w:rPr>
                <w:rFonts w:hint="default" w:ascii="Times New Roman" w:hAnsi="Times New Roman" w:cs="Times New Roman"/>
              </w:rPr>
              <w:t>发生事故的储罐或装置的最大消防水量，包括扑</w:t>
            </w:r>
            <w:r>
              <w:rPr>
                <w:rFonts w:hint="default" w:ascii="Times New Roman" w:hAnsi="Times New Roman" w:cs="Times New Roman"/>
                <w:spacing w:val="2"/>
              </w:rPr>
              <w:t>灭火灾所需用水量</w:t>
            </w:r>
            <w:r>
              <w:rPr>
                <w:rFonts w:hint="default" w:ascii="Times New Roman" w:hAnsi="Times New Roman" w:cs="Times New Roman"/>
              </w:rPr>
              <w:t xml:space="preserve"> </w:t>
            </w:r>
            <w:r>
              <w:rPr>
                <w:rFonts w:hint="default" w:ascii="Times New Roman" w:hAnsi="Times New Roman" w:cs="Times New Roman"/>
                <w:spacing w:val="-1"/>
              </w:rPr>
              <w:t>和保护临近设备或储罐的喷淋水量，</w:t>
            </w:r>
            <w:r>
              <w:rPr>
                <w:rFonts w:hint="default" w:ascii="Times New Roman" w:hAnsi="Times New Roman" w:eastAsia="Times New Roman" w:cs="Times New Roman"/>
                <w:spacing w:val="-1"/>
              </w:rPr>
              <w:t>m</w:t>
            </w:r>
            <w:r>
              <w:rPr>
                <w:rFonts w:hint="default" w:ascii="Times New Roman" w:hAnsi="Times New Roman" w:eastAsia="Times New Roman" w:cs="Times New Roman"/>
                <w:spacing w:val="-1"/>
                <w:position w:val="9"/>
                <w:sz w:val="16"/>
                <w:szCs w:val="16"/>
              </w:rPr>
              <w:t>3</w:t>
            </w:r>
            <w:r>
              <w:rPr>
                <w:rFonts w:hint="default" w:ascii="Times New Roman" w:hAnsi="Times New Roman" w:eastAsia="Times New Roman" w:cs="Times New Roman"/>
                <w:spacing w:val="-9"/>
                <w:position w:val="9"/>
                <w:sz w:val="16"/>
                <w:szCs w:val="16"/>
              </w:rPr>
              <w:t xml:space="preserve"> </w:t>
            </w:r>
            <w:r>
              <w:rPr>
                <w:rFonts w:hint="default" w:ascii="Times New Roman" w:hAnsi="Times New Roman" w:cs="Times New Roman"/>
                <w:spacing w:val="-1"/>
              </w:rPr>
              <w:t>；</w:t>
            </w:r>
            <w:r>
              <w:rPr>
                <w:rFonts w:hint="default" w:ascii="Times New Roman" w:hAnsi="Times New Roman" w:eastAsia="Times New Roman" w:cs="Times New Roman"/>
                <w:spacing w:val="-1"/>
              </w:rPr>
              <w:t>V</w:t>
            </w:r>
            <w:r>
              <w:rPr>
                <w:rFonts w:hint="default" w:ascii="Times New Roman" w:hAnsi="Times New Roman" w:eastAsia="Times New Roman" w:cs="Times New Roman"/>
                <w:spacing w:val="-1"/>
                <w:position w:val="-1"/>
                <w:sz w:val="16"/>
                <w:szCs w:val="16"/>
              </w:rPr>
              <w:t>2</w:t>
            </w:r>
            <w:r>
              <w:rPr>
                <w:rFonts w:hint="default" w:ascii="Times New Roman" w:hAnsi="Times New Roman" w:eastAsia="Times New Roman" w:cs="Times New Roman"/>
                <w:spacing w:val="-2"/>
              </w:rPr>
              <w:t>=ΣQ</w:t>
            </w:r>
            <w:r>
              <w:rPr>
                <w:rFonts w:hint="default" w:ascii="Times New Roman" w:hAnsi="Times New Roman" w:cs="Times New Roman"/>
                <w:spacing w:val="-2"/>
                <w:position w:val="-1"/>
                <w:sz w:val="12"/>
                <w:szCs w:val="12"/>
              </w:rPr>
              <w:t>消</w:t>
            </w:r>
            <w:r>
              <w:rPr>
                <w:rFonts w:hint="default" w:ascii="Times New Roman" w:hAnsi="Times New Roman" w:cs="Times New Roman"/>
                <w:spacing w:val="-27"/>
                <w:position w:val="-1"/>
                <w:sz w:val="12"/>
                <w:szCs w:val="12"/>
              </w:rPr>
              <w:t xml:space="preserve"> </w:t>
            </w:r>
            <w:r>
              <w:rPr>
                <w:rFonts w:hint="default" w:ascii="Times New Roman" w:hAnsi="Times New Roman" w:eastAsia="Times New Roman" w:cs="Times New Roman"/>
                <w:spacing w:val="-2"/>
              </w:rPr>
              <w:t>t</w:t>
            </w:r>
            <w:r>
              <w:rPr>
                <w:rFonts w:hint="default" w:ascii="Times New Roman" w:hAnsi="Times New Roman" w:cs="Times New Roman"/>
                <w:spacing w:val="-2"/>
                <w:position w:val="-1"/>
                <w:sz w:val="12"/>
                <w:szCs w:val="12"/>
              </w:rPr>
              <w:t>消</w:t>
            </w:r>
          </w:p>
          <w:p w14:paraId="0D0BE64A">
            <w:pPr>
              <w:pStyle w:val="45"/>
              <w:ind w:firstLine="480"/>
              <w:rPr>
                <w:rFonts w:hint="default" w:ascii="Times New Roman" w:hAnsi="Times New Roman" w:cs="Times New Roman"/>
              </w:rPr>
            </w:pPr>
            <w:r>
              <w:rPr>
                <w:rFonts w:hint="default" w:ascii="Times New Roman" w:hAnsi="Times New Roman" w:eastAsia="Times New Roman" w:cs="Times New Roman"/>
              </w:rPr>
              <w:t>Q</w:t>
            </w:r>
            <w:r>
              <w:rPr>
                <w:rFonts w:hint="default" w:ascii="Times New Roman" w:hAnsi="Times New Roman" w:cs="Times New Roman"/>
                <w:position w:val="-2"/>
                <w:sz w:val="12"/>
                <w:szCs w:val="12"/>
              </w:rPr>
              <w:t>消</w:t>
            </w:r>
            <w:r>
              <w:rPr>
                <w:rFonts w:hint="default" w:ascii="Times New Roman" w:hAnsi="Times New Roman" w:eastAsia="Times New Roman" w:cs="Times New Roman"/>
              </w:rPr>
              <w:t>——</w:t>
            </w:r>
            <w:r>
              <w:rPr>
                <w:rFonts w:hint="default" w:ascii="Times New Roman" w:hAnsi="Times New Roman" w:cs="Times New Roman"/>
              </w:rPr>
              <w:t>发生事故的储罐或装置的同时使用的消防设施给水</w:t>
            </w:r>
            <w:r>
              <w:rPr>
                <w:rFonts w:hint="default" w:ascii="Times New Roman" w:hAnsi="Times New Roman" w:cs="Times New Roman"/>
                <w:spacing w:val="-1"/>
              </w:rPr>
              <w:t>流量，</w:t>
            </w:r>
            <w:r>
              <w:rPr>
                <w:rFonts w:hint="default" w:ascii="Times New Roman" w:hAnsi="Times New Roman" w:eastAsia="Times New Roman" w:cs="Times New Roman"/>
                <w:spacing w:val="-1"/>
              </w:rPr>
              <w:t>m</w:t>
            </w:r>
            <w:r>
              <w:rPr>
                <w:rFonts w:hint="default" w:ascii="Times New Roman" w:hAnsi="Times New Roman" w:eastAsia="Times New Roman" w:cs="Times New Roman"/>
                <w:spacing w:val="-1"/>
                <w:position w:val="9"/>
                <w:sz w:val="16"/>
                <w:szCs w:val="16"/>
              </w:rPr>
              <w:t>3</w:t>
            </w:r>
            <w:r>
              <w:rPr>
                <w:rFonts w:hint="default" w:ascii="Times New Roman" w:hAnsi="Times New Roman" w:eastAsia="Times New Roman" w:cs="Times New Roman"/>
                <w:spacing w:val="-1"/>
              </w:rPr>
              <w:t>/h</w:t>
            </w:r>
            <w:r>
              <w:rPr>
                <w:rFonts w:hint="default" w:ascii="Times New Roman" w:hAnsi="Times New Roman" w:cs="Times New Roman"/>
                <w:spacing w:val="-1"/>
              </w:rPr>
              <w:t>。</w:t>
            </w:r>
          </w:p>
          <w:p w14:paraId="1C8E6AA5">
            <w:pPr>
              <w:pStyle w:val="45"/>
              <w:ind w:firstLine="480"/>
              <w:rPr>
                <w:rFonts w:hint="default" w:ascii="Times New Roman" w:hAnsi="Times New Roman" w:cs="Times New Roman"/>
              </w:rPr>
            </w:pPr>
            <w:r>
              <w:rPr>
                <w:rFonts w:hint="default" w:ascii="Times New Roman" w:hAnsi="Times New Roman" w:eastAsia="Times New Roman" w:cs="Times New Roman"/>
              </w:rPr>
              <w:t>t</w:t>
            </w:r>
            <w:r>
              <w:rPr>
                <w:rFonts w:hint="default" w:ascii="Times New Roman" w:hAnsi="Times New Roman" w:cs="Times New Roman"/>
                <w:position w:val="-1"/>
                <w:sz w:val="12"/>
                <w:szCs w:val="12"/>
              </w:rPr>
              <w:t>消</w:t>
            </w:r>
            <w:r>
              <w:rPr>
                <w:rFonts w:hint="default" w:ascii="Times New Roman" w:hAnsi="Times New Roman" w:eastAsia="Times New Roman" w:cs="Times New Roman"/>
              </w:rPr>
              <w:t>——</w:t>
            </w:r>
            <w:r>
              <w:rPr>
                <w:rFonts w:hint="default" w:ascii="Times New Roman" w:hAnsi="Times New Roman" w:cs="Times New Roman"/>
              </w:rPr>
              <w:t>消防设施对应的设计消防历时，</w:t>
            </w:r>
            <w:r>
              <w:rPr>
                <w:rFonts w:hint="default" w:ascii="Times New Roman" w:hAnsi="Times New Roman" w:eastAsia="Times New Roman" w:cs="Times New Roman"/>
                <w:spacing w:val="-1"/>
              </w:rPr>
              <w:t>h</w:t>
            </w:r>
            <w:r>
              <w:rPr>
                <w:rFonts w:hint="default" w:ascii="Times New Roman" w:hAnsi="Times New Roman" w:cs="Times New Roman"/>
                <w:spacing w:val="-1"/>
              </w:rPr>
              <w:t>；</w:t>
            </w:r>
          </w:p>
          <w:p w14:paraId="1E9DF38A">
            <w:pPr>
              <w:pStyle w:val="45"/>
              <w:ind w:firstLine="480"/>
              <w:rPr>
                <w:rFonts w:hint="default" w:ascii="Times New Roman" w:hAnsi="Times New Roman" w:cs="Times New Roman"/>
              </w:rPr>
            </w:pPr>
            <w:r>
              <w:rPr>
                <w:rFonts w:hint="default" w:ascii="Times New Roman" w:hAnsi="Times New Roman" w:eastAsia="Times New Roman" w:cs="Times New Roman"/>
              </w:rPr>
              <w:t>V</w:t>
            </w:r>
            <w:r>
              <w:rPr>
                <w:rFonts w:hint="default" w:ascii="Times New Roman" w:hAnsi="Times New Roman" w:eastAsia="Times New Roman" w:cs="Times New Roman"/>
                <w:position w:val="-2"/>
                <w:sz w:val="16"/>
                <w:szCs w:val="16"/>
              </w:rPr>
              <w:t>3</w:t>
            </w:r>
            <w:r>
              <w:rPr>
                <w:rFonts w:hint="default" w:ascii="Times New Roman" w:hAnsi="Times New Roman" w:eastAsia="Times New Roman" w:cs="Times New Roman"/>
              </w:rPr>
              <w:t>——</w:t>
            </w:r>
            <w:r>
              <w:rPr>
                <w:rFonts w:hint="default" w:ascii="Times New Roman" w:hAnsi="Times New Roman" w:cs="Times New Roman"/>
              </w:rPr>
              <w:t>发生事故时可以转输到其他储存或处理设施的物料量，</w:t>
            </w:r>
            <w:r>
              <w:rPr>
                <w:rFonts w:hint="default" w:ascii="Times New Roman" w:hAnsi="Times New Roman" w:eastAsia="Times New Roman" w:cs="Times New Roman"/>
              </w:rPr>
              <w:t>m</w:t>
            </w:r>
            <w:r>
              <w:rPr>
                <w:rFonts w:hint="default" w:ascii="Times New Roman" w:hAnsi="Times New Roman" w:eastAsia="Times New Roman" w:cs="Times New Roman"/>
                <w:position w:val="9"/>
                <w:sz w:val="16"/>
                <w:szCs w:val="16"/>
              </w:rPr>
              <w:t>3</w:t>
            </w:r>
            <w:r>
              <w:rPr>
                <w:rFonts w:hint="default" w:ascii="Times New Roman" w:hAnsi="Times New Roman" w:cs="Times New Roman"/>
              </w:rPr>
              <w:t>；</w:t>
            </w:r>
          </w:p>
          <w:p w14:paraId="2C94C66E">
            <w:pPr>
              <w:pStyle w:val="45"/>
              <w:ind w:firstLine="480"/>
              <w:rPr>
                <w:rFonts w:hint="default" w:ascii="Times New Roman" w:hAnsi="Times New Roman" w:cs="Times New Roman"/>
              </w:rPr>
            </w:pPr>
            <w:r>
              <w:rPr>
                <w:rFonts w:hint="default" w:ascii="Times New Roman" w:hAnsi="Times New Roman" w:eastAsia="Times New Roman" w:cs="Times New Roman"/>
              </w:rPr>
              <w:t>V</w:t>
            </w:r>
            <w:r>
              <w:rPr>
                <w:rFonts w:hint="default" w:ascii="Times New Roman" w:hAnsi="Times New Roman" w:eastAsia="Times New Roman" w:cs="Times New Roman"/>
                <w:position w:val="-2"/>
                <w:sz w:val="16"/>
                <w:szCs w:val="16"/>
              </w:rPr>
              <w:t>4</w:t>
            </w:r>
            <w:r>
              <w:rPr>
                <w:rFonts w:hint="default" w:ascii="Times New Roman" w:hAnsi="Times New Roman" w:eastAsia="Times New Roman" w:cs="Times New Roman"/>
              </w:rPr>
              <w:t>——</w:t>
            </w:r>
            <w:r>
              <w:rPr>
                <w:rFonts w:hint="default" w:ascii="Times New Roman" w:hAnsi="Times New Roman" w:cs="Times New Roman"/>
              </w:rPr>
              <w:t>发生事故时仍必须进入该收集系统的生产废水量，</w:t>
            </w:r>
            <w:r>
              <w:rPr>
                <w:rFonts w:hint="default" w:ascii="Times New Roman" w:hAnsi="Times New Roman" w:eastAsia="Times New Roman" w:cs="Times New Roman"/>
              </w:rPr>
              <w:t>m</w:t>
            </w:r>
            <w:r>
              <w:rPr>
                <w:rFonts w:hint="default" w:ascii="Times New Roman" w:hAnsi="Times New Roman" w:eastAsia="Times New Roman" w:cs="Times New Roman"/>
                <w:position w:val="9"/>
                <w:sz w:val="16"/>
                <w:szCs w:val="16"/>
              </w:rPr>
              <w:t>3</w:t>
            </w:r>
            <w:r>
              <w:rPr>
                <w:rFonts w:hint="default" w:ascii="Times New Roman" w:hAnsi="Times New Roman" w:cs="Times New Roman"/>
              </w:rPr>
              <w:t>；</w:t>
            </w:r>
          </w:p>
          <w:p w14:paraId="628D46DF">
            <w:pPr>
              <w:pStyle w:val="45"/>
              <w:ind w:firstLine="480"/>
              <w:rPr>
                <w:rFonts w:hint="default" w:ascii="Times New Roman" w:hAnsi="Times New Roman" w:eastAsia="Times New Roman" w:cs="Times New Roman"/>
              </w:rPr>
            </w:pP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5</w:t>
            </w:r>
            <w:r>
              <w:rPr>
                <w:rFonts w:hint="default" w:ascii="Times New Roman" w:hAnsi="Times New Roman" w:eastAsia="Times New Roman" w:cs="Times New Roman"/>
              </w:rPr>
              <w:t>——</w:t>
            </w:r>
            <w:r>
              <w:rPr>
                <w:rFonts w:hint="default" w:ascii="Times New Roman" w:hAnsi="Times New Roman" w:cs="Times New Roman"/>
              </w:rPr>
              <w:t>发生事故时可能进入该收集系统的降雨量，</w:t>
            </w:r>
            <w:r>
              <w:rPr>
                <w:rFonts w:hint="default" w:ascii="Times New Roman" w:hAnsi="Times New Roman" w:eastAsia="Times New Roman" w:cs="Times New Roman"/>
              </w:rPr>
              <w:t>m</w:t>
            </w:r>
            <w:r>
              <w:rPr>
                <w:rFonts w:hint="default" w:ascii="Times New Roman" w:hAnsi="Times New Roman" w:eastAsia="Times New Roman" w:cs="Times New Roman"/>
                <w:position w:val="9"/>
                <w:sz w:val="16"/>
                <w:szCs w:val="16"/>
              </w:rPr>
              <w:t xml:space="preserve">3 </w:t>
            </w:r>
            <w:r>
              <w:rPr>
                <w:rFonts w:hint="default" w:ascii="Times New Roman" w:hAnsi="Times New Roman" w:cs="Times New Roman"/>
              </w:rPr>
              <w:t>；</w:t>
            </w:r>
            <w:r>
              <w:rPr>
                <w:rFonts w:hint="default" w:ascii="Times New Roman" w:hAnsi="Times New Roman" w:eastAsia="Times New Roman" w:cs="Times New Roman"/>
              </w:rPr>
              <w:t>V</w:t>
            </w:r>
            <w:r>
              <w:rPr>
                <w:rFonts w:hint="default" w:ascii="Times New Roman" w:hAnsi="Times New Roman" w:eastAsia="Times New Roman" w:cs="Times New Roman"/>
                <w:position w:val="-1"/>
                <w:sz w:val="16"/>
                <w:szCs w:val="16"/>
              </w:rPr>
              <w:t>5</w:t>
            </w:r>
            <w:r>
              <w:rPr>
                <w:rFonts w:hint="default" w:ascii="Times New Roman" w:hAnsi="Times New Roman" w:eastAsia="Times New Roman" w:cs="Times New Roman"/>
              </w:rPr>
              <w:t>=10qF</w:t>
            </w:r>
          </w:p>
          <w:p w14:paraId="60E4BBD7">
            <w:pPr>
              <w:pStyle w:val="45"/>
              <w:ind w:firstLine="480"/>
              <w:rPr>
                <w:rFonts w:hint="default" w:ascii="Times New Roman" w:hAnsi="Times New Roman" w:eastAsia="Times New Roman" w:cs="Times New Roman"/>
              </w:rPr>
            </w:pPr>
            <w:r>
              <w:rPr>
                <w:rFonts w:hint="default" w:ascii="Times New Roman" w:hAnsi="Times New Roman" w:eastAsia="Times New Roman" w:cs="Times New Roman"/>
              </w:rPr>
              <w:t>q—</w:t>
            </w:r>
            <w:r>
              <w:rPr>
                <w:rFonts w:hint="default" w:ascii="Times New Roman" w:hAnsi="Times New Roman" w:cs="Times New Roman"/>
              </w:rPr>
              <w:t>降雨强度，</w:t>
            </w:r>
            <w:r>
              <w:rPr>
                <w:rFonts w:hint="default" w:ascii="Times New Roman" w:hAnsi="Times New Roman" w:eastAsia="Times New Roman" w:cs="Times New Roman"/>
              </w:rPr>
              <w:t>mm</w:t>
            </w:r>
            <w:r>
              <w:rPr>
                <w:rFonts w:hint="default" w:ascii="Times New Roman" w:hAnsi="Times New Roman" w:cs="Times New Roman"/>
              </w:rPr>
              <w:t>；按平均日降雨量；</w:t>
            </w:r>
            <w:r>
              <w:rPr>
                <w:rFonts w:hint="default" w:ascii="Times New Roman" w:hAnsi="Times New Roman" w:eastAsia="Times New Roman" w:cs="Times New Roman"/>
              </w:rPr>
              <w:t>q=qa/n</w:t>
            </w:r>
          </w:p>
          <w:p w14:paraId="42071759">
            <w:pPr>
              <w:pStyle w:val="45"/>
              <w:ind w:firstLine="480"/>
              <w:rPr>
                <w:rFonts w:hint="default" w:ascii="Times New Roman" w:hAnsi="Times New Roman" w:cs="Times New Roman"/>
              </w:rPr>
            </w:pPr>
            <w:r>
              <w:rPr>
                <w:rFonts w:hint="default" w:ascii="Times New Roman" w:hAnsi="Times New Roman" w:eastAsia="Times New Roman" w:cs="Times New Roman"/>
              </w:rPr>
              <w:t>qa—</w:t>
            </w:r>
            <w:r>
              <w:rPr>
                <w:rFonts w:hint="default" w:ascii="Times New Roman" w:hAnsi="Times New Roman" w:cs="Times New Roman"/>
              </w:rPr>
              <w:t>年平均降雨量，</w:t>
            </w:r>
            <w:r>
              <w:rPr>
                <w:rFonts w:hint="default" w:ascii="Times New Roman" w:hAnsi="Times New Roman" w:eastAsia="Times New Roman" w:cs="Times New Roman"/>
              </w:rPr>
              <w:t>mm</w:t>
            </w:r>
            <w:r>
              <w:rPr>
                <w:rFonts w:hint="default" w:ascii="Times New Roman" w:hAnsi="Times New Roman" w:cs="Times New Roman"/>
              </w:rPr>
              <w:t>；</w:t>
            </w:r>
          </w:p>
          <w:p w14:paraId="25178EEB">
            <w:pPr>
              <w:pStyle w:val="45"/>
              <w:ind w:firstLine="480"/>
              <w:rPr>
                <w:rFonts w:hint="default" w:ascii="Times New Roman" w:hAnsi="Times New Roman" w:cs="Times New Roman"/>
              </w:rPr>
            </w:pPr>
            <w:r>
              <w:rPr>
                <w:rFonts w:hint="default" w:ascii="Times New Roman" w:hAnsi="Times New Roman" w:eastAsia="Times New Roman" w:cs="Times New Roman"/>
              </w:rPr>
              <w:t>n—</w:t>
            </w:r>
            <w:r>
              <w:rPr>
                <w:rFonts w:hint="default" w:ascii="Times New Roman" w:hAnsi="Times New Roman" w:cs="Times New Roman"/>
              </w:rPr>
              <w:t>年平均降雨日数；</w:t>
            </w:r>
          </w:p>
          <w:p w14:paraId="13D2A231">
            <w:pPr>
              <w:pStyle w:val="45"/>
              <w:ind w:firstLine="480"/>
              <w:rPr>
                <w:rFonts w:hint="default" w:ascii="Times New Roman" w:hAnsi="Times New Roman" w:cs="Times New Roman"/>
              </w:rPr>
            </w:pPr>
            <w:r>
              <w:rPr>
                <w:rFonts w:hint="default" w:ascii="Times New Roman" w:hAnsi="Times New Roman" w:eastAsia="Times New Roman" w:cs="Times New Roman"/>
              </w:rPr>
              <w:t>F—</w:t>
            </w:r>
            <w:r>
              <w:rPr>
                <w:rFonts w:hint="default" w:ascii="Times New Roman" w:hAnsi="Times New Roman" w:cs="Times New Roman"/>
              </w:rPr>
              <w:t>必须进入事故废水收集系统的雨水汇水面积，</w:t>
            </w:r>
            <w:r>
              <w:rPr>
                <w:rFonts w:hint="default" w:ascii="Times New Roman" w:hAnsi="Times New Roman" w:eastAsia="Times New Roman" w:cs="Times New Roman"/>
                <w:spacing w:val="-1"/>
              </w:rPr>
              <w:t>ha</w:t>
            </w:r>
            <w:r>
              <w:rPr>
                <w:rFonts w:hint="default" w:ascii="Times New Roman" w:hAnsi="Times New Roman" w:cs="Times New Roman"/>
                <w:spacing w:val="-1"/>
              </w:rPr>
              <w:t>。</w:t>
            </w:r>
            <w:r>
              <w:rPr>
                <w:rFonts w:hint="default" w:ascii="Times New Roman" w:hAnsi="Times New Roman" w:cs="Times New Roman"/>
              </w:rPr>
              <w:t>（以</w:t>
            </w:r>
            <w:r>
              <w:rPr>
                <w:rFonts w:hint="default" w:ascii="Times New Roman" w:hAnsi="Times New Roman" w:cs="Times New Roman"/>
                <w:szCs w:val="32"/>
              </w:rPr>
              <w:t>安徽普特机械制造有限公司汇水面积计</w:t>
            </w:r>
            <w:r>
              <w:rPr>
                <w:rFonts w:hint="default" w:ascii="Times New Roman" w:hAnsi="Times New Roman" w:cs="Times New Roman"/>
              </w:rPr>
              <w:t>）取0.35ha。</w:t>
            </w:r>
          </w:p>
          <w:p w14:paraId="12A4FCF5">
            <w:pPr>
              <w:spacing w:line="460" w:lineRule="exact"/>
              <w:ind w:firstLine="480" w:firstLineChars="200"/>
              <w:rPr>
                <w:rFonts w:hint="default" w:ascii="Times New Roman" w:hAnsi="Times New Roman" w:cs="Times New Roman"/>
                <w:szCs w:val="28"/>
              </w:rPr>
            </w:pPr>
            <w:r>
              <w:rPr>
                <w:rFonts w:hint="default" w:ascii="Times New Roman" w:hAnsi="Times New Roman" w:cs="Times New Roman"/>
                <w:szCs w:val="28"/>
              </w:rPr>
              <w:t>经计算：</w:t>
            </w:r>
          </w:p>
          <w:p w14:paraId="5E88FD99">
            <w:pPr>
              <w:spacing w:line="460" w:lineRule="exact"/>
              <w:ind w:firstLine="480"/>
              <w:rPr>
                <w:rFonts w:hint="default" w:ascii="Times New Roman" w:hAnsi="Times New Roman" w:cs="Times New Roman"/>
                <w:szCs w:val="28"/>
              </w:rPr>
            </w:pPr>
            <w:r>
              <w:rPr>
                <w:rFonts w:hint="default" w:ascii="Times New Roman" w:hAnsi="Times New Roman" w:cs="Times New Roman"/>
                <w:szCs w:val="28"/>
              </w:rPr>
              <w:t>①V</w:t>
            </w:r>
            <w:r>
              <w:rPr>
                <w:rFonts w:hint="default" w:ascii="Times New Roman" w:hAnsi="Times New Roman" w:cs="Times New Roman"/>
                <w:szCs w:val="28"/>
                <w:vertAlign w:val="subscript"/>
              </w:rPr>
              <w:t>1</w:t>
            </w:r>
            <w:r>
              <w:rPr>
                <w:rFonts w:hint="default" w:ascii="Times New Roman" w:hAnsi="Times New Roman" w:cs="Times New Roman"/>
                <w:szCs w:val="28"/>
              </w:rPr>
              <w:t>=0.025m³，</w:t>
            </w:r>
            <w:r>
              <w:rPr>
                <w:rFonts w:hint="default" w:ascii="Times New Roman" w:hAnsi="Times New Roman" w:cs="Times New Roman"/>
                <w:spacing w:val="3"/>
              </w:rPr>
              <w:t>收集系统范围内发生事故的一个罐组或一套装置的</w:t>
            </w:r>
            <w:r>
              <w:rPr>
                <w:rFonts w:hint="default" w:ascii="Times New Roman" w:hAnsi="Times New Roman" w:cs="Times New Roman"/>
                <w:spacing w:val="2"/>
              </w:rPr>
              <w:t>物料量，厂区最大容积</w:t>
            </w:r>
            <w:r>
              <w:rPr>
                <w:rFonts w:hint="default" w:ascii="Times New Roman" w:hAnsi="Times New Roman" w:cs="Times New Roman"/>
                <w:spacing w:val="-1"/>
              </w:rPr>
              <w:t>罐组为水性油墨桶，容积约</w:t>
            </w:r>
            <w:r>
              <w:rPr>
                <w:rFonts w:hint="default" w:ascii="Times New Roman" w:hAnsi="Times New Roman" w:cs="Times New Roman"/>
                <w:szCs w:val="28"/>
              </w:rPr>
              <w:t>0.025m³；</w:t>
            </w:r>
          </w:p>
          <w:p w14:paraId="4875B212">
            <w:pPr>
              <w:ind w:firstLine="480"/>
              <w:rPr>
                <w:rFonts w:hint="default" w:ascii="Times New Roman" w:hAnsi="Times New Roman" w:cs="Times New Roman"/>
              </w:rPr>
            </w:pPr>
            <w:r>
              <w:rPr>
                <w:rFonts w:hint="default" w:ascii="Times New Roman" w:hAnsi="Times New Roman" w:cs="Times New Roman"/>
                <w:szCs w:val="28"/>
              </w:rPr>
              <w:t>②V</w:t>
            </w:r>
            <w:r>
              <w:rPr>
                <w:rFonts w:hint="default" w:ascii="Times New Roman" w:hAnsi="Times New Roman" w:cs="Times New Roman"/>
                <w:szCs w:val="28"/>
                <w:vertAlign w:val="subscript"/>
              </w:rPr>
              <w:t>2</w:t>
            </w:r>
            <w:r>
              <w:rPr>
                <w:rFonts w:hint="default" w:ascii="Times New Roman" w:hAnsi="Times New Roman" w:cs="Times New Roman"/>
                <w:szCs w:val="28"/>
              </w:rPr>
              <w:t>=108</w:t>
            </w:r>
            <w:r>
              <w:rPr>
                <w:rFonts w:hint="default" w:ascii="Times New Roman" w:hAnsi="Times New Roman" w:cs="Times New Roman"/>
                <w:snapToGrid w:val="0"/>
                <w:color w:val="000000"/>
                <w:lang w:bidi="en-US"/>
              </w:rPr>
              <w:t>m³，</w:t>
            </w:r>
            <w:r>
              <w:rPr>
                <w:rFonts w:hint="default" w:ascii="Times New Roman" w:hAnsi="Times New Roman" w:cs="Times New Roman"/>
              </w:rPr>
              <w:t>根据《建筑设计防火规范》(GB50016-2014)和《消防给水及消火栓系统技术规范》(GB50974-2014)，消防水量为q=15L/s，消防时间2h，则一次消防用水量V</w:t>
            </w:r>
            <w:r>
              <w:rPr>
                <w:rFonts w:hint="default" w:ascii="Times New Roman" w:hAnsi="Times New Roman" w:cs="Times New Roman"/>
                <w:vertAlign w:val="subscript"/>
              </w:rPr>
              <w:t>2</w:t>
            </w:r>
            <w:r>
              <w:rPr>
                <w:rFonts w:hint="default" w:ascii="Times New Roman" w:hAnsi="Times New Roman" w:cs="Times New Roman"/>
              </w:rPr>
              <w:t>=108m³。</w:t>
            </w:r>
          </w:p>
          <w:p w14:paraId="663D2E0F">
            <w:pPr>
              <w:spacing w:line="460" w:lineRule="exact"/>
              <w:ind w:firstLine="480" w:firstLineChars="200"/>
              <w:rPr>
                <w:rFonts w:hint="default" w:ascii="Times New Roman" w:hAnsi="Times New Roman" w:cs="Times New Roman"/>
                <w:szCs w:val="28"/>
              </w:rPr>
            </w:pPr>
            <w:r>
              <w:rPr>
                <w:rFonts w:hint="default" w:ascii="Times New Roman" w:hAnsi="Times New Roman" w:cs="Times New Roman"/>
                <w:szCs w:val="28"/>
              </w:rPr>
              <w:t>③V</w:t>
            </w:r>
            <w:r>
              <w:rPr>
                <w:rFonts w:hint="default" w:ascii="Times New Roman" w:hAnsi="Times New Roman" w:cs="Times New Roman"/>
                <w:szCs w:val="28"/>
                <w:vertAlign w:val="subscript"/>
              </w:rPr>
              <w:t>3</w:t>
            </w:r>
            <w:r>
              <w:rPr>
                <w:rFonts w:hint="default" w:ascii="Times New Roman" w:hAnsi="Times New Roman" w:cs="Times New Roman"/>
                <w:szCs w:val="28"/>
              </w:rPr>
              <w:t>=1.5m</w:t>
            </w:r>
            <w:r>
              <w:rPr>
                <w:rFonts w:hint="default" w:ascii="Times New Roman" w:hAnsi="Times New Roman" w:cs="Times New Roman"/>
                <w:szCs w:val="28"/>
                <w:vertAlign w:val="superscript"/>
              </w:rPr>
              <w:t>3</w:t>
            </w:r>
            <w:r>
              <w:rPr>
                <w:rFonts w:hint="default" w:ascii="Times New Roman" w:hAnsi="Times New Roman" w:cs="Times New Roman"/>
                <w:szCs w:val="28"/>
              </w:rPr>
              <w:t>，危废暂存间导流渠体积约1.5m³；</w:t>
            </w:r>
          </w:p>
          <w:p w14:paraId="541CE744">
            <w:pPr>
              <w:ind w:firstLine="456"/>
              <w:rPr>
                <w:rFonts w:hint="default" w:ascii="Times New Roman" w:hAnsi="Times New Roman" w:cs="Times New Roman"/>
              </w:rPr>
            </w:pPr>
            <w:r>
              <w:rPr>
                <w:rFonts w:hint="default" w:ascii="Times New Roman" w:hAnsi="Times New Roman" w:eastAsia="Times New Roman" w:cs="Times New Roman"/>
                <w:spacing w:val="-6"/>
              </w:rPr>
              <w:t>V</w:t>
            </w:r>
            <w:r>
              <w:rPr>
                <w:rFonts w:hint="default" w:ascii="Times New Roman" w:hAnsi="Times New Roman" w:eastAsia="Times New Roman" w:cs="Times New Roman"/>
                <w:spacing w:val="-6"/>
                <w:position w:val="-3"/>
                <w:szCs w:val="16"/>
              </w:rPr>
              <w:t>4</w:t>
            </w:r>
            <w:r>
              <w:rPr>
                <w:rFonts w:hint="default" w:ascii="Times New Roman" w:hAnsi="Times New Roman" w:eastAsia="Times New Roman" w:cs="Times New Roman"/>
                <w:spacing w:val="-6"/>
              </w:rPr>
              <w:t>—</w:t>
            </w:r>
            <w:r>
              <w:rPr>
                <w:rFonts w:hint="default" w:ascii="Times New Roman" w:hAnsi="Times New Roman" w:cs="Times New Roman"/>
                <w:spacing w:val="-6"/>
              </w:rPr>
              <w:t>发生事故时仍必须进入该收集系统的生产废水量m³，</w:t>
            </w:r>
            <w:r>
              <w:rPr>
                <w:rFonts w:hint="default" w:ascii="Times New Roman" w:hAnsi="Times New Roman" w:cs="Times New Roman"/>
              </w:rPr>
              <w:t>本项目排放废水主要为生活污水，生活污水为间断性排放，事故后一般会立即停止生产，取0；</w:t>
            </w:r>
          </w:p>
          <w:p w14:paraId="73E0F22B">
            <w:pPr>
              <w:ind w:firstLine="480"/>
              <w:rPr>
                <w:rFonts w:hint="default" w:ascii="Times New Roman" w:hAnsi="Times New Roman" w:cs="Times New Roman"/>
              </w:rPr>
            </w:pPr>
            <w:r>
              <w:rPr>
                <w:rFonts w:hint="default" w:ascii="Times New Roman" w:hAnsi="Times New Roman" w:cs="Times New Roman"/>
              </w:rPr>
              <w:t>V</w:t>
            </w:r>
            <w:r>
              <w:rPr>
                <w:rFonts w:hint="default" w:ascii="Times New Roman" w:hAnsi="Times New Roman" w:cs="Times New Roman"/>
                <w:vertAlign w:val="subscript"/>
              </w:rPr>
              <w:t>5</w:t>
            </w:r>
            <w:r>
              <w:rPr>
                <w:rFonts w:hint="default" w:ascii="Times New Roman" w:hAnsi="Times New Roman" w:cs="Times New Roman"/>
              </w:rPr>
              <w:t>—发生事故时可能进入该收集系统的降雨量，31.1m³；</w:t>
            </w:r>
          </w:p>
          <w:p w14:paraId="17B74CFE">
            <w:pPr>
              <w:widowControl/>
              <w:wordWrap w:val="0"/>
              <w:spacing w:line="460" w:lineRule="exact"/>
              <w:ind w:firstLine="480" w:firstLineChars="200"/>
              <w:rPr>
                <w:rFonts w:hint="default" w:ascii="Times New Roman" w:hAnsi="Times New Roman" w:cs="Times New Roman"/>
                <w:vertAlign w:val="superscript"/>
                <w:lang w:bidi="en-US"/>
              </w:rPr>
            </w:pPr>
            <w:r>
              <w:rPr>
                <w:rFonts w:hint="default" w:ascii="Times New Roman" w:hAnsi="Times New Roman" w:cs="Times New Roman"/>
                <w:lang w:bidi="en-US"/>
              </w:rPr>
              <w:t>则V</w:t>
            </w:r>
            <w:r>
              <w:rPr>
                <w:rFonts w:hint="default" w:ascii="Times New Roman" w:hAnsi="Times New Roman" w:cs="Times New Roman"/>
                <w:vertAlign w:val="subscript"/>
                <w:lang w:bidi="en-US"/>
              </w:rPr>
              <w:t>总</w:t>
            </w:r>
            <w:r>
              <w:rPr>
                <w:rFonts w:hint="default" w:ascii="Times New Roman" w:hAnsi="Times New Roman" w:cs="Times New Roman"/>
                <w:lang w:bidi="en-US"/>
              </w:rPr>
              <w:t>=(V</w:t>
            </w:r>
            <w:r>
              <w:rPr>
                <w:rFonts w:hint="default" w:ascii="Times New Roman" w:hAnsi="Times New Roman" w:cs="Times New Roman"/>
                <w:vertAlign w:val="subscript"/>
                <w:lang w:bidi="en-US"/>
              </w:rPr>
              <w:t>1</w:t>
            </w:r>
            <w:r>
              <w:rPr>
                <w:rFonts w:hint="default" w:ascii="Times New Roman" w:hAnsi="Times New Roman" w:cs="Times New Roman"/>
                <w:lang w:bidi="en-US"/>
              </w:rPr>
              <w:t>+V</w:t>
            </w:r>
            <w:r>
              <w:rPr>
                <w:rFonts w:hint="default" w:ascii="Times New Roman" w:hAnsi="Times New Roman" w:cs="Times New Roman"/>
                <w:vertAlign w:val="subscript"/>
                <w:lang w:bidi="en-US"/>
              </w:rPr>
              <w:t>2</w:t>
            </w:r>
            <w:r>
              <w:rPr>
                <w:rFonts w:hint="default" w:ascii="Times New Roman" w:hAnsi="Times New Roman" w:cs="Times New Roman"/>
                <w:lang w:bidi="en-US"/>
              </w:rPr>
              <w:t>-V</w:t>
            </w:r>
            <w:r>
              <w:rPr>
                <w:rFonts w:hint="default" w:ascii="Times New Roman" w:hAnsi="Times New Roman" w:cs="Times New Roman"/>
                <w:vertAlign w:val="subscript"/>
                <w:lang w:bidi="en-US"/>
              </w:rPr>
              <w:t>3</w:t>
            </w:r>
            <w:r>
              <w:rPr>
                <w:rFonts w:hint="default" w:ascii="Times New Roman" w:hAnsi="Times New Roman" w:cs="Times New Roman"/>
                <w:lang w:bidi="en-US"/>
              </w:rPr>
              <w:t>)max+V</w:t>
            </w:r>
            <w:r>
              <w:rPr>
                <w:rFonts w:hint="default" w:ascii="Times New Roman" w:hAnsi="Times New Roman" w:cs="Times New Roman"/>
                <w:vertAlign w:val="subscript"/>
                <w:lang w:bidi="en-US"/>
              </w:rPr>
              <w:t>4</w:t>
            </w:r>
            <w:r>
              <w:rPr>
                <w:rFonts w:hint="default" w:ascii="Times New Roman" w:hAnsi="Times New Roman" w:cs="Times New Roman"/>
                <w:lang w:bidi="en-US"/>
              </w:rPr>
              <w:t>+V</w:t>
            </w:r>
            <w:r>
              <w:rPr>
                <w:rFonts w:hint="default" w:ascii="Times New Roman" w:hAnsi="Times New Roman" w:cs="Times New Roman"/>
                <w:vertAlign w:val="subscript"/>
                <w:lang w:bidi="en-US"/>
              </w:rPr>
              <w:t>5</w:t>
            </w:r>
            <w:r>
              <w:rPr>
                <w:rFonts w:hint="default" w:ascii="Times New Roman" w:hAnsi="Times New Roman" w:cs="Times New Roman"/>
                <w:lang w:bidi="en-US"/>
              </w:rPr>
              <w:t>=（0.025+108-1.5)+0+31.1=137.625m</w:t>
            </w:r>
            <w:r>
              <w:rPr>
                <w:rFonts w:hint="default" w:ascii="Times New Roman" w:hAnsi="Times New Roman" w:cs="Times New Roman"/>
                <w:vertAlign w:val="superscript"/>
                <w:lang w:bidi="en-US"/>
              </w:rPr>
              <w:t>3</w:t>
            </w:r>
          </w:p>
          <w:p w14:paraId="6E115901">
            <w:pPr>
              <w:ind w:firstLine="456"/>
              <w:rPr>
                <w:rFonts w:hint="default" w:ascii="Times New Roman" w:hAnsi="Times New Roman" w:eastAsia="Times New Roman" w:cs="Times New Roman"/>
                <w:spacing w:val="-6"/>
              </w:rPr>
            </w:pPr>
            <w:r>
              <w:rPr>
                <w:rFonts w:hint="default" w:ascii="Times New Roman" w:hAnsi="Times New Roman" w:cs="Times New Roman"/>
                <w:spacing w:val="-6"/>
              </w:rPr>
              <w:t>综</w:t>
            </w:r>
            <w:r>
              <w:rPr>
                <w:rFonts w:hint="default" w:ascii="Times New Roman" w:hAnsi="Times New Roman" w:eastAsia="Times New Roman" w:cs="Times New Roman"/>
                <w:spacing w:val="-6"/>
              </w:rPr>
              <w:t>合以上计算，本项目所需事故应急池容量为137.625m</w:t>
            </w:r>
            <w:r>
              <w:rPr>
                <w:rFonts w:hint="default" w:ascii="Times New Roman" w:hAnsi="Times New Roman" w:eastAsia="Times New Roman" w:cs="Times New Roman"/>
                <w:spacing w:val="-6"/>
                <w:vertAlign w:val="superscript"/>
              </w:rPr>
              <w:t>3</w:t>
            </w:r>
            <w:r>
              <w:rPr>
                <w:rFonts w:hint="default" w:ascii="Times New Roman" w:hAnsi="Times New Roman" w:eastAsia="Times New Roman" w:cs="Times New Roman"/>
                <w:spacing w:val="-6"/>
              </w:rPr>
              <w:t>，厂房，根据现场调查可知普特机械制造有限公司已建设了事故池。安徽普特机械制造有限公司事故池容积约250m³，本项目事故废水产生量约137.625m³，储存容积可满足暂存要求。</w:t>
            </w:r>
          </w:p>
          <w:p w14:paraId="2A906610">
            <w:pPr>
              <w:widowControl/>
              <w:wordWrap w:val="0"/>
              <w:spacing w:line="460" w:lineRule="exact"/>
              <w:ind w:firstLine="480" w:firstLineChars="200"/>
              <w:rPr>
                <w:rFonts w:hint="default" w:ascii="Times New Roman" w:hAnsi="Times New Roman" w:cs="Times New Roman"/>
                <w:vertAlign w:val="superscript"/>
                <w:lang w:bidi="en-US"/>
              </w:rPr>
            </w:pPr>
            <w:r>
              <w:rPr>
                <w:rFonts w:hint="default" w:ascii="Times New Roman" w:hAnsi="Times New Roman" w:cs="Times New Roman"/>
              </w:rPr>
              <w:t>依托</w:t>
            </w:r>
            <w:r>
              <w:rPr>
                <w:rFonts w:hint="default" w:ascii="Times New Roman" w:hAnsi="Times New Roman" w:eastAsia="Times New Roman" w:cs="Times New Roman"/>
                <w:spacing w:val="-6"/>
              </w:rPr>
              <w:t>普特机械制造有限公司</w:t>
            </w:r>
            <w:r>
              <w:rPr>
                <w:rFonts w:hint="default" w:ascii="Times New Roman" w:hAnsi="Times New Roman" w:cs="Times New Roman"/>
              </w:rPr>
              <w:t>现有事故应急池（容量250m</w:t>
            </w:r>
            <w:r>
              <w:rPr>
                <w:rFonts w:hint="default" w:ascii="Times New Roman" w:hAnsi="Times New Roman" w:cs="Times New Roman"/>
                <w:vertAlign w:val="superscript"/>
                <w:lang w:val="en-US" w:eastAsia="zh-CN"/>
              </w:rPr>
              <w:t>3</w:t>
            </w:r>
            <w:r>
              <w:rPr>
                <w:rFonts w:hint="default" w:ascii="Times New Roman" w:hAnsi="Times New Roman" w:cs="Times New Roman"/>
              </w:rPr>
              <w:t>），目前处于空置状态，可以容纳事故消防废水以及发生事故时可能进入该系统的水量，并安装配备有相应管路、可控应急阀门、应急泵等应急切断措施，使应急池能够充分发挥其应有的作用，因此本项目依托现有厂区应急事故池可行。</w:t>
            </w:r>
          </w:p>
          <w:p w14:paraId="00A84078">
            <w:pPr>
              <w:widowControl/>
              <w:wordWrap w:val="0"/>
              <w:adjustRightInd w:val="0"/>
              <w:snapToGrid w:val="0"/>
              <w:spacing w:line="460" w:lineRule="exact"/>
              <w:ind w:firstLine="480" w:firstLineChars="200"/>
              <w:rPr>
                <w:rFonts w:hint="default" w:ascii="Times New Roman" w:hAnsi="Times New Roman" w:cs="Times New Roman"/>
                <w:lang w:bidi="en-US"/>
              </w:rPr>
            </w:pPr>
            <w:r>
              <w:rPr>
                <w:rFonts w:hint="default" w:ascii="Times New Roman" w:hAnsi="Times New Roman" w:cs="Times New Roman"/>
                <w:lang w:bidi="en-US"/>
              </w:rPr>
              <w:t>综上，本项目风险潜势为I，环境风险影响较小。项目可能发生的风险事故为废槽液泄漏，通过采取风险防治措施，可有效降低事故发生概率，对外环境造成环境可接受。因此本项目的环境风险可防控。</w:t>
            </w:r>
          </w:p>
          <w:p w14:paraId="51BDE81A">
            <w:pPr>
              <w:widowControl/>
              <w:wordWrap w:val="0"/>
              <w:spacing w:line="460" w:lineRule="exact"/>
              <w:rPr>
                <w:rFonts w:hint="default" w:ascii="Times New Roman" w:hAnsi="Times New Roman" w:cs="Times New Roman"/>
                <w:b/>
                <w:lang w:bidi="en-US"/>
              </w:rPr>
            </w:pPr>
            <w:r>
              <w:rPr>
                <w:rFonts w:hint="default" w:ascii="Times New Roman" w:hAnsi="Times New Roman" w:cs="Times New Roman"/>
                <w:b/>
                <w:lang w:bidi="en-US"/>
              </w:rPr>
              <w:t>4.8.5 突发环境污染事故应急监测</w:t>
            </w:r>
          </w:p>
          <w:p w14:paraId="7D7E033C">
            <w:pPr>
              <w:widowControl/>
              <w:wordWrap w:val="0"/>
              <w:spacing w:line="460" w:lineRule="exact"/>
              <w:ind w:firstLine="480" w:firstLineChars="200"/>
              <w:rPr>
                <w:rFonts w:hint="default" w:ascii="Times New Roman" w:hAnsi="Times New Roman" w:cs="Times New Roman"/>
                <w:lang w:bidi="en-US"/>
              </w:rPr>
            </w:pPr>
            <w:r>
              <w:rPr>
                <w:rFonts w:hint="default" w:ascii="Times New Roman" w:hAnsi="Times New Roman" w:cs="Times New Roman"/>
                <w:lang w:bidi="en-US"/>
              </w:rPr>
              <w:t>企业发生突发环境污染事故时，应急监测组应带上监测仪器和采样设备，企业自身不具备相应的应急环境监测能力时，可委托当地相关监测部门进行应急监测。监测项目与频次见下表。</w:t>
            </w:r>
          </w:p>
          <w:p w14:paraId="664F1FA3">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w:t>
            </w:r>
            <w:r>
              <w:rPr>
                <w:rFonts w:hint="eastAsia" w:cs="Times New Roman"/>
                <w:b/>
                <w:kern w:val="0"/>
                <w:sz w:val="21"/>
                <w:szCs w:val="22"/>
                <w:lang w:val="en-US" w:eastAsia="zh-CN"/>
              </w:rPr>
              <w:t xml:space="preserve">28 </w:t>
            </w:r>
            <w:r>
              <w:rPr>
                <w:rFonts w:hint="default" w:ascii="Times New Roman" w:hAnsi="Times New Roman" w:cs="Times New Roman"/>
                <w:b/>
                <w:kern w:val="0"/>
                <w:sz w:val="21"/>
                <w:szCs w:val="22"/>
              </w:rPr>
              <w:t>事故应急监测方案建议</w:t>
            </w:r>
          </w:p>
          <w:tbl>
            <w:tblPr>
              <w:tblStyle w:val="22"/>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3"/>
              <w:gridCol w:w="1233"/>
              <w:gridCol w:w="1088"/>
              <w:gridCol w:w="2405"/>
              <w:gridCol w:w="2413"/>
            </w:tblGrid>
            <w:tr w14:paraId="1D585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122" w:type="dxa"/>
                  <w:gridSpan w:val="2"/>
                  <w:vAlign w:val="center"/>
                </w:tcPr>
                <w:p w14:paraId="047DA063">
                  <w:pPr>
                    <w:pStyle w:val="46"/>
                    <w:framePr w:hSpace="0" w:wrap="auto" w:vAnchor="margin" w:hAnchor="text" w:xAlign="left" w:yAlign="inline"/>
                    <w:widowControl w:val="0"/>
                    <w:rPr>
                      <w:rFonts w:hint="default" w:ascii="Times New Roman" w:hAnsi="Times New Roman" w:cs="Times New Roman"/>
                      <w:b/>
                      <w:bCs/>
                    </w:rPr>
                  </w:pPr>
                  <w:r>
                    <w:rPr>
                      <w:rFonts w:hint="default" w:ascii="Times New Roman" w:hAnsi="Times New Roman" w:cs="Times New Roman"/>
                      <w:b/>
                      <w:bCs/>
                    </w:rPr>
                    <w:t>污染类型</w:t>
                  </w:r>
                </w:p>
              </w:tc>
              <w:tc>
                <w:tcPr>
                  <w:tcW w:w="1123" w:type="dxa"/>
                  <w:vAlign w:val="center"/>
                </w:tcPr>
                <w:p w14:paraId="627EA638">
                  <w:pPr>
                    <w:pStyle w:val="46"/>
                    <w:framePr w:hSpace="0" w:wrap="auto" w:vAnchor="margin" w:hAnchor="text" w:xAlign="left" w:yAlign="inline"/>
                    <w:widowControl w:val="0"/>
                    <w:rPr>
                      <w:rFonts w:hint="default" w:ascii="Times New Roman" w:hAnsi="Times New Roman" w:cs="Times New Roman"/>
                      <w:b/>
                      <w:bCs/>
                    </w:rPr>
                  </w:pPr>
                  <w:r>
                    <w:rPr>
                      <w:rFonts w:hint="default" w:ascii="Times New Roman" w:hAnsi="Times New Roman" w:cs="Times New Roman"/>
                      <w:b/>
                      <w:bCs/>
                    </w:rPr>
                    <w:t>采样位置</w:t>
                  </w:r>
                </w:p>
              </w:tc>
              <w:tc>
                <w:tcPr>
                  <w:tcW w:w="2541" w:type="dxa"/>
                  <w:vAlign w:val="center"/>
                </w:tcPr>
                <w:p w14:paraId="2FBB8B49">
                  <w:pPr>
                    <w:pStyle w:val="46"/>
                    <w:framePr w:hSpace="0" w:wrap="auto" w:vAnchor="margin" w:hAnchor="text" w:xAlign="left" w:yAlign="inline"/>
                    <w:widowControl w:val="0"/>
                    <w:rPr>
                      <w:rFonts w:hint="default" w:ascii="Times New Roman" w:hAnsi="Times New Roman" w:cs="Times New Roman"/>
                      <w:b/>
                      <w:bCs/>
                    </w:rPr>
                  </w:pPr>
                  <w:r>
                    <w:rPr>
                      <w:rFonts w:hint="default" w:ascii="Times New Roman" w:hAnsi="Times New Roman" w:cs="Times New Roman"/>
                      <w:b/>
                      <w:bCs/>
                    </w:rPr>
                    <w:t>建议采样频次</w:t>
                  </w:r>
                </w:p>
              </w:tc>
              <w:tc>
                <w:tcPr>
                  <w:tcW w:w="2530" w:type="dxa"/>
                  <w:vAlign w:val="center"/>
                </w:tcPr>
                <w:p w14:paraId="48DB3A4C">
                  <w:pPr>
                    <w:pStyle w:val="46"/>
                    <w:framePr w:hSpace="0" w:wrap="auto" w:vAnchor="margin" w:hAnchor="text" w:xAlign="left" w:yAlign="inline"/>
                    <w:widowControl w:val="0"/>
                    <w:rPr>
                      <w:rFonts w:hint="default" w:ascii="Times New Roman" w:hAnsi="Times New Roman" w:cs="Times New Roman"/>
                      <w:b/>
                      <w:bCs/>
                    </w:rPr>
                  </w:pPr>
                  <w:r>
                    <w:rPr>
                      <w:rFonts w:hint="default" w:ascii="Times New Roman" w:hAnsi="Times New Roman" w:cs="Times New Roman"/>
                      <w:b/>
                      <w:bCs/>
                    </w:rPr>
                    <w:t>监测项目</w:t>
                  </w:r>
                </w:p>
              </w:tc>
            </w:tr>
            <w:tr w14:paraId="7A41D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843" w:type="dxa"/>
                  <w:vAlign w:val="center"/>
                </w:tcPr>
                <w:p w14:paraId="6184EE15">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水污染</w:t>
                  </w:r>
                </w:p>
              </w:tc>
              <w:tc>
                <w:tcPr>
                  <w:tcW w:w="1279" w:type="dxa"/>
                  <w:vAlign w:val="center"/>
                </w:tcPr>
                <w:p w14:paraId="43AE91A4">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火灾、泄漏等</w:t>
                  </w:r>
                </w:p>
              </w:tc>
              <w:tc>
                <w:tcPr>
                  <w:tcW w:w="1123" w:type="dxa"/>
                  <w:vAlign w:val="center"/>
                </w:tcPr>
                <w:p w14:paraId="1B161DA4">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雨水排放口</w:t>
                  </w:r>
                </w:p>
              </w:tc>
              <w:tc>
                <w:tcPr>
                  <w:tcW w:w="2541" w:type="dxa"/>
                  <w:vAlign w:val="center"/>
                </w:tcPr>
                <w:p w14:paraId="3A7BE6FC">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事故发生时1次/时，事故结束后2次/天，直到达标为止</w:t>
                  </w:r>
                </w:p>
              </w:tc>
              <w:tc>
                <w:tcPr>
                  <w:tcW w:w="2530" w:type="dxa"/>
                  <w:vAlign w:val="center"/>
                </w:tcPr>
                <w:p w14:paraId="3E59132F">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pH、COD、氨氮、SS、</w:t>
                  </w:r>
                  <w:r>
                    <w:rPr>
                      <w:rFonts w:hint="default" w:ascii="Times New Roman" w:hAnsi="Times New Roman" w:cs="Times New Roman"/>
                      <w:lang w:eastAsia="zh-CN"/>
                    </w:rPr>
                    <w:t>动植物油</w:t>
                  </w:r>
                  <w:r>
                    <w:rPr>
                      <w:rFonts w:hint="default" w:ascii="Times New Roman" w:hAnsi="Times New Roman" w:cs="Times New Roman"/>
                    </w:rPr>
                    <w:t>等</w:t>
                  </w:r>
                </w:p>
              </w:tc>
            </w:tr>
            <w:tr w14:paraId="3D2E7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843" w:type="dxa"/>
                  <w:vAlign w:val="center"/>
                </w:tcPr>
                <w:p w14:paraId="49E519EB">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大气污染</w:t>
                  </w:r>
                </w:p>
              </w:tc>
              <w:tc>
                <w:tcPr>
                  <w:tcW w:w="1279" w:type="dxa"/>
                  <w:vAlign w:val="center"/>
                </w:tcPr>
                <w:p w14:paraId="75203B30">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废气处理设施非正常运转</w:t>
                  </w:r>
                </w:p>
              </w:tc>
              <w:tc>
                <w:tcPr>
                  <w:tcW w:w="1123" w:type="dxa"/>
                  <w:vAlign w:val="center"/>
                </w:tcPr>
                <w:p w14:paraId="708B9313">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生产车间、厂界</w:t>
                  </w:r>
                </w:p>
              </w:tc>
              <w:tc>
                <w:tcPr>
                  <w:tcW w:w="2541" w:type="dxa"/>
                  <w:vAlign w:val="center"/>
                </w:tcPr>
                <w:p w14:paraId="35963CCF">
                  <w:pPr>
                    <w:pStyle w:val="46"/>
                    <w:framePr w:hSpace="0" w:wrap="auto" w:vAnchor="margin" w:hAnchor="text" w:xAlign="left" w:yAlign="inline"/>
                    <w:widowControl w:val="0"/>
                    <w:rPr>
                      <w:rFonts w:hint="default" w:ascii="Times New Roman" w:hAnsi="Times New Roman" w:cs="Times New Roman"/>
                    </w:rPr>
                  </w:pPr>
                  <w:r>
                    <w:rPr>
                      <w:rFonts w:hint="default" w:ascii="Times New Roman" w:hAnsi="Times New Roman" w:cs="Times New Roman"/>
                    </w:rPr>
                    <w:t>事故发生时4次/天，事故结束后1次/天，直到达标为止</w:t>
                  </w:r>
                </w:p>
              </w:tc>
              <w:tc>
                <w:tcPr>
                  <w:tcW w:w="2530" w:type="dxa"/>
                  <w:vAlign w:val="center"/>
                </w:tcPr>
                <w:p w14:paraId="5FA7A33E">
                  <w:pPr>
                    <w:pStyle w:val="46"/>
                    <w:framePr w:hSpace="0" w:wrap="auto" w:vAnchor="margin" w:hAnchor="text" w:xAlign="left" w:yAlign="inline"/>
                    <w:widowControl w:val="0"/>
                    <w:rPr>
                      <w:rFonts w:hint="default" w:ascii="Times New Roman" w:hAnsi="Times New Roman" w:eastAsia="宋体" w:cs="Times New Roman"/>
                      <w:lang w:eastAsia="zh-CN"/>
                    </w:rPr>
                  </w:pPr>
                  <w:r>
                    <w:rPr>
                      <w:rFonts w:hint="default" w:ascii="Times New Roman" w:hAnsi="Times New Roman" w:cs="Times New Roman"/>
                    </w:rPr>
                    <w:t>非甲烷总烃</w:t>
                  </w:r>
                  <w:r>
                    <w:rPr>
                      <w:rFonts w:hint="default" w:ascii="Times New Roman" w:hAnsi="Times New Roman" w:cs="Times New Roman"/>
                      <w:lang w:eastAsia="zh-CN"/>
                    </w:rPr>
                    <w:t>、颗粒物</w:t>
                  </w:r>
                </w:p>
              </w:tc>
            </w:tr>
          </w:tbl>
          <w:p w14:paraId="3B9B3519">
            <w:pPr>
              <w:widowControl/>
              <w:wordWrap w:val="0"/>
              <w:adjustRightInd w:val="0"/>
              <w:snapToGrid w:val="0"/>
              <w:spacing w:line="460" w:lineRule="exact"/>
              <w:ind w:firstLine="470" w:firstLineChars="200"/>
              <w:rPr>
                <w:rFonts w:hint="default" w:ascii="Times New Roman" w:hAnsi="Times New Roman" w:cs="Times New Roman"/>
                <w:lang w:bidi="en-US"/>
              </w:rPr>
            </w:pPr>
            <w:r>
              <w:rPr>
                <w:rFonts w:hint="default" w:ascii="Times New Roman" w:hAnsi="Times New Roman" w:cs="Times New Roman"/>
                <w:b/>
                <w:bCs/>
                <w:spacing w:val="-3"/>
              </w:rPr>
              <w:t>4.8.6 应急预案的内容和要求</w:t>
            </w:r>
          </w:p>
          <w:p w14:paraId="4C50CDB5">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表4-2</w:t>
            </w:r>
            <w:r>
              <w:rPr>
                <w:rFonts w:hint="eastAsia" w:cs="Times New Roman"/>
                <w:b/>
                <w:kern w:val="0"/>
                <w:sz w:val="21"/>
                <w:szCs w:val="22"/>
                <w:lang w:val="en-US" w:eastAsia="zh-CN"/>
              </w:rPr>
              <w:t>9</w:t>
            </w:r>
            <w:r>
              <w:rPr>
                <w:rFonts w:hint="default" w:ascii="Times New Roman" w:hAnsi="Times New Roman" w:cs="Times New Roman"/>
                <w:b/>
                <w:kern w:val="0"/>
                <w:sz w:val="21"/>
                <w:szCs w:val="22"/>
              </w:rPr>
              <w:t xml:space="preserve"> 环保应急预案表</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7"/>
              <w:gridCol w:w="1778"/>
              <w:gridCol w:w="5507"/>
            </w:tblGrid>
            <w:tr w14:paraId="111B0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91" w:type="dxa"/>
                  <w:vAlign w:val="center"/>
                </w:tcPr>
                <w:p w14:paraId="52F0797C">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序号</w:t>
                  </w:r>
                </w:p>
              </w:tc>
              <w:tc>
                <w:tcPr>
                  <w:tcW w:w="1849" w:type="dxa"/>
                  <w:vAlign w:val="center"/>
                </w:tcPr>
                <w:p w14:paraId="6E7176FD">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项目</w:t>
                  </w:r>
                </w:p>
              </w:tc>
              <w:tc>
                <w:tcPr>
                  <w:tcW w:w="5776" w:type="dxa"/>
                  <w:vAlign w:val="center"/>
                </w:tcPr>
                <w:p w14:paraId="11EECC29">
                  <w:pPr>
                    <w:pStyle w:val="46"/>
                    <w:framePr w:hSpace="0" w:wrap="auto" w:vAnchor="margin" w:hAnchor="text" w:xAlign="left" w:yAlign="inline"/>
                    <w:rPr>
                      <w:rFonts w:hint="default" w:ascii="Times New Roman" w:hAnsi="Times New Roman" w:cs="Times New Roman"/>
                      <w:b/>
                      <w:bCs/>
                    </w:rPr>
                  </w:pPr>
                  <w:r>
                    <w:rPr>
                      <w:rFonts w:hint="default" w:ascii="Times New Roman" w:hAnsi="Times New Roman" w:cs="Times New Roman"/>
                      <w:b/>
                      <w:bCs/>
                    </w:rPr>
                    <w:t>内容及要求</w:t>
                  </w:r>
                </w:p>
              </w:tc>
            </w:tr>
            <w:tr w14:paraId="7F497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558D4A9C">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1</w:t>
                  </w:r>
                </w:p>
              </w:tc>
              <w:tc>
                <w:tcPr>
                  <w:tcW w:w="1849" w:type="dxa"/>
                  <w:vAlign w:val="center"/>
                </w:tcPr>
                <w:p w14:paraId="28742102">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应急计划区</w:t>
                  </w:r>
                </w:p>
              </w:tc>
              <w:tc>
                <w:tcPr>
                  <w:tcW w:w="5776" w:type="dxa"/>
                  <w:vAlign w:val="center"/>
                </w:tcPr>
                <w:p w14:paraId="0A231781">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危险目标为印刷车间、危废库、原料库；保护目标为项目周围的环境敏感目标</w:t>
                  </w:r>
                </w:p>
              </w:tc>
            </w:tr>
            <w:tr w14:paraId="546F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4093EE53">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2</w:t>
                  </w:r>
                </w:p>
              </w:tc>
              <w:tc>
                <w:tcPr>
                  <w:tcW w:w="1849" w:type="dxa"/>
                  <w:vAlign w:val="center"/>
                </w:tcPr>
                <w:p w14:paraId="062AC4CA">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应急组织机构、</w:t>
                  </w:r>
                </w:p>
                <w:p w14:paraId="31CC3CAB">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人员</w:t>
                  </w:r>
                </w:p>
              </w:tc>
              <w:tc>
                <w:tcPr>
                  <w:tcW w:w="5776" w:type="dxa"/>
                  <w:vAlign w:val="center"/>
                </w:tcPr>
                <w:p w14:paraId="03404A4F">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设立事故应急机构，人员由企业主要领导、安全负责人、环保负责人等主要人员组成</w:t>
                  </w:r>
                </w:p>
              </w:tc>
            </w:tr>
            <w:tr w14:paraId="3C0D8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2" w:hRule="atLeast"/>
                <w:jc w:val="center"/>
              </w:trPr>
              <w:tc>
                <w:tcPr>
                  <w:tcW w:w="691" w:type="dxa"/>
                  <w:vAlign w:val="center"/>
                </w:tcPr>
                <w:p w14:paraId="537016AF">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3</w:t>
                  </w:r>
                </w:p>
              </w:tc>
              <w:tc>
                <w:tcPr>
                  <w:tcW w:w="1849" w:type="dxa"/>
                  <w:vAlign w:val="center"/>
                </w:tcPr>
                <w:p w14:paraId="0E230C2C">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预案分级响应条件</w:t>
                  </w:r>
                </w:p>
              </w:tc>
              <w:tc>
                <w:tcPr>
                  <w:tcW w:w="5776" w:type="dxa"/>
                  <w:vAlign w:val="center"/>
                </w:tcPr>
                <w:p w14:paraId="7196AA3B">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环保预案的级别分为三级，一级为特大事故、二级为重大事故、三级为一般事故。根据事故的级别，相应建立对应的事故处理程序和处理范围。</w:t>
                  </w:r>
                </w:p>
              </w:tc>
            </w:tr>
            <w:tr w14:paraId="6B1D6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6DF7748D">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4</w:t>
                  </w:r>
                </w:p>
              </w:tc>
              <w:tc>
                <w:tcPr>
                  <w:tcW w:w="1849" w:type="dxa"/>
                  <w:vAlign w:val="center"/>
                </w:tcPr>
                <w:p w14:paraId="493F2847">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应急救援保障</w:t>
                  </w:r>
                </w:p>
              </w:tc>
              <w:tc>
                <w:tcPr>
                  <w:tcW w:w="5776" w:type="dxa"/>
                  <w:vAlign w:val="center"/>
                </w:tcPr>
                <w:p w14:paraId="16F90ABB">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企业应配备必要的应急设施及设备和器材；事故易发的工 作岗位配备必需的防护用品等。</w:t>
                  </w:r>
                </w:p>
              </w:tc>
            </w:tr>
            <w:tr w14:paraId="21955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6114B3A2">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5</w:t>
                  </w:r>
                </w:p>
              </w:tc>
              <w:tc>
                <w:tcPr>
                  <w:tcW w:w="1849" w:type="dxa"/>
                  <w:vAlign w:val="center"/>
                </w:tcPr>
                <w:p w14:paraId="723C35A0">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报警、通讯联络方式</w:t>
                  </w:r>
                </w:p>
              </w:tc>
              <w:tc>
                <w:tcPr>
                  <w:tcW w:w="5776" w:type="dxa"/>
                  <w:vAlign w:val="center"/>
                </w:tcPr>
                <w:p w14:paraId="0AE22AEC">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建立专用的报警和通讯线路，并保持其畅通。</w:t>
                  </w:r>
                </w:p>
              </w:tc>
            </w:tr>
            <w:tr w14:paraId="4BFE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78B18FC5">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6</w:t>
                  </w:r>
                </w:p>
              </w:tc>
              <w:tc>
                <w:tcPr>
                  <w:tcW w:w="1849" w:type="dxa"/>
                  <w:vAlign w:val="center"/>
                </w:tcPr>
                <w:p w14:paraId="4EE567D6">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应急环境监测、抢救、救援及控</w:t>
                  </w:r>
                </w:p>
              </w:tc>
              <w:tc>
                <w:tcPr>
                  <w:tcW w:w="5776" w:type="dxa"/>
                  <w:vAlign w:val="center"/>
                </w:tcPr>
                <w:p w14:paraId="51CD4C8A">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发生事故时，要保证现场的事故处理设施和全厂的应急处 理系统能够紧急启动，并对事故产生的污染物进行有效的</w:t>
                  </w:r>
                </w:p>
              </w:tc>
            </w:tr>
            <w:tr w14:paraId="2CCF4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72491B83">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7</w:t>
                  </w:r>
                </w:p>
              </w:tc>
              <w:tc>
                <w:tcPr>
                  <w:tcW w:w="1849" w:type="dxa"/>
                  <w:vAlign w:val="center"/>
                </w:tcPr>
                <w:p w14:paraId="79B15956">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应急监测、防护措施、清除泄漏措施和器材</w:t>
                  </w:r>
                </w:p>
              </w:tc>
              <w:tc>
                <w:tcPr>
                  <w:tcW w:w="5776" w:type="dxa"/>
                  <w:vAlign w:val="center"/>
                </w:tcPr>
                <w:p w14:paraId="23BD360D">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设立必要地控制和清除污染的相应措施，如：水枪、及时 更换阀门、设置事故池等。事故发生时，要及时发现事故发生地点和环节，并利用已有的防护措施减少污染物的排放。</w:t>
                  </w:r>
                </w:p>
              </w:tc>
            </w:tr>
            <w:tr w14:paraId="32516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2655ABC1">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8</w:t>
                  </w:r>
                </w:p>
              </w:tc>
              <w:tc>
                <w:tcPr>
                  <w:tcW w:w="1849" w:type="dxa"/>
                  <w:vAlign w:val="center"/>
                </w:tcPr>
                <w:p w14:paraId="3FAAC93B">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人员积极撤离、疏散，应急剂量控制、撤离计划</w:t>
                  </w:r>
                </w:p>
              </w:tc>
              <w:tc>
                <w:tcPr>
                  <w:tcW w:w="5776" w:type="dxa"/>
                  <w:vAlign w:val="center"/>
                </w:tcPr>
                <w:p w14:paraId="15F6A62A">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事故发生时，通知下风向居民和企事业单位，以便于人群紧急疏散，减小污染物对周围人群人体健康的影响。及时通知公安、交通、消防等有关部门及时封闭受污染区域，减小事故影响范围。发生重大事故时，要通知周围居民和企业及时疏散。</w:t>
                  </w:r>
                </w:p>
              </w:tc>
            </w:tr>
            <w:tr w14:paraId="4F3AB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78326957">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9</w:t>
                  </w:r>
                </w:p>
              </w:tc>
              <w:tc>
                <w:tcPr>
                  <w:tcW w:w="1849" w:type="dxa"/>
                  <w:vAlign w:val="center"/>
                </w:tcPr>
                <w:p w14:paraId="41001F5F">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事故应急救援关闭程序和恢复措</w:t>
                  </w:r>
                </w:p>
                <w:p w14:paraId="3CC06796">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施</w:t>
                  </w:r>
                </w:p>
              </w:tc>
              <w:tc>
                <w:tcPr>
                  <w:tcW w:w="5776" w:type="dxa"/>
                  <w:vAlign w:val="center"/>
                </w:tcPr>
                <w:p w14:paraId="3C52CACC">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事故发生后，采取相应的应急处理，在环境监测部门对周围环境进行监测合格后，方可关闭应急程序，同时做好善后工作。</w:t>
                  </w:r>
                </w:p>
              </w:tc>
            </w:tr>
            <w:tr w14:paraId="605D7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1B8ED0E3">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10</w:t>
                  </w:r>
                </w:p>
              </w:tc>
              <w:tc>
                <w:tcPr>
                  <w:tcW w:w="1849" w:type="dxa"/>
                  <w:vAlign w:val="center"/>
                </w:tcPr>
                <w:p w14:paraId="50F04F48">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应急培训计划</w:t>
                  </w:r>
                </w:p>
              </w:tc>
              <w:tc>
                <w:tcPr>
                  <w:tcW w:w="5776" w:type="dxa"/>
                  <w:vAlign w:val="center"/>
                </w:tcPr>
                <w:p w14:paraId="2E1E6D8D">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企业要注意日产工作中对事故应急处理的培训，以提高职工的安全防范意识。</w:t>
                  </w:r>
                </w:p>
              </w:tc>
            </w:tr>
            <w:tr w14:paraId="57E74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7DEC9F2D">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11</w:t>
                  </w:r>
                </w:p>
              </w:tc>
              <w:tc>
                <w:tcPr>
                  <w:tcW w:w="1849" w:type="dxa"/>
                  <w:vAlign w:val="center"/>
                </w:tcPr>
                <w:p w14:paraId="79A3739C">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公众教育和信息</w:t>
                  </w:r>
                </w:p>
              </w:tc>
              <w:tc>
                <w:tcPr>
                  <w:tcW w:w="5776" w:type="dxa"/>
                  <w:vAlign w:val="center"/>
                </w:tcPr>
                <w:p w14:paraId="0E972807">
                  <w:pPr>
                    <w:pStyle w:val="46"/>
                    <w:framePr w:hSpace="0" w:wrap="auto" w:vAnchor="margin" w:hAnchor="text" w:xAlign="left" w:yAlign="inline"/>
                    <w:rPr>
                      <w:rFonts w:hint="default" w:ascii="Times New Roman" w:hAnsi="Times New Roman" w:cs="Times New Roman"/>
                    </w:rPr>
                  </w:pPr>
                  <w:r>
                    <w:rPr>
                      <w:rFonts w:hint="default" w:ascii="Times New Roman" w:hAnsi="Times New Roman" w:cs="Times New Roman"/>
                    </w:rPr>
                    <w:t>通过各种方式，对周围居民等进行事故防范宣传。</w:t>
                  </w:r>
                </w:p>
              </w:tc>
            </w:tr>
          </w:tbl>
          <w:p w14:paraId="5FA2EF66">
            <w:pPr>
              <w:pStyle w:val="37"/>
              <w:keepNext w:val="0"/>
              <w:keepLines w:val="0"/>
              <w:pageBreakBefore w:val="0"/>
              <w:kinsoku/>
              <w:wordWrap/>
              <w:overflowPunct/>
              <w:topLinePunct w:val="0"/>
              <w:autoSpaceDE/>
              <w:autoSpaceDN/>
              <w:bidi w:val="0"/>
              <w:adjustRightInd w:val="0"/>
              <w:snapToGrid w:val="0"/>
              <w:spacing w:line="460" w:lineRule="exact"/>
              <w:ind w:firstLine="0" w:firstLineChars="0"/>
              <w:textAlignment w:val="auto"/>
              <w:rPr>
                <w:rFonts w:hint="default" w:ascii="Times New Roman" w:hAnsi="Times New Roman" w:cs="Times New Roman"/>
                <w:b/>
                <w:bCs/>
              </w:rPr>
            </w:pPr>
            <w:r>
              <w:rPr>
                <w:rFonts w:hint="default" w:ascii="Times New Roman" w:hAnsi="Times New Roman" w:cs="Times New Roman"/>
                <w:b/>
                <w:bCs/>
              </w:rPr>
              <w:t>4.9 电磁辐射环境影响分析</w:t>
            </w:r>
          </w:p>
          <w:p w14:paraId="08C70D46">
            <w:pPr>
              <w:pStyle w:val="37"/>
              <w:keepNext w:val="0"/>
              <w:keepLines w:val="0"/>
              <w:pageBreakBefore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本项目不属于电磁辐射类项目，无电磁辐射污染，因此无需进行电磁辐射环境影响分析。</w:t>
            </w:r>
          </w:p>
          <w:p w14:paraId="5754FB83">
            <w:pPr>
              <w:keepNext w:val="0"/>
              <w:keepLines w:val="0"/>
              <w:pageBreakBefore w:val="0"/>
              <w:widowControl/>
              <w:kinsoku/>
              <w:wordWrap/>
              <w:overflowPunct/>
              <w:topLinePunct w:val="0"/>
              <w:autoSpaceDE/>
              <w:autoSpaceDN/>
              <w:bidi w:val="0"/>
              <w:adjustRightInd w:val="0"/>
              <w:snapToGrid w:val="0"/>
              <w:spacing w:line="460" w:lineRule="exact"/>
              <w:textAlignment w:val="auto"/>
              <w:rPr>
                <w:rFonts w:hint="default" w:ascii="Times New Roman" w:hAnsi="Times New Roman" w:cs="Times New Roman"/>
                <w:b/>
                <w:lang w:bidi="en-US"/>
              </w:rPr>
            </w:pPr>
            <w:r>
              <w:rPr>
                <w:rFonts w:hint="default" w:ascii="Times New Roman" w:hAnsi="Times New Roman" w:cs="Times New Roman" w:eastAsiaTheme="minorEastAsia"/>
                <w:b/>
                <w:lang w:bidi="en-US"/>
              </w:rPr>
              <w:t xml:space="preserve">4.10 </w:t>
            </w:r>
            <w:r>
              <w:rPr>
                <w:rFonts w:hint="default" w:ascii="Times New Roman" w:hAnsi="Times New Roman" w:cs="Times New Roman"/>
                <w:b/>
                <w:lang w:bidi="en-US"/>
              </w:rPr>
              <w:t>环保设施运行管理要求</w:t>
            </w:r>
          </w:p>
          <w:p w14:paraId="7241BC8F">
            <w:pPr>
              <w:keepNext w:val="0"/>
              <w:keepLines w:val="0"/>
              <w:pageBreakBefore w:val="0"/>
              <w:widowControl/>
              <w:kinsoku/>
              <w:wordWrap/>
              <w:overflowPunct/>
              <w:topLinePunct w:val="0"/>
              <w:autoSpaceDE/>
              <w:autoSpaceDN/>
              <w:bidi w:val="0"/>
              <w:adjustRightInd w:val="0"/>
              <w:snapToGrid w:val="0"/>
              <w:spacing w:line="460" w:lineRule="exact"/>
              <w:textAlignment w:val="auto"/>
              <w:rPr>
                <w:rFonts w:hint="default" w:ascii="Times New Roman" w:hAnsi="Times New Roman" w:cs="Times New Roman"/>
                <w:b/>
                <w:lang w:bidi="en-US"/>
              </w:rPr>
            </w:pPr>
            <w:r>
              <w:rPr>
                <w:rFonts w:hint="default" w:ascii="Times New Roman" w:hAnsi="Times New Roman" w:cs="Times New Roman"/>
                <w:b/>
                <w:lang w:bidi="en-US"/>
              </w:rPr>
              <w:t>4.10.1 废气</w:t>
            </w:r>
          </w:p>
          <w:p w14:paraId="5EEBB056">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1）环保设施应先于其对应的生产设施运转，后于对应设施关闭，保证在生产设施运行波动情况下仍能正常运转，实现达标排放。产生大气污染物的生产工艺和装置需设立局部或整体气体收集系统和净化处理装置，集气方向应与污染气流运动方向一致。</w:t>
            </w:r>
          </w:p>
          <w:p w14:paraId="12D8ACC9">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（2）废气收集系统的输送管道应密闭，在负压下运行。废气收集系统排风罩（集气罩）的设置应符合GB/T16758的规定。采用外部排风罩的，应按GB/T16758、AQ/T4274规定的方法测量控制风速。</w:t>
            </w:r>
          </w:p>
          <w:p w14:paraId="1D6950D2">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3）废气收集处理系统应与生产工艺设备同步运行。废气收集处理系统发生故障或检修时，对应的生产工艺设备应停止运行，待检修完毕后同步投入使用；生产工艺设备不能停止运行或不能及时停止运行的，应设置废气应急处理设施或采取其他替代措施。</w:t>
            </w:r>
          </w:p>
          <w:p w14:paraId="6C4E4BCC">
            <w:pPr>
              <w:keepNext w:val="0"/>
              <w:keepLines w:val="0"/>
              <w:pageBreakBefore w:val="0"/>
              <w:widowControl/>
              <w:kinsoku/>
              <w:wordWrap/>
              <w:overflowPunct/>
              <w:topLinePunct w:val="0"/>
              <w:autoSpaceDE/>
              <w:autoSpaceDN/>
              <w:bidi w:val="0"/>
              <w:adjustRightInd w:val="0"/>
              <w:snapToGrid w:val="0"/>
              <w:spacing w:line="460" w:lineRule="exact"/>
              <w:textAlignment w:val="auto"/>
              <w:rPr>
                <w:rFonts w:hint="default" w:ascii="Times New Roman" w:hAnsi="Times New Roman" w:cs="Times New Roman"/>
                <w:b/>
                <w:lang w:bidi="en-US"/>
              </w:rPr>
            </w:pPr>
            <w:r>
              <w:rPr>
                <w:rFonts w:hint="default" w:ascii="Times New Roman" w:hAnsi="Times New Roman" w:cs="Times New Roman"/>
                <w:b/>
                <w:lang w:bidi="en-US"/>
              </w:rPr>
              <w:t>4.10.2 废水</w:t>
            </w:r>
          </w:p>
          <w:p w14:paraId="12BEC434">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（1）应当按照相关法律法规、标准和技术规范等要求运行废水治理设施并进行维护和管理，保证设施运行正常，处理、排放水污染物符合国家或地方污染物排放标准的规定。</w:t>
            </w:r>
          </w:p>
          <w:p w14:paraId="3B79B25E">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（2）废水治理设施应在满足设计工况的条件下运行，并根据工艺要求，定期对设备、电气、自控仪表及构筑物进行检查维护，确保废水治理没施可靠运行。</w:t>
            </w:r>
          </w:p>
          <w:p w14:paraId="46BC91D2">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（3）做好排放口管控，正常情况下，厂区内除雨水排放口、废水总排放口外，不得设置其他未纳入监管的排放口。</w:t>
            </w:r>
          </w:p>
          <w:p w14:paraId="4B32FEAE">
            <w:pPr>
              <w:keepNext w:val="0"/>
              <w:keepLines w:val="0"/>
              <w:pageBreakBefore w:val="0"/>
              <w:widowControl/>
              <w:kinsoku/>
              <w:wordWrap/>
              <w:overflowPunct/>
              <w:topLinePunct w:val="0"/>
              <w:autoSpaceDE/>
              <w:autoSpaceDN/>
              <w:bidi w:val="0"/>
              <w:adjustRightInd w:val="0"/>
              <w:snapToGrid w:val="0"/>
              <w:spacing w:line="460" w:lineRule="exact"/>
              <w:textAlignment w:val="auto"/>
              <w:rPr>
                <w:rFonts w:hint="default" w:ascii="Times New Roman" w:hAnsi="Times New Roman" w:cs="Times New Roman"/>
                <w:b/>
                <w:lang w:bidi="en-US"/>
              </w:rPr>
            </w:pPr>
            <w:r>
              <w:rPr>
                <w:rFonts w:hint="default" w:ascii="Times New Roman" w:hAnsi="Times New Roman" w:cs="Times New Roman"/>
                <w:b/>
                <w:lang w:bidi="en-US"/>
              </w:rPr>
              <w:t>4.10.3 固体废物</w:t>
            </w:r>
          </w:p>
          <w:p w14:paraId="7E61276F">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（1）加强固体废物收集、贮存、利用、处置等各环节的环境管理,一般工业固体废物和危险废物暂存应采取措施有效防止有毒有害物质渗漏、流失和扬散。</w:t>
            </w:r>
          </w:p>
          <w:p w14:paraId="7032BF70">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（2）生产过程中产生的可自行利用的固体废物应尽可能进行综合利用，不能利用的固体废物按照法规标准进行处理处置。</w:t>
            </w:r>
          </w:p>
          <w:p w14:paraId="65E71E1A">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bCs/>
                <w:lang w:bidi="en-US"/>
              </w:rPr>
            </w:pPr>
            <w:r>
              <w:rPr>
                <w:rFonts w:hint="default" w:ascii="Times New Roman" w:hAnsi="Times New Roman" w:cs="Times New Roman"/>
                <w:bCs/>
                <w:lang w:bidi="en-US"/>
              </w:rPr>
              <w:t>（3）固体废物自行综合利用时，应采取有效措施防治二次污染。</w:t>
            </w:r>
          </w:p>
          <w:p w14:paraId="6E7AB35E">
            <w:pPr>
              <w:keepNext w:val="0"/>
              <w:keepLines w:val="0"/>
              <w:pageBreakBefore w:val="0"/>
              <w:widowControl/>
              <w:kinsoku/>
              <w:wordWrap/>
              <w:overflowPunct/>
              <w:topLinePunct w:val="0"/>
              <w:autoSpaceDE/>
              <w:autoSpaceDN/>
              <w:bidi w:val="0"/>
              <w:adjustRightInd w:val="0"/>
              <w:snapToGrid w:val="0"/>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bCs/>
              </w:rPr>
              <w:t>（4）危险废物应按照相关规定严格执行危险废物转移联单制度。</w:t>
            </w:r>
          </w:p>
          <w:p w14:paraId="74401AE0">
            <w:pPr>
              <w:pStyle w:val="37"/>
              <w:keepNext w:val="0"/>
              <w:keepLines w:val="0"/>
              <w:pageBreakBefore w:val="0"/>
              <w:kinsoku/>
              <w:wordWrap/>
              <w:overflowPunct/>
              <w:topLinePunct w:val="0"/>
              <w:autoSpaceDE/>
              <w:autoSpaceDN/>
              <w:bidi w:val="0"/>
              <w:adjustRightInd w:val="0"/>
              <w:snapToGrid w:val="0"/>
              <w:spacing w:line="460" w:lineRule="exact"/>
              <w:ind w:firstLine="0" w:firstLineChars="0"/>
              <w:textAlignment w:val="auto"/>
              <w:rPr>
                <w:rFonts w:hint="default" w:ascii="Times New Roman" w:hAnsi="Times New Roman" w:cs="Times New Roman"/>
                <w:b/>
                <w:bCs/>
              </w:rPr>
            </w:pPr>
            <w:r>
              <w:rPr>
                <w:rFonts w:hint="default" w:ascii="Times New Roman" w:hAnsi="Times New Roman" w:cs="Times New Roman"/>
                <w:b/>
                <w:bCs/>
              </w:rPr>
              <w:t>4.11 项目环保措施汇总及投资</w:t>
            </w:r>
          </w:p>
          <w:p w14:paraId="5A53FBC9">
            <w:pPr>
              <w:pStyle w:val="37"/>
              <w:keepNext w:val="0"/>
              <w:keepLines w:val="0"/>
              <w:pageBreakBefore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bCs/>
              </w:rPr>
            </w:pPr>
            <w:r>
              <w:rPr>
                <w:rFonts w:hint="default" w:ascii="Times New Roman" w:hAnsi="Times New Roman" w:cs="Times New Roman"/>
              </w:rPr>
              <w:t>本项目总投资4000万元，环保投资为19万元，占总投资的0.47%，环保投资估算详见下表：</w:t>
            </w:r>
          </w:p>
          <w:p w14:paraId="62EF23F6">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w:t>
            </w:r>
            <w:r>
              <w:rPr>
                <w:rFonts w:hint="eastAsia" w:cs="Times New Roman"/>
                <w:b/>
                <w:kern w:val="0"/>
                <w:sz w:val="21"/>
                <w:szCs w:val="22"/>
                <w:lang w:val="en-US" w:eastAsia="zh-CN"/>
              </w:rPr>
              <w:t>30</w:t>
            </w:r>
            <w:r>
              <w:rPr>
                <w:rFonts w:hint="default" w:ascii="Times New Roman" w:hAnsi="Times New Roman" w:cs="Times New Roman"/>
                <w:b/>
                <w:kern w:val="0"/>
                <w:sz w:val="21"/>
                <w:szCs w:val="22"/>
              </w:rPr>
              <w:t xml:space="preserve"> 环保投资一览表</w:t>
            </w:r>
          </w:p>
          <w:tbl>
            <w:tblPr>
              <w:tblStyle w:val="32"/>
              <w:tblW w:w="79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96"/>
              <w:gridCol w:w="2109"/>
              <w:gridCol w:w="3156"/>
              <w:gridCol w:w="1491"/>
            </w:tblGrid>
            <w:tr w14:paraId="54CBD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Align w:val="center"/>
                </w:tcPr>
                <w:p w14:paraId="0B437B52">
                  <w:pPr>
                    <w:pStyle w:val="38"/>
                    <w:framePr w:hSpace="0" w:wrap="auto" w:vAnchor="margin" w:hAnchor="text" w:xAlign="left" w:yAlign="inline"/>
                    <w:rPr>
                      <w:rFonts w:cs="Times New Roman"/>
                      <w:b/>
                      <w:bCs/>
                      <w:sz w:val="21"/>
                      <w:szCs w:val="21"/>
                    </w:rPr>
                  </w:pPr>
                  <w:r>
                    <w:rPr>
                      <w:rFonts w:cs="Times New Roman"/>
                      <w:b/>
                      <w:bCs/>
                      <w:sz w:val="21"/>
                      <w:szCs w:val="21"/>
                    </w:rPr>
                    <w:t>类别</w:t>
                  </w:r>
                </w:p>
              </w:tc>
              <w:tc>
                <w:tcPr>
                  <w:tcW w:w="2109" w:type="dxa"/>
                  <w:vAlign w:val="center"/>
                </w:tcPr>
                <w:p w14:paraId="36DEC24B">
                  <w:pPr>
                    <w:pStyle w:val="38"/>
                    <w:framePr w:hSpace="0" w:wrap="auto" w:vAnchor="margin" w:hAnchor="text" w:xAlign="left" w:yAlign="inline"/>
                    <w:rPr>
                      <w:rFonts w:cs="Times New Roman"/>
                      <w:b/>
                      <w:bCs/>
                      <w:sz w:val="21"/>
                      <w:szCs w:val="21"/>
                    </w:rPr>
                  </w:pPr>
                  <w:r>
                    <w:rPr>
                      <w:rFonts w:cs="Times New Roman"/>
                      <w:b/>
                      <w:bCs/>
                      <w:sz w:val="21"/>
                      <w:szCs w:val="21"/>
                    </w:rPr>
                    <w:t>污染物</w:t>
                  </w:r>
                </w:p>
              </w:tc>
              <w:tc>
                <w:tcPr>
                  <w:tcW w:w="3156" w:type="dxa"/>
                  <w:vAlign w:val="center"/>
                </w:tcPr>
                <w:p w14:paraId="1AD0985B">
                  <w:pPr>
                    <w:pStyle w:val="38"/>
                    <w:framePr w:hSpace="0" w:wrap="auto" w:vAnchor="margin" w:hAnchor="text" w:xAlign="left" w:yAlign="inline"/>
                    <w:rPr>
                      <w:rFonts w:cs="Times New Roman"/>
                      <w:b/>
                      <w:bCs/>
                      <w:sz w:val="21"/>
                      <w:szCs w:val="21"/>
                    </w:rPr>
                  </w:pPr>
                  <w:r>
                    <w:rPr>
                      <w:rFonts w:cs="Times New Roman"/>
                      <w:b/>
                      <w:bCs/>
                      <w:sz w:val="21"/>
                      <w:szCs w:val="21"/>
                    </w:rPr>
                    <w:t>环保投资内容</w:t>
                  </w:r>
                </w:p>
              </w:tc>
              <w:tc>
                <w:tcPr>
                  <w:tcW w:w="1491" w:type="dxa"/>
                  <w:vAlign w:val="center"/>
                </w:tcPr>
                <w:p w14:paraId="4F719E1E">
                  <w:pPr>
                    <w:pStyle w:val="38"/>
                    <w:framePr w:hSpace="0" w:wrap="auto" w:vAnchor="margin" w:hAnchor="text" w:xAlign="left" w:yAlign="inline"/>
                    <w:rPr>
                      <w:rFonts w:cs="Times New Roman"/>
                      <w:b/>
                      <w:bCs/>
                      <w:sz w:val="21"/>
                      <w:szCs w:val="21"/>
                    </w:rPr>
                  </w:pPr>
                  <w:r>
                    <w:rPr>
                      <w:rFonts w:cs="Times New Roman"/>
                      <w:b/>
                      <w:bCs/>
                      <w:sz w:val="21"/>
                      <w:szCs w:val="21"/>
                    </w:rPr>
                    <w:t>投资额（万元）</w:t>
                  </w:r>
                </w:p>
              </w:tc>
            </w:tr>
            <w:tr w14:paraId="6BC26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Align w:val="center"/>
                </w:tcPr>
                <w:p w14:paraId="2AA5A4B3">
                  <w:pPr>
                    <w:pStyle w:val="38"/>
                    <w:framePr w:hSpace="0" w:wrap="auto" w:vAnchor="margin" w:hAnchor="text" w:xAlign="left" w:yAlign="inline"/>
                    <w:rPr>
                      <w:rFonts w:cs="Times New Roman"/>
                      <w:sz w:val="21"/>
                      <w:szCs w:val="21"/>
                    </w:rPr>
                  </w:pPr>
                  <w:r>
                    <w:rPr>
                      <w:rFonts w:cs="Times New Roman"/>
                      <w:sz w:val="21"/>
                      <w:szCs w:val="21"/>
                    </w:rPr>
                    <w:t>废气治理</w:t>
                  </w:r>
                </w:p>
              </w:tc>
              <w:tc>
                <w:tcPr>
                  <w:tcW w:w="2109" w:type="dxa"/>
                  <w:vAlign w:val="center"/>
                </w:tcPr>
                <w:p w14:paraId="2FAC3674">
                  <w:pPr>
                    <w:pStyle w:val="38"/>
                    <w:framePr w:hSpace="0" w:wrap="auto" w:vAnchor="margin" w:hAnchor="text" w:xAlign="left" w:yAlign="inline"/>
                    <w:rPr>
                      <w:rFonts w:cs="Times New Roman"/>
                      <w:sz w:val="21"/>
                      <w:szCs w:val="21"/>
                    </w:rPr>
                  </w:pPr>
                  <w:r>
                    <w:rPr>
                      <w:rFonts w:cs="Times New Roman"/>
                      <w:sz w:val="21"/>
                      <w:szCs w:val="21"/>
                    </w:rPr>
                    <w:t>印刷废气</w:t>
                  </w:r>
                </w:p>
              </w:tc>
              <w:tc>
                <w:tcPr>
                  <w:tcW w:w="3156" w:type="dxa"/>
                  <w:vAlign w:val="center"/>
                </w:tcPr>
                <w:p w14:paraId="7CB1C84B">
                  <w:pPr>
                    <w:pStyle w:val="38"/>
                    <w:framePr w:hSpace="0" w:wrap="auto" w:vAnchor="margin" w:hAnchor="text" w:xAlign="left" w:yAlign="inline"/>
                    <w:rPr>
                      <w:rFonts w:cs="Times New Roman"/>
                      <w:sz w:val="21"/>
                      <w:szCs w:val="21"/>
                      <w:lang w:val="en-US"/>
                    </w:rPr>
                  </w:pPr>
                  <w:r>
                    <w:rPr>
                      <w:rFonts w:cs="Times New Roman"/>
                      <w:sz w:val="21"/>
                      <w:szCs w:val="21"/>
                    </w:rPr>
                    <w:t>集气罩</w:t>
                  </w:r>
                  <w:r>
                    <w:rPr>
                      <w:rFonts w:cs="Times New Roman"/>
                      <w:sz w:val="21"/>
                      <w:szCs w:val="21"/>
                      <w:lang w:val="en-US"/>
                    </w:rPr>
                    <w:t>+二级活性炭装置+15m高排气筒</w:t>
                  </w:r>
                </w:p>
              </w:tc>
              <w:tc>
                <w:tcPr>
                  <w:tcW w:w="1491" w:type="dxa"/>
                  <w:vAlign w:val="center"/>
                </w:tcPr>
                <w:p w14:paraId="4B5DE260">
                  <w:pPr>
                    <w:pStyle w:val="38"/>
                    <w:framePr w:hSpace="0" w:wrap="auto" w:vAnchor="margin" w:hAnchor="text" w:xAlign="left" w:yAlign="inline"/>
                    <w:rPr>
                      <w:rFonts w:cs="Times New Roman"/>
                      <w:sz w:val="21"/>
                      <w:szCs w:val="21"/>
                      <w:lang w:val="en-US"/>
                    </w:rPr>
                  </w:pPr>
                  <w:r>
                    <w:rPr>
                      <w:rFonts w:cs="Times New Roman"/>
                      <w:sz w:val="21"/>
                      <w:szCs w:val="21"/>
                      <w:lang w:val="en-US"/>
                    </w:rPr>
                    <w:t>10</w:t>
                  </w:r>
                </w:p>
              </w:tc>
            </w:tr>
            <w:tr w14:paraId="0C3D4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Align w:val="center"/>
                </w:tcPr>
                <w:p w14:paraId="1B7F6565">
                  <w:pPr>
                    <w:pStyle w:val="38"/>
                    <w:framePr w:hSpace="0" w:wrap="auto" w:vAnchor="margin" w:hAnchor="text" w:xAlign="left" w:yAlign="inline"/>
                    <w:rPr>
                      <w:rFonts w:cs="Times New Roman"/>
                      <w:sz w:val="21"/>
                      <w:szCs w:val="21"/>
                    </w:rPr>
                  </w:pPr>
                  <w:r>
                    <w:rPr>
                      <w:rFonts w:cs="Times New Roman"/>
                      <w:sz w:val="21"/>
                      <w:szCs w:val="21"/>
                    </w:rPr>
                    <w:t>废水治理</w:t>
                  </w:r>
                </w:p>
              </w:tc>
              <w:tc>
                <w:tcPr>
                  <w:tcW w:w="2109" w:type="dxa"/>
                  <w:vAlign w:val="center"/>
                </w:tcPr>
                <w:p w14:paraId="01618A78">
                  <w:pPr>
                    <w:pStyle w:val="38"/>
                    <w:framePr w:hSpace="0" w:wrap="auto" w:vAnchor="margin" w:hAnchor="text" w:xAlign="left" w:yAlign="inline"/>
                    <w:rPr>
                      <w:rFonts w:cs="Times New Roman"/>
                      <w:sz w:val="21"/>
                      <w:szCs w:val="21"/>
                    </w:rPr>
                  </w:pPr>
                  <w:r>
                    <w:rPr>
                      <w:rFonts w:cs="Times New Roman"/>
                      <w:sz w:val="21"/>
                      <w:szCs w:val="21"/>
                    </w:rPr>
                    <w:t>生活污水</w:t>
                  </w:r>
                </w:p>
              </w:tc>
              <w:tc>
                <w:tcPr>
                  <w:tcW w:w="3156" w:type="dxa"/>
                  <w:vAlign w:val="center"/>
                </w:tcPr>
                <w:p w14:paraId="1609C89B">
                  <w:pPr>
                    <w:pStyle w:val="38"/>
                    <w:framePr w:hSpace="0" w:wrap="auto" w:vAnchor="margin" w:hAnchor="text" w:xAlign="left" w:yAlign="inline"/>
                    <w:rPr>
                      <w:rFonts w:cs="Times New Roman"/>
                      <w:sz w:val="21"/>
                      <w:szCs w:val="21"/>
                    </w:rPr>
                  </w:pPr>
                  <w:r>
                    <w:rPr>
                      <w:rFonts w:cs="Times New Roman"/>
                      <w:sz w:val="21"/>
                      <w:szCs w:val="21"/>
                    </w:rPr>
                    <w:t>依托园区化粪池处理</w:t>
                  </w:r>
                </w:p>
              </w:tc>
              <w:tc>
                <w:tcPr>
                  <w:tcW w:w="1491" w:type="dxa"/>
                  <w:vAlign w:val="center"/>
                </w:tcPr>
                <w:p w14:paraId="10619FD4">
                  <w:pPr>
                    <w:pStyle w:val="38"/>
                    <w:framePr w:hSpace="0" w:wrap="auto" w:vAnchor="margin" w:hAnchor="text" w:xAlign="left" w:yAlign="inline"/>
                    <w:rPr>
                      <w:rFonts w:cs="Times New Roman"/>
                      <w:sz w:val="21"/>
                      <w:szCs w:val="21"/>
                    </w:rPr>
                  </w:pPr>
                  <w:r>
                    <w:rPr>
                      <w:rFonts w:cs="Times New Roman"/>
                      <w:sz w:val="21"/>
                      <w:szCs w:val="21"/>
                    </w:rPr>
                    <w:t>0</w:t>
                  </w:r>
                </w:p>
              </w:tc>
            </w:tr>
            <w:tr w14:paraId="62A8A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Align w:val="center"/>
                </w:tcPr>
                <w:p w14:paraId="26943630">
                  <w:pPr>
                    <w:pStyle w:val="38"/>
                    <w:framePr w:hSpace="0" w:wrap="auto" w:vAnchor="margin" w:hAnchor="text" w:xAlign="left" w:yAlign="inline"/>
                    <w:rPr>
                      <w:rFonts w:cs="Times New Roman"/>
                      <w:sz w:val="21"/>
                      <w:szCs w:val="21"/>
                    </w:rPr>
                  </w:pPr>
                  <w:r>
                    <w:rPr>
                      <w:rFonts w:cs="Times New Roman"/>
                      <w:sz w:val="21"/>
                      <w:szCs w:val="21"/>
                    </w:rPr>
                    <w:t>噪声治理</w:t>
                  </w:r>
                </w:p>
              </w:tc>
              <w:tc>
                <w:tcPr>
                  <w:tcW w:w="2109" w:type="dxa"/>
                  <w:vAlign w:val="center"/>
                </w:tcPr>
                <w:p w14:paraId="1EEFA9EA">
                  <w:pPr>
                    <w:pStyle w:val="38"/>
                    <w:framePr w:hSpace="0" w:wrap="auto" w:vAnchor="margin" w:hAnchor="text" w:xAlign="left" w:yAlign="inline"/>
                    <w:rPr>
                      <w:rFonts w:cs="Times New Roman"/>
                      <w:sz w:val="21"/>
                      <w:szCs w:val="21"/>
                    </w:rPr>
                  </w:pPr>
                  <w:r>
                    <w:rPr>
                      <w:rFonts w:cs="Times New Roman"/>
                      <w:sz w:val="21"/>
                      <w:szCs w:val="21"/>
                    </w:rPr>
                    <w:t>噪声</w:t>
                  </w:r>
                </w:p>
              </w:tc>
              <w:tc>
                <w:tcPr>
                  <w:tcW w:w="3156" w:type="dxa"/>
                  <w:vAlign w:val="center"/>
                </w:tcPr>
                <w:p w14:paraId="6B56495D">
                  <w:pPr>
                    <w:pStyle w:val="38"/>
                    <w:framePr w:hSpace="0" w:wrap="auto" w:vAnchor="margin" w:hAnchor="text" w:xAlign="left" w:yAlign="inline"/>
                    <w:rPr>
                      <w:rFonts w:cs="Times New Roman"/>
                      <w:sz w:val="21"/>
                      <w:szCs w:val="21"/>
                    </w:rPr>
                  </w:pPr>
                  <w:r>
                    <w:rPr>
                      <w:rFonts w:cs="Times New Roman"/>
                      <w:sz w:val="21"/>
                      <w:szCs w:val="21"/>
                    </w:rPr>
                    <w:t>降噪设施、隔振措施</w:t>
                  </w:r>
                </w:p>
              </w:tc>
              <w:tc>
                <w:tcPr>
                  <w:tcW w:w="1491" w:type="dxa"/>
                  <w:vAlign w:val="center"/>
                </w:tcPr>
                <w:p w14:paraId="684964B0">
                  <w:pPr>
                    <w:pStyle w:val="38"/>
                    <w:framePr w:hSpace="0" w:wrap="auto" w:vAnchor="margin" w:hAnchor="text" w:xAlign="left" w:yAlign="inline"/>
                    <w:rPr>
                      <w:rFonts w:cs="Times New Roman"/>
                      <w:sz w:val="21"/>
                      <w:szCs w:val="21"/>
                      <w:lang w:val="en-US"/>
                    </w:rPr>
                  </w:pPr>
                  <w:r>
                    <w:rPr>
                      <w:rFonts w:cs="Times New Roman"/>
                      <w:sz w:val="21"/>
                      <w:szCs w:val="21"/>
                      <w:lang w:val="en-US"/>
                    </w:rPr>
                    <w:t>3</w:t>
                  </w:r>
                </w:p>
              </w:tc>
            </w:tr>
            <w:tr w14:paraId="6DD64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8" w:hRule="atLeast"/>
                <w:jc w:val="center"/>
              </w:trPr>
              <w:tc>
                <w:tcPr>
                  <w:tcW w:w="1196" w:type="dxa"/>
                  <w:vMerge w:val="restart"/>
                  <w:vAlign w:val="center"/>
                </w:tcPr>
                <w:p w14:paraId="7BD1A93B">
                  <w:pPr>
                    <w:pStyle w:val="38"/>
                    <w:framePr w:hSpace="0" w:wrap="auto" w:vAnchor="margin" w:hAnchor="text" w:xAlign="left" w:yAlign="inline"/>
                    <w:rPr>
                      <w:rFonts w:cs="Times New Roman"/>
                      <w:sz w:val="21"/>
                      <w:szCs w:val="21"/>
                    </w:rPr>
                  </w:pPr>
                  <w:r>
                    <w:rPr>
                      <w:rFonts w:cs="Times New Roman"/>
                      <w:sz w:val="21"/>
                      <w:szCs w:val="21"/>
                    </w:rPr>
                    <w:t>固废</w:t>
                  </w:r>
                </w:p>
              </w:tc>
              <w:tc>
                <w:tcPr>
                  <w:tcW w:w="2109" w:type="dxa"/>
                  <w:shd w:val="clear" w:color="auto" w:fill="auto"/>
                  <w:vAlign w:val="center"/>
                </w:tcPr>
                <w:p w14:paraId="35563D63">
                  <w:pPr>
                    <w:pStyle w:val="29"/>
                    <w:rPr>
                      <w:kern w:val="2"/>
                      <w:sz w:val="21"/>
                      <w:szCs w:val="21"/>
                    </w:rPr>
                  </w:pPr>
                  <w:r>
                    <w:rPr>
                      <w:sz w:val="21"/>
                      <w:szCs w:val="21"/>
                    </w:rPr>
                    <w:t>废边角料、不合格品</w:t>
                  </w:r>
                </w:p>
              </w:tc>
              <w:tc>
                <w:tcPr>
                  <w:tcW w:w="3156" w:type="dxa"/>
                  <w:vMerge w:val="restart"/>
                  <w:vAlign w:val="center"/>
                </w:tcPr>
                <w:p w14:paraId="3D83C591">
                  <w:pPr>
                    <w:pStyle w:val="38"/>
                    <w:framePr w:hSpace="0" w:wrap="auto" w:vAnchor="margin" w:hAnchor="text" w:xAlign="left" w:yAlign="inline"/>
                    <w:rPr>
                      <w:rFonts w:cs="Times New Roman"/>
                      <w:sz w:val="21"/>
                      <w:szCs w:val="21"/>
                    </w:rPr>
                  </w:pPr>
                  <w:r>
                    <w:rPr>
                      <w:rFonts w:hint="default" w:cs="Times New Roman"/>
                      <w:sz w:val="21"/>
                      <w:szCs w:val="21"/>
                      <w:lang w:eastAsia="zh-CN"/>
                    </w:rPr>
                    <w:t>一般固体废物暂存库暂存后</w:t>
                  </w:r>
                  <w:r>
                    <w:rPr>
                      <w:rFonts w:cs="Times New Roman"/>
                      <w:sz w:val="21"/>
                      <w:szCs w:val="21"/>
                    </w:rPr>
                    <w:t>外售给物资回收公司</w:t>
                  </w:r>
                </w:p>
              </w:tc>
              <w:tc>
                <w:tcPr>
                  <w:tcW w:w="1491" w:type="dxa"/>
                  <w:vMerge w:val="restart"/>
                  <w:vAlign w:val="center"/>
                </w:tcPr>
                <w:p w14:paraId="1CAE82A2">
                  <w:pPr>
                    <w:pStyle w:val="38"/>
                    <w:framePr w:hSpace="0" w:wrap="auto" w:vAnchor="margin" w:hAnchor="text" w:xAlign="left" w:yAlign="inline"/>
                    <w:rPr>
                      <w:rFonts w:cs="Times New Roman"/>
                      <w:sz w:val="21"/>
                      <w:szCs w:val="21"/>
                    </w:rPr>
                  </w:pPr>
                  <w:r>
                    <w:rPr>
                      <w:rFonts w:cs="Times New Roman"/>
                      <w:sz w:val="21"/>
                      <w:szCs w:val="21"/>
                      <w:lang w:val="en-US"/>
                    </w:rPr>
                    <w:t>6</w:t>
                  </w:r>
                </w:p>
              </w:tc>
            </w:tr>
            <w:tr w14:paraId="5364B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51961EAA">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0723407E">
                  <w:pPr>
                    <w:pStyle w:val="29"/>
                    <w:rPr>
                      <w:kern w:val="2"/>
                      <w:sz w:val="21"/>
                      <w:szCs w:val="21"/>
                    </w:rPr>
                  </w:pPr>
                  <w:r>
                    <w:rPr>
                      <w:sz w:val="21"/>
                      <w:szCs w:val="21"/>
                    </w:rPr>
                    <w:t>废玉米粉包装袋</w:t>
                  </w:r>
                </w:p>
              </w:tc>
              <w:tc>
                <w:tcPr>
                  <w:tcW w:w="3156" w:type="dxa"/>
                  <w:vMerge w:val="continue"/>
                  <w:vAlign w:val="center"/>
                </w:tcPr>
                <w:p w14:paraId="6E6DE85A">
                  <w:pPr>
                    <w:pStyle w:val="38"/>
                    <w:framePr w:hSpace="0" w:wrap="auto" w:vAnchor="margin" w:hAnchor="text" w:xAlign="left" w:yAlign="inline"/>
                    <w:rPr>
                      <w:rFonts w:cs="Times New Roman"/>
                      <w:sz w:val="21"/>
                      <w:szCs w:val="21"/>
                    </w:rPr>
                  </w:pPr>
                </w:p>
              </w:tc>
              <w:tc>
                <w:tcPr>
                  <w:tcW w:w="1491" w:type="dxa"/>
                  <w:vMerge w:val="continue"/>
                  <w:vAlign w:val="center"/>
                </w:tcPr>
                <w:p w14:paraId="0977C8F3">
                  <w:pPr>
                    <w:pStyle w:val="38"/>
                    <w:framePr w:hSpace="0" w:wrap="auto" w:vAnchor="margin" w:hAnchor="text" w:xAlign="left" w:yAlign="inline"/>
                    <w:rPr>
                      <w:rFonts w:cs="Times New Roman"/>
                      <w:sz w:val="21"/>
                      <w:szCs w:val="21"/>
                      <w:lang w:val="en-US"/>
                    </w:rPr>
                  </w:pPr>
                </w:p>
              </w:tc>
            </w:tr>
            <w:tr w14:paraId="3AC4E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59B3296D">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494918EF">
                  <w:pPr>
                    <w:pStyle w:val="29"/>
                    <w:rPr>
                      <w:kern w:val="2"/>
                      <w:sz w:val="21"/>
                      <w:szCs w:val="21"/>
                    </w:rPr>
                  </w:pPr>
                  <w:r>
                    <w:rPr>
                      <w:sz w:val="21"/>
                      <w:szCs w:val="21"/>
                    </w:rPr>
                    <w:t>废扁丝</w:t>
                  </w:r>
                </w:p>
              </w:tc>
              <w:tc>
                <w:tcPr>
                  <w:tcW w:w="3156" w:type="dxa"/>
                  <w:vMerge w:val="continue"/>
                  <w:vAlign w:val="center"/>
                </w:tcPr>
                <w:p w14:paraId="144E569A">
                  <w:pPr>
                    <w:pStyle w:val="38"/>
                    <w:framePr w:hSpace="0" w:wrap="auto" w:vAnchor="margin" w:hAnchor="text" w:xAlign="left" w:yAlign="inline"/>
                    <w:rPr>
                      <w:rFonts w:cs="Times New Roman"/>
                      <w:sz w:val="21"/>
                      <w:szCs w:val="21"/>
                    </w:rPr>
                  </w:pPr>
                </w:p>
              </w:tc>
              <w:tc>
                <w:tcPr>
                  <w:tcW w:w="1491" w:type="dxa"/>
                  <w:vMerge w:val="continue"/>
                  <w:vAlign w:val="center"/>
                </w:tcPr>
                <w:p w14:paraId="1C5D1A41">
                  <w:pPr>
                    <w:pStyle w:val="38"/>
                    <w:framePr w:hSpace="0" w:wrap="auto" w:vAnchor="margin" w:hAnchor="text" w:xAlign="left" w:yAlign="inline"/>
                    <w:rPr>
                      <w:rFonts w:cs="Times New Roman"/>
                      <w:sz w:val="21"/>
                      <w:szCs w:val="21"/>
                      <w:lang w:val="en-US"/>
                    </w:rPr>
                  </w:pPr>
                </w:p>
              </w:tc>
            </w:tr>
            <w:tr w14:paraId="0EF4F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2FE98847">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2D1DCF14">
                  <w:pPr>
                    <w:pStyle w:val="29"/>
                    <w:rPr>
                      <w:kern w:val="2"/>
                      <w:sz w:val="21"/>
                      <w:szCs w:val="21"/>
                    </w:rPr>
                  </w:pPr>
                  <w:r>
                    <w:rPr>
                      <w:sz w:val="21"/>
                      <w:szCs w:val="21"/>
                    </w:rPr>
                    <w:t>生活垃圾</w:t>
                  </w:r>
                </w:p>
              </w:tc>
              <w:tc>
                <w:tcPr>
                  <w:tcW w:w="3156" w:type="dxa"/>
                  <w:vAlign w:val="center"/>
                </w:tcPr>
                <w:p w14:paraId="6B9E1073">
                  <w:pPr>
                    <w:pStyle w:val="38"/>
                    <w:framePr w:hSpace="0" w:wrap="auto" w:vAnchor="margin" w:hAnchor="text" w:xAlign="left" w:yAlign="inline"/>
                    <w:rPr>
                      <w:rFonts w:cs="Times New Roman"/>
                      <w:sz w:val="21"/>
                      <w:szCs w:val="21"/>
                    </w:rPr>
                  </w:pPr>
                  <w:r>
                    <w:rPr>
                      <w:rFonts w:cs="Times New Roman"/>
                      <w:sz w:val="21"/>
                      <w:szCs w:val="21"/>
                    </w:rPr>
                    <w:t>由环卫部门统一清理</w:t>
                  </w:r>
                </w:p>
              </w:tc>
              <w:tc>
                <w:tcPr>
                  <w:tcW w:w="1491" w:type="dxa"/>
                  <w:vMerge w:val="continue"/>
                  <w:vAlign w:val="center"/>
                </w:tcPr>
                <w:p w14:paraId="29E9F1FB">
                  <w:pPr>
                    <w:pStyle w:val="38"/>
                    <w:framePr w:hSpace="0" w:wrap="auto" w:vAnchor="margin" w:hAnchor="text" w:xAlign="left" w:yAlign="inline"/>
                    <w:rPr>
                      <w:rFonts w:cs="Times New Roman"/>
                      <w:sz w:val="21"/>
                      <w:szCs w:val="21"/>
                      <w:lang w:val="en-US"/>
                    </w:rPr>
                  </w:pPr>
                </w:p>
              </w:tc>
            </w:tr>
            <w:tr w14:paraId="55B0A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6743BBE3">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2C8BD925">
                  <w:pPr>
                    <w:pStyle w:val="29"/>
                    <w:rPr>
                      <w:kern w:val="2"/>
                      <w:sz w:val="21"/>
                      <w:szCs w:val="21"/>
                    </w:rPr>
                  </w:pPr>
                  <w:r>
                    <w:rPr>
                      <w:sz w:val="21"/>
                      <w:szCs w:val="21"/>
                    </w:rPr>
                    <w:t>废包装桶</w:t>
                  </w:r>
                </w:p>
              </w:tc>
              <w:tc>
                <w:tcPr>
                  <w:tcW w:w="3156" w:type="dxa"/>
                  <w:vMerge w:val="restart"/>
                  <w:vAlign w:val="center"/>
                </w:tcPr>
                <w:p w14:paraId="0C162694">
                  <w:pPr>
                    <w:pStyle w:val="38"/>
                    <w:framePr w:hSpace="0" w:wrap="auto" w:vAnchor="margin" w:hAnchor="text" w:xAlign="left" w:yAlign="inline"/>
                    <w:rPr>
                      <w:rFonts w:cs="Times New Roman"/>
                      <w:sz w:val="21"/>
                      <w:szCs w:val="21"/>
                    </w:rPr>
                  </w:pPr>
                  <w:r>
                    <w:rPr>
                      <w:rFonts w:cs="Times New Roman"/>
                      <w:sz w:val="21"/>
                      <w:szCs w:val="21"/>
                    </w:rPr>
                    <w:t>设置10m</w:t>
                  </w:r>
                  <w:r>
                    <w:rPr>
                      <w:rFonts w:cs="Times New Roman"/>
                      <w:sz w:val="21"/>
                      <w:szCs w:val="21"/>
                      <w:vertAlign w:val="superscript"/>
                    </w:rPr>
                    <w:t>2</w:t>
                  </w:r>
                  <w:r>
                    <w:rPr>
                      <w:rFonts w:cs="Times New Roman"/>
                      <w:sz w:val="21"/>
                      <w:szCs w:val="21"/>
                    </w:rPr>
                    <w:t>危废暂存间暂存，并委托有危废处理资质的单位处置。</w:t>
                  </w:r>
                </w:p>
              </w:tc>
              <w:tc>
                <w:tcPr>
                  <w:tcW w:w="1491" w:type="dxa"/>
                  <w:vMerge w:val="continue"/>
                  <w:vAlign w:val="center"/>
                </w:tcPr>
                <w:p w14:paraId="48D2AFD7">
                  <w:pPr>
                    <w:pStyle w:val="38"/>
                    <w:framePr w:hSpace="0" w:wrap="auto" w:vAnchor="margin" w:hAnchor="text" w:xAlign="left" w:yAlign="inline"/>
                    <w:rPr>
                      <w:rFonts w:cs="Times New Roman"/>
                      <w:sz w:val="21"/>
                      <w:szCs w:val="21"/>
                      <w:lang w:val="en-US"/>
                    </w:rPr>
                  </w:pPr>
                </w:p>
              </w:tc>
            </w:tr>
            <w:tr w14:paraId="42A48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761639AD">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4DAF996F">
                  <w:pPr>
                    <w:pStyle w:val="29"/>
                    <w:rPr>
                      <w:kern w:val="2"/>
                      <w:sz w:val="21"/>
                      <w:szCs w:val="21"/>
                    </w:rPr>
                  </w:pPr>
                  <w:r>
                    <w:rPr>
                      <w:sz w:val="21"/>
                      <w:szCs w:val="21"/>
                    </w:rPr>
                    <w:t>设备清洗废液</w:t>
                  </w:r>
                </w:p>
              </w:tc>
              <w:tc>
                <w:tcPr>
                  <w:tcW w:w="3156" w:type="dxa"/>
                  <w:vMerge w:val="continue"/>
                  <w:vAlign w:val="center"/>
                </w:tcPr>
                <w:p w14:paraId="649E0D44">
                  <w:pPr>
                    <w:pStyle w:val="38"/>
                    <w:framePr w:hSpace="0" w:wrap="auto" w:vAnchor="margin" w:hAnchor="text" w:xAlign="left" w:yAlign="inline"/>
                    <w:rPr>
                      <w:rFonts w:cs="Times New Roman"/>
                      <w:sz w:val="21"/>
                      <w:szCs w:val="21"/>
                    </w:rPr>
                  </w:pPr>
                </w:p>
              </w:tc>
              <w:tc>
                <w:tcPr>
                  <w:tcW w:w="1491" w:type="dxa"/>
                  <w:vMerge w:val="continue"/>
                  <w:vAlign w:val="center"/>
                </w:tcPr>
                <w:p w14:paraId="1E6FD0A8">
                  <w:pPr>
                    <w:pStyle w:val="38"/>
                    <w:framePr w:hSpace="0" w:wrap="auto" w:vAnchor="margin" w:hAnchor="text" w:xAlign="left" w:yAlign="inline"/>
                    <w:rPr>
                      <w:rFonts w:cs="Times New Roman"/>
                      <w:sz w:val="21"/>
                      <w:szCs w:val="21"/>
                      <w:lang w:val="en-US"/>
                    </w:rPr>
                  </w:pPr>
                </w:p>
              </w:tc>
            </w:tr>
            <w:tr w14:paraId="72046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3CCA16E1">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2FDC78CD">
                  <w:pPr>
                    <w:pStyle w:val="29"/>
                    <w:rPr>
                      <w:kern w:val="2"/>
                      <w:sz w:val="21"/>
                      <w:szCs w:val="21"/>
                    </w:rPr>
                  </w:pPr>
                  <w:r>
                    <w:rPr>
                      <w:sz w:val="21"/>
                      <w:szCs w:val="21"/>
                    </w:rPr>
                    <w:t>废含油抹布、手套</w:t>
                  </w:r>
                </w:p>
              </w:tc>
              <w:tc>
                <w:tcPr>
                  <w:tcW w:w="3156" w:type="dxa"/>
                  <w:vMerge w:val="continue"/>
                  <w:vAlign w:val="center"/>
                </w:tcPr>
                <w:p w14:paraId="381319C1">
                  <w:pPr>
                    <w:pStyle w:val="38"/>
                    <w:framePr w:hSpace="0" w:wrap="auto" w:vAnchor="margin" w:hAnchor="text" w:xAlign="left" w:yAlign="inline"/>
                    <w:rPr>
                      <w:rFonts w:cs="Times New Roman"/>
                      <w:sz w:val="21"/>
                      <w:szCs w:val="21"/>
                    </w:rPr>
                  </w:pPr>
                </w:p>
              </w:tc>
              <w:tc>
                <w:tcPr>
                  <w:tcW w:w="1491" w:type="dxa"/>
                  <w:vMerge w:val="continue"/>
                  <w:vAlign w:val="center"/>
                </w:tcPr>
                <w:p w14:paraId="4FCFCD51">
                  <w:pPr>
                    <w:pStyle w:val="38"/>
                    <w:framePr w:hSpace="0" w:wrap="auto" w:vAnchor="margin" w:hAnchor="text" w:xAlign="left" w:yAlign="inline"/>
                    <w:rPr>
                      <w:rFonts w:cs="Times New Roman"/>
                      <w:sz w:val="21"/>
                      <w:szCs w:val="21"/>
                      <w:lang w:val="en-US"/>
                    </w:rPr>
                  </w:pPr>
                </w:p>
              </w:tc>
            </w:tr>
            <w:tr w14:paraId="0C555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2EAA525A">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57261D89">
                  <w:pPr>
                    <w:pStyle w:val="29"/>
                    <w:rPr>
                      <w:kern w:val="2"/>
                      <w:sz w:val="21"/>
                      <w:szCs w:val="21"/>
                    </w:rPr>
                  </w:pPr>
                  <w:r>
                    <w:rPr>
                      <w:sz w:val="21"/>
                      <w:szCs w:val="21"/>
                    </w:rPr>
                    <w:t>废活性炭</w:t>
                  </w:r>
                </w:p>
              </w:tc>
              <w:tc>
                <w:tcPr>
                  <w:tcW w:w="3156" w:type="dxa"/>
                  <w:vMerge w:val="continue"/>
                  <w:vAlign w:val="center"/>
                </w:tcPr>
                <w:p w14:paraId="6C47FE9D">
                  <w:pPr>
                    <w:pStyle w:val="38"/>
                    <w:framePr w:hSpace="0" w:wrap="auto" w:vAnchor="margin" w:hAnchor="text" w:xAlign="left" w:yAlign="inline"/>
                    <w:rPr>
                      <w:rFonts w:cs="Times New Roman"/>
                      <w:sz w:val="21"/>
                      <w:szCs w:val="21"/>
                    </w:rPr>
                  </w:pPr>
                </w:p>
              </w:tc>
              <w:tc>
                <w:tcPr>
                  <w:tcW w:w="1491" w:type="dxa"/>
                  <w:vMerge w:val="continue"/>
                  <w:vAlign w:val="center"/>
                </w:tcPr>
                <w:p w14:paraId="20FFB1D1">
                  <w:pPr>
                    <w:pStyle w:val="38"/>
                    <w:framePr w:hSpace="0" w:wrap="auto" w:vAnchor="margin" w:hAnchor="text" w:xAlign="left" w:yAlign="inline"/>
                    <w:rPr>
                      <w:rFonts w:cs="Times New Roman"/>
                      <w:sz w:val="21"/>
                      <w:szCs w:val="21"/>
                      <w:lang w:val="en-US"/>
                    </w:rPr>
                  </w:pPr>
                </w:p>
              </w:tc>
            </w:tr>
            <w:tr w14:paraId="48FC2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420D36A8">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0FF6A579">
                  <w:pPr>
                    <w:pStyle w:val="29"/>
                    <w:rPr>
                      <w:kern w:val="2"/>
                      <w:sz w:val="21"/>
                      <w:szCs w:val="21"/>
                    </w:rPr>
                  </w:pPr>
                  <w:r>
                    <w:rPr>
                      <w:sz w:val="21"/>
                      <w:szCs w:val="21"/>
                    </w:rPr>
                    <w:t>废机油及其包装桶</w:t>
                  </w:r>
                </w:p>
              </w:tc>
              <w:tc>
                <w:tcPr>
                  <w:tcW w:w="3156" w:type="dxa"/>
                  <w:vMerge w:val="continue"/>
                  <w:vAlign w:val="center"/>
                </w:tcPr>
                <w:p w14:paraId="0436CFA7">
                  <w:pPr>
                    <w:pStyle w:val="38"/>
                    <w:framePr w:hSpace="0" w:wrap="auto" w:vAnchor="margin" w:hAnchor="text" w:xAlign="left" w:yAlign="inline"/>
                    <w:rPr>
                      <w:rFonts w:cs="Times New Roman"/>
                      <w:sz w:val="21"/>
                      <w:szCs w:val="21"/>
                    </w:rPr>
                  </w:pPr>
                </w:p>
              </w:tc>
              <w:tc>
                <w:tcPr>
                  <w:tcW w:w="1491" w:type="dxa"/>
                  <w:vMerge w:val="continue"/>
                  <w:vAlign w:val="center"/>
                </w:tcPr>
                <w:p w14:paraId="45C8F217">
                  <w:pPr>
                    <w:pStyle w:val="38"/>
                    <w:framePr w:hSpace="0" w:wrap="auto" w:vAnchor="margin" w:hAnchor="text" w:xAlign="left" w:yAlign="inline"/>
                    <w:rPr>
                      <w:rFonts w:cs="Times New Roman"/>
                      <w:sz w:val="21"/>
                      <w:szCs w:val="21"/>
                      <w:lang w:val="en-US"/>
                    </w:rPr>
                  </w:pPr>
                </w:p>
              </w:tc>
            </w:tr>
            <w:tr w14:paraId="28B2C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0D6D5CB6">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378A72B5">
                  <w:pPr>
                    <w:pStyle w:val="29"/>
                    <w:rPr>
                      <w:kern w:val="2"/>
                      <w:sz w:val="21"/>
                      <w:szCs w:val="21"/>
                    </w:rPr>
                  </w:pPr>
                  <w:r>
                    <w:rPr>
                      <w:sz w:val="21"/>
                      <w:szCs w:val="21"/>
                    </w:rPr>
                    <w:t>废氢氧化钠包装袋</w:t>
                  </w:r>
                </w:p>
              </w:tc>
              <w:tc>
                <w:tcPr>
                  <w:tcW w:w="3156" w:type="dxa"/>
                  <w:vMerge w:val="continue"/>
                  <w:vAlign w:val="center"/>
                </w:tcPr>
                <w:p w14:paraId="555F5342">
                  <w:pPr>
                    <w:pStyle w:val="38"/>
                    <w:framePr w:hSpace="0" w:wrap="auto" w:vAnchor="margin" w:hAnchor="text" w:xAlign="left" w:yAlign="inline"/>
                    <w:rPr>
                      <w:rFonts w:cs="Times New Roman"/>
                      <w:sz w:val="21"/>
                      <w:szCs w:val="21"/>
                    </w:rPr>
                  </w:pPr>
                </w:p>
              </w:tc>
              <w:tc>
                <w:tcPr>
                  <w:tcW w:w="1491" w:type="dxa"/>
                  <w:vMerge w:val="continue"/>
                  <w:vAlign w:val="center"/>
                </w:tcPr>
                <w:p w14:paraId="4509EC15">
                  <w:pPr>
                    <w:pStyle w:val="38"/>
                    <w:framePr w:hSpace="0" w:wrap="auto" w:vAnchor="margin" w:hAnchor="text" w:xAlign="left" w:yAlign="inline"/>
                    <w:rPr>
                      <w:rFonts w:cs="Times New Roman"/>
                      <w:sz w:val="21"/>
                      <w:szCs w:val="21"/>
                      <w:lang w:val="en-US"/>
                    </w:rPr>
                  </w:pPr>
                </w:p>
              </w:tc>
            </w:tr>
            <w:tr w14:paraId="716C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196" w:type="dxa"/>
                  <w:vMerge w:val="continue"/>
                  <w:vAlign w:val="center"/>
                </w:tcPr>
                <w:p w14:paraId="6E24A15D">
                  <w:pPr>
                    <w:pStyle w:val="38"/>
                    <w:framePr w:hSpace="0" w:wrap="auto" w:vAnchor="margin" w:hAnchor="text" w:xAlign="left" w:yAlign="inline"/>
                    <w:rPr>
                      <w:rFonts w:cs="Times New Roman"/>
                      <w:sz w:val="21"/>
                      <w:szCs w:val="21"/>
                    </w:rPr>
                  </w:pPr>
                </w:p>
              </w:tc>
              <w:tc>
                <w:tcPr>
                  <w:tcW w:w="2109" w:type="dxa"/>
                  <w:shd w:val="clear" w:color="auto" w:fill="auto"/>
                  <w:vAlign w:val="center"/>
                </w:tcPr>
                <w:p w14:paraId="0E4F5F5B">
                  <w:pPr>
                    <w:pStyle w:val="29"/>
                    <w:rPr>
                      <w:sz w:val="21"/>
                      <w:szCs w:val="21"/>
                    </w:rPr>
                  </w:pPr>
                  <w:r>
                    <w:rPr>
                      <w:sz w:val="21"/>
                      <w:szCs w:val="21"/>
                    </w:rPr>
                    <w:t>废硼砂包装袋</w:t>
                  </w:r>
                </w:p>
              </w:tc>
              <w:tc>
                <w:tcPr>
                  <w:tcW w:w="3156" w:type="dxa"/>
                  <w:vMerge w:val="continue"/>
                  <w:vAlign w:val="center"/>
                </w:tcPr>
                <w:p w14:paraId="1609CF32">
                  <w:pPr>
                    <w:pStyle w:val="38"/>
                    <w:framePr w:hSpace="0" w:wrap="auto" w:vAnchor="margin" w:hAnchor="text" w:xAlign="left" w:yAlign="inline"/>
                    <w:rPr>
                      <w:rFonts w:cs="Times New Roman"/>
                      <w:sz w:val="21"/>
                      <w:szCs w:val="21"/>
                    </w:rPr>
                  </w:pPr>
                </w:p>
              </w:tc>
              <w:tc>
                <w:tcPr>
                  <w:tcW w:w="1491" w:type="dxa"/>
                  <w:vMerge w:val="continue"/>
                  <w:vAlign w:val="center"/>
                </w:tcPr>
                <w:p w14:paraId="115E804B">
                  <w:pPr>
                    <w:pStyle w:val="38"/>
                    <w:framePr w:hSpace="0" w:wrap="auto" w:vAnchor="margin" w:hAnchor="text" w:xAlign="left" w:yAlign="inline"/>
                    <w:rPr>
                      <w:rFonts w:cs="Times New Roman"/>
                      <w:sz w:val="21"/>
                      <w:szCs w:val="21"/>
                      <w:lang w:val="en-US"/>
                    </w:rPr>
                  </w:pPr>
                </w:p>
              </w:tc>
            </w:tr>
            <w:tr w14:paraId="1D3EA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461" w:type="dxa"/>
                  <w:gridSpan w:val="3"/>
                  <w:vAlign w:val="center"/>
                </w:tcPr>
                <w:p w14:paraId="6719474B">
                  <w:pPr>
                    <w:pStyle w:val="38"/>
                    <w:framePr w:hSpace="0" w:wrap="auto" w:vAnchor="margin" w:hAnchor="text" w:xAlign="left" w:yAlign="inline"/>
                    <w:rPr>
                      <w:rFonts w:cs="Times New Roman"/>
                      <w:sz w:val="21"/>
                      <w:szCs w:val="21"/>
                    </w:rPr>
                  </w:pPr>
                  <w:r>
                    <w:rPr>
                      <w:rFonts w:cs="Times New Roman"/>
                      <w:sz w:val="21"/>
                      <w:szCs w:val="21"/>
                    </w:rPr>
                    <w:t>合计</w:t>
                  </w:r>
                </w:p>
              </w:tc>
              <w:tc>
                <w:tcPr>
                  <w:tcW w:w="1491" w:type="dxa"/>
                  <w:vAlign w:val="center"/>
                </w:tcPr>
                <w:p w14:paraId="4FD0EDC6">
                  <w:pPr>
                    <w:pStyle w:val="38"/>
                    <w:framePr w:hSpace="0" w:wrap="auto" w:vAnchor="margin" w:hAnchor="text" w:xAlign="left" w:yAlign="inline"/>
                    <w:rPr>
                      <w:rFonts w:cs="Times New Roman"/>
                      <w:sz w:val="21"/>
                      <w:szCs w:val="21"/>
                      <w:lang w:val="en-US"/>
                    </w:rPr>
                  </w:pPr>
                  <w:r>
                    <w:rPr>
                      <w:rFonts w:cs="Times New Roman"/>
                      <w:sz w:val="21"/>
                      <w:szCs w:val="21"/>
                      <w:lang w:val="en-US"/>
                    </w:rPr>
                    <w:t>19</w:t>
                  </w:r>
                </w:p>
              </w:tc>
            </w:tr>
          </w:tbl>
          <w:p w14:paraId="0712D518">
            <w:pPr>
              <w:pStyle w:val="37"/>
              <w:keepNext w:val="0"/>
              <w:keepLines w:val="0"/>
              <w:pageBreakBefore w:val="0"/>
              <w:widowControl w:val="0"/>
              <w:kinsoku/>
              <w:wordWrap/>
              <w:topLinePunct w:val="0"/>
              <w:bidi w:val="0"/>
              <w:spacing w:line="460" w:lineRule="exact"/>
              <w:ind w:firstLine="0" w:firstLineChars="0"/>
              <w:textAlignment w:val="auto"/>
              <w:rPr>
                <w:rFonts w:hint="default" w:ascii="Times New Roman" w:hAnsi="Times New Roman" w:cs="Times New Roman"/>
                <w:b/>
                <w:bCs/>
              </w:rPr>
            </w:pPr>
            <w:r>
              <w:rPr>
                <w:rFonts w:hint="default" w:ascii="Times New Roman" w:hAnsi="Times New Roman" w:cs="Times New Roman"/>
                <w:b/>
                <w:bCs/>
              </w:rPr>
              <w:t>4.11排污许可管理类别</w:t>
            </w:r>
          </w:p>
          <w:p w14:paraId="7885B5A9">
            <w:pPr>
              <w:pStyle w:val="37"/>
              <w:keepNext w:val="0"/>
              <w:keepLines w:val="0"/>
              <w:pageBreakBefore w:val="0"/>
              <w:widowControl w:val="0"/>
              <w:kinsoku/>
              <w:wordWrap/>
              <w:topLinePunct w:val="0"/>
              <w:bidi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根据安徽省生态环境厅于2021年1月30日发布的《安徽省生态环境厅关于统筹做好固定污染源排污许可日常监管工作的通知》（皖环发〔2021〕7号），属于现行《固定污染源排污许可分类管理名录》内重点管理和简化管理的行业，在环评文件中应明确“建设项目环境影响评价与排污许可联动内容”。</w:t>
            </w:r>
          </w:p>
          <w:p w14:paraId="3C96FA39">
            <w:pPr>
              <w:keepNext w:val="0"/>
              <w:keepLines w:val="0"/>
              <w:pageBreakBefore w:val="0"/>
              <w:widowControl w:val="0"/>
              <w:kinsoku/>
              <w:wordWrap/>
              <w:overflowPunct w:val="0"/>
              <w:topLinePunct w:val="0"/>
              <w:autoSpaceDE w:val="0"/>
              <w:autoSpaceDN w:val="0"/>
              <w:bidi w:val="0"/>
              <w:spacing w:line="460" w:lineRule="exact"/>
              <w:ind w:firstLine="480" w:firstLineChars="200"/>
              <w:textAlignment w:val="auto"/>
              <w:rPr>
                <w:rFonts w:hint="default" w:ascii="Times New Roman" w:hAnsi="Times New Roman" w:eastAsia="宋体" w:cs="Times New Roman"/>
                <w:lang w:eastAsia="zh-CN"/>
              </w:rPr>
            </w:pPr>
            <w:r>
              <w:rPr>
                <w:rFonts w:hint="default" w:ascii="Times New Roman" w:hAnsi="Times New Roman" w:cs="Times New Roman"/>
              </w:rPr>
              <w:t>根据《固定污染源排污许可分类管理名录》(2019年版),本项目属于“十七、造纸和纸制品业 22·38、纸制品制造 2231”中有工业废水或者废气排放的，属于简化管理的类别；“五十一、通用工序110工业炉窑中的除纳入重点排污单位名录的，以天然气或者电为能源的加热炉、热处理炉或者干燥炉（窑）”类别，属于登记管理的类别。</w:t>
            </w:r>
            <w:r>
              <w:rPr>
                <w:rFonts w:hint="default" w:ascii="Times New Roman" w:hAnsi="Times New Roman" w:cs="Times New Roman"/>
                <w:lang w:eastAsia="zh-CN"/>
              </w:rPr>
              <w:t>综上所述，本项目排污许可类别为</w:t>
            </w:r>
            <w:r>
              <w:rPr>
                <w:rFonts w:hint="default" w:ascii="Times New Roman" w:hAnsi="Times New Roman" w:cs="Times New Roman"/>
              </w:rPr>
              <w:t>简化管理</w:t>
            </w:r>
            <w:r>
              <w:rPr>
                <w:rFonts w:hint="default" w:ascii="Times New Roman" w:hAnsi="Times New Roman" w:cs="Times New Roman"/>
                <w:lang w:eastAsia="zh-CN"/>
              </w:rPr>
              <w:t>。</w:t>
            </w:r>
          </w:p>
          <w:p w14:paraId="070A30DB">
            <w:pPr>
              <w:spacing w:line="460" w:lineRule="exact"/>
              <w:jc w:val="center"/>
              <w:rPr>
                <w:rFonts w:hint="default" w:ascii="Times New Roman" w:hAnsi="Times New Roman" w:cs="Times New Roman"/>
                <w:b/>
                <w:kern w:val="0"/>
                <w:sz w:val="21"/>
                <w:szCs w:val="22"/>
              </w:rPr>
            </w:pPr>
            <w:r>
              <w:rPr>
                <w:rFonts w:hint="default" w:ascii="Times New Roman" w:hAnsi="Times New Roman" w:cs="Times New Roman"/>
                <w:b/>
                <w:kern w:val="0"/>
                <w:sz w:val="21"/>
                <w:szCs w:val="22"/>
              </w:rPr>
              <w:t>表 4-</w:t>
            </w:r>
            <w:r>
              <w:rPr>
                <w:rFonts w:hint="eastAsia" w:cs="Times New Roman"/>
                <w:b/>
                <w:kern w:val="0"/>
                <w:sz w:val="21"/>
                <w:szCs w:val="22"/>
                <w:lang w:val="en-US" w:eastAsia="zh-CN"/>
              </w:rPr>
              <w:t>31</w:t>
            </w:r>
            <w:r>
              <w:rPr>
                <w:rFonts w:hint="default" w:ascii="Times New Roman" w:hAnsi="Times New Roman" w:cs="Times New Roman"/>
                <w:b/>
                <w:kern w:val="0"/>
                <w:sz w:val="21"/>
                <w:szCs w:val="22"/>
              </w:rPr>
              <w:t xml:space="preserve"> 定污染源排污许可证分类管理名录(2019版)对照表</w:t>
            </w:r>
          </w:p>
          <w:tbl>
            <w:tblPr>
              <w:tblStyle w:val="32"/>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594"/>
              <w:gridCol w:w="1399"/>
              <w:gridCol w:w="1719"/>
              <w:gridCol w:w="2719"/>
              <w:gridCol w:w="1518"/>
            </w:tblGrid>
            <w:tr w14:paraId="04B9F0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74" w:type="pct"/>
                  <w:vAlign w:val="center"/>
                </w:tcPr>
                <w:p w14:paraId="2D00F45D">
                  <w:pPr>
                    <w:pStyle w:val="29"/>
                    <w:rPr>
                      <w:sz w:val="21"/>
                      <w:szCs w:val="21"/>
                    </w:rPr>
                  </w:pPr>
                  <w:r>
                    <w:rPr>
                      <w:sz w:val="21"/>
                      <w:szCs w:val="21"/>
                    </w:rPr>
                    <w:t>序号</w:t>
                  </w:r>
                </w:p>
              </w:tc>
              <w:tc>
                <w:tcPr>
                  <w:tcW w:w="880" w:type="pct"/>
                  <w:vAlign w:val="center"/>
                </w:tcPr>
                <w:p w14:paraId="18AB4D1C">
                  <w:pPr>
                    <w:pStyle w:val="29"/>
                    <w:rPr>
                      <w:sz w:val="21"/>
                      <w:szCs w:val="21"/>
                    </w:rPr>
                  </w:pPr>
                  <w:r>
                    <w:rPr>
                      <w:sz w:val="21"/>
                      <w:szCs w:val="21"/>
                    </w:rPr>
                    <w:t>行业类别</w:t>
                  </w:r>
                </w:p>
              </w:tc>
              <w:tc>
                <w:tcPr>
                  <w:tcW w:w="1081" w:type="pct"/>
                  <w:vAlign w:val="center"/>
                </w:tcPr>
                <w:p w14:paraId="7EB9DCEC">
                  <w:pPr>
                    <w:pStyle w:val="29"/>
                    <w:rPr>
                      <w:sz w:val="21"/>
                      <w:szCs w:val="21"/>
                    </w:rPr>
                  </w:pPr>
                  <w:r>
                    <w:rPr>
                      <w:sz w:val="21"/>
                      <w:szCs w:val="21"/>
                    </w:rPr>
                    <w:t>重点管理</w:t>
                  </w:r>
                </w:p>
              </w:tc>
              <w:tc>
                <w:tcPr>
                  <w:tcW w:w="1710" w:type="pct"/>
                  <w:vAlign w:val="center"/>
                </w:tcPr>
                <w:p w14:paraId="3B5D3AF4">
                  <w:pPr>
                    <w:pStyle w:val="29"/>
                    <w:rPr>
                      <w:sz w:val="21"/>
                      <w:szCs w:val="21"/>
                    </w:rPr>
                  </w:pPr>
                  <w:r>
                    <w:rPr>
                      <w:sz w:val="21"/>
                      <w:szCs w:val="21"/>
                    </w:rPr>
                    <w:t>简化管理</w:t>
                  </w:r>
                </w:p>
              </w:tc>
              <w:tc>
                <w:tcPr>
                  <w:tcW w:w="954" w:type="pct"/>
                  <w:vAlign w:val="center"/>
                </w:tcPr>
                <w:p w14:paraId="02AB67CE">
                  <w:pPr>
                    <w:pStyle w:val="29"/>
                    <w:rPr>
                      <w:sz w:val="21"/>
                      <w:szCs w:val="21"/>
                    </w:rPr>
                  </w:pPr>
                  <w:r>
                    <w:rPr>
                      <w:sz w:val="21"/>
                      <w:szCs w:val="21"/>
                    </w:rPr>
                    <w:t>登记管理</w:t>
                  </w:r>
                </w:p>
              </w:tc>
            </w:tr>
            <w:tr w14:paraId="2BE161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trPr>
              <w:tc>
                <w:tcPr>
                  <w:tcW w:w="5000" w:type="pct"/>
                  <w:gridSpan w:val="5"/>
                  <w:vAlign w:val="center"/>
                </w:tcPr>
                <w:p w14:paraId="6C3AEEA0">
                  <w:pPr>
                    <w:pStyle w:val="29"/>
                    <w:rPr>
                      <w:sz w:val="21"/>
                      <w:szCs w:val="21"/>
                    </w:rPr>
                  </w:pPr>
                  <w:r>
                    <w:rPr>
                      <w:sz w:val="21"/>
                      <w:szCs w:val="21"/>
                    </w:rPr>
                    <w:t>十七、造纸和纸制品业 22</w:t>
                  </w:r>
                </w:p>
              </w:tc>
            </w:tr>
            <w:tr w14:paraId="4BC23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7" w:hRule="atLeast"/>
              </w:trPr>
              <w:tc>
                <w:tcPr>
                  <w:tcW w:w="374" w:type="pct"/>
                  <w:vAlign w:val="center"/>
                </w:tcPr>
                <w:p w14:paraId="005456A3">
                  <w:pPr>
                    <w:pStyle w:val="29"/>
                    <w:rPr>
                      <w:sz w:val="21"/>
                      <w:szCs w:val="21"/>
                    </w:rPr>
                  </w:pPr>
                  <w:r>
                    <w:rPr>
                      <w:sz w:val="21"/>
                      <w:szCs w:val="21"/>
                    </w:rPr>
                    <w:t>38</w:t>
                  </w:r>
                </w:p>
              </w:tc>
              <w:tc>
                <w:tcPr>
                  <w:tcW w:w="880" w:type="pct"/>
                  <w:shd w:val="clear" w:color="auto" w:fill="auto"/>
                  <w:vAlign w:val="center"/>
                </w:tcPr>
                <w:p w14:paraId="2A449C09">
                  <w:pPr>
                    <w:pStyle w:val="29"/>
                    <w:rPr>
                      <w:sz w:val="21"/>
                      <w:szCs w:val="21"/>
                    </w:rPr>
                  </w:pPr>
                  <w:r>
                    <w:rPr>
                      <w:sz w:val="21"/>
                      <w:szCs w:val="21"/>
                    </w:rPr>
                    <w:t>纸制品制造 223</w:t>
                  </w:r>
                </w:p>
              </w:tc>
              <w:tc>
                <w:tcPr>
                  <w:tcW w:w="1081" w:type="pct"/>
                  <w:shd w:val="clear" w:color="auto" w:fill="auto"/>
                  <w:vAlign w:val="center"/>
                </w:tcPr>
                <w:p w14:paraId="4468F745">
                  <w:pPr>
                    <w:pStyle w:val="29"/>
                    <w:rPr>
                      <w:sz w:val="21"/>
                      <w:szCs w:val="21"/>
                    </w:rPr>
                  </w:pPr>
                  <w:r>
                    <w:rPr>
                      <w:sz w:val="21"/>
                      <w:szCs w:val="21"/>
                    </w:rPr>
                    <w:t>/</w:t>
                  </w:r>
                </w:p>
              </w:tc>
              <w:tc>
                <w:tcPr>
                  <w:tcW w:w="1710" w:type="pct"/>
                  <w:shd w:val="clear" w:color="auto" w:fill="D7D7D7" w:themeFill="background1" w:themeFillShade="D8"/>
                  <w:vAlign w:val="center"/>
                </w:tcPr>
                <w:p w14:paraId="09E2DDBF">
                  <w:pPr>
                    <w:pStyle w:val="29"/>
                    <w:rPr>
                      <w:sz w:val="21"/>
                      <w:szCs w:val="21"/>
                    </w:rPr>
                  </w:pPr>
                  <w:r>
                    <w:rPr>
                      <w:b/>
                      <w:bCs/>
                      <w:sz w:val="21"/>
                      <w:szCs w:val="21"/>
                    </w:rPr>
                    <w:t>有工业废水或者废气排放的</w:t>
                  </w:r>
                  <w:r>
                    <w:rPr>
                      <w:sz w:val="21"/>
                      <w:szCs w:val="21"/>
                    </w:rPr>
                    <w:t>↵</w:t>
                  </w:r>
                </w:p>
              </w:tc>
              <w:tc>
                <w:tcPr>
                  <w:tcW w:w="954" w:type="pct"/>
                  <w:vAlign w:val="center"/>
                </w:tcPr>
                <w:p w14:paraId="5F61AD65">
                  <w:pPr>
                    <w:pStyle w:val="29"/>
                    <w:rPr>
                      <w:sz w:val="21"/>
                      <w:szCs w:val="21"/>
                    </w:rPr>
                  </w:pPr>
                </w:p>
                <w:p w14:paraId="4145E0B2">
                  <w:pPr>
                    <w:pStyle w:val="29"/>
                    <w:rPr>
                      <w:sz w:val="21"/>
                      <w:szCs w:val="21"/>
                    </w:rPr>
                  </w:pPr>
                  <w:r>
                    <w:rPr>
                      <w:sz w:val="21"/>
                      <w:szCs w:val="21"/>
                    </w:rPr>
                    <w:t>其他﹡</w:t>
                  </w:r>
                </w:p>
                <w:p w14:paraId="30C9E0CF">
                  <w:pPr>
                    <w:pStyle w:val="29"/>
                    <w:rPr>
                      <w:sz w:val="21"/>
                      <w:szCs w:val="21"/>
                    </w:rPr>
                  </w:pPr>
                </w:p>
              </w:tc>
            </w:tr>
            <w:tr w14:paraId="13DEB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5000" w:type="pct"/>
                  <w:gridSpan w:val="5"/>
                  <w:vAlign w:val="center"/>
                </w:tcPr>
                <w:p w14:paraId="75DF5577">
                  <w:pPr>
                    <w:pStyle w:val="29"/>
                    <w:rPr>
                      <w:sz w:val="21"/>
                      <w:szCs w:val="21"/>
                    </w:rPr>
                  </w:pPr>
                  <w:r>
                    <w:rPr>
                      <w:sz w:val="21"/>
                      <w:szCs w:val="21"/>
                    </w:rPr>
                    <w:t>五十一、通用工序</w:t>
                  </w:r>
                </w:p>
              </w:tc>
            </w:tr>
            <w:tr w14:paraId="3D9AC5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7" w:hRule="atLeast"/>
              </w:trPr>
              <w:tc>
                <w:tcPr>
                  <w:tcW w:w="374" w:type="pct"/>
                  <w:vAlign w:val="center"/>
                </w:tcPr>
                <w:p w14:paraId="61C774F8">
                  <w:pPr>
                    <w:pStyle w:val="29"/>
                    <w:rPr>
                      <w:sz w:val="21"/>
                      <w:szCs w:val="21"/>
                    </w:rPr>
                  </w:pPr>
                  <w:r>
                    <w:rPr>
                      <w:sz w:val="21"/>
                      <w:szCs w:val="21"/>
                    </w:rPr>
                    <w:t>110</w:t>
                  </w:r>
                </w:p>
              </w:tc>
              <w:tc>
                <w:tcPr>
                  <w:tcW w:w="880" w:type="pct"/>
                  <w:vAlign w:val="center"/>
                </w:tcPr>
                <w:p w14:paraId="3BDF398B">
                  <w:pPr>
                    <w:pStyle w:val="29"/>
                    <w:rPr>
                      <w:sz w:val="21"/>
                      <w:szCs w:val="21"/>
                    </w:rPr>
                  </w:pPr>
                  <w:r>
                    <w:rPr>
                      <w:sz w:val="21"/>
                      <w:szCs w:val="21"/>
                    </w:rPr>
                    <w:t>工业炉窑</w:t>
                  </w:r>
                </w:p>
              </w:tc>
              <w:tc>
                <w:tcPr>
                  <w:tcW w:w="1081" w:type="pct"/>
                  <w:shd w:val="clear" w:color="auto" w:fill="auto"/>
                  <w:vAlign w:val="center"/>
                </w:tcPr>
                <w:p w14:paraId="7DAF4F1A">
                  <w:pPr>
                    <w:pStyle w:val="29"/>
                    <w:rPr>
                      <w:sz w:val="21"/>
                      <w:szCs w:val="21"/>
                    </w:rPr>
                  </w:pPr>
                  <w:r>
                    <w:rPr>
                      <w:sz w:val="21"/>
                      <w:szCs w:val="21"/>
                    </w:rPr>
                    <w:t>纳入重点排污单位名录的</w:t>
                  </w:r>
                </w:p>
              </w:tc>
              <w:tc>
                <w:tcPr>
                  <w:tcW w:w="1710" w:type="pct"/>
                  <w:shd w:val="clear" w:color="auto" w:fill="auto"/>
                  <w:vAlign w:val="center"/>
                </w:tcPr>
                <w:p w14:paraId="497A8ED5">
                  <w:pPr>
                    <w:pStyle w:val="29"/>
                    <w:rPr>
                      <w:sz w:val="21"/>
                      <w:szCs w:val="21"/>
                    </w:rPr>
                  </w:pPr>
                  <w:r>
                    <w:rPr>
                      <w:sz w:val="21"/>
                      <w:szCs w:val="21"/>
                    </w:rPr>
                    <w:t>除纳入重点排污单位名录的，除以天然气或者电为能源的加热炉、热处理炉、干燥炉（窑）以外的其他工业炉窑。</w:t>
                  </w:r>
                </w:p>
              </w:tc>
              <w:tc>
                <w:tcPr>
                  <w:tcW w:w="954" w:type="pct"/>
                  <w:shd w:val="clear" w:color="auto" w:fill="D7D7D7" w:themeFill="background1" w:themeFillShade="D8"/>
                  <w:vAlign w:val="center"/>
                </w:tcPr>
                <w:p w14:paraId="7DC65AEA">
                  <w:pPr>
                    <w:pStyle w:val="29"/>
                    <w:rPr>
                      <w:sz w:val="21"/>
                      <w:szCs w:val="21"/>
                    </w:rPr>
                  </w:pPr>
                  <w:r>
                    <w:rPr>
                      <w:sz w:val="21"/>
                      <w:szCs w:val="21"/>
                    </w:rPr>
                    <w:t>除纳入重点排污单位名录的，以</w:t>
                  </w:r>
                  <w:r>
                    <w:rPr>
                      <w:b/>
                      <w:bCs/>
                      <w:sz w:val="21"/>
                      <w:szCs w:val="21"/>
                    </w:rPr>
                    <w:t>天然气</w:t>
                  </w:r>
                  <w:r>
                    <w:rPr>
                      <w:sz w:val="21"/>
                      <w:szCs w:val="21"/>
                    </w:rPr>
                    <w:t>或者电为能源的加热炉、热处理炉或者干燥炉（窑）。</w:t>
                  </w:r>
                </w:p>
              </w:tc>
            </w:tr>
          </w:tbl>
          <w:p w14:paraId="7598DC6D">
            <w:pPr>
              <w:pStyle w:val="37"/>
              <w:keepNext w:val="0"/>
              <w:keepLines w:val="0"/>
              <w:pageBreakBefore w:val="0"/>
              <w:widowControl w:val="0"/>
              <w:kinsoku/>
              <w:wordWrap/>
              <w:overflowPunct/>
              <w:topLinePunct w:val="0"/>
              <w:autoSpaceDE/>
              <w:autoSpaceDN/>
              <w:bidi w:val="0"/>
              <w:adjustRightInd w:val="0"/>
              <w:snapToGrid w:val="0"/>
              <w:spacing w:line="460" w:lineRule="exact"/>
              <w:ind w:firstLine="0" w:firstLineChars="0"/>
              <w:textAlignment w:val="auto"/>
              <w:rPr>
                <w:rFonts w:hint="default" w:ascii="Times New Roman" w:hAnsi="Times New Roman" w:cs="Times New Roman"/>
                <w:b/>
                <w:bCs/>
              </w:rPr>
            </w:pPr>
            <w:r>
              <w:rPr>
                <w:rFonts w:hint="default" w:ascii="Times New Roman" w:hAnsi="Times New Roman" w:cs="Times New Roman"/>
                <w:b/>
                <w:bCs/>
              </w:rPr>
              <w:t>4.12三同时验收</w:t>
            </w:r>
          </w:p>
          <w:p w14:paraId="044D42A1">
            <w:pPr>
              <w:pStyle w:val="37"/>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根据《建设项目环境保护管理条例》（2017年7月16日修订），建设项目设计和施工中应严格落实“三同时”制度，建设单位应按照国家及本市有关法律法规、建设项目竣工环境保护验收技术规范、建设项目环境影响报告书（表）和审批决定等要求，自主开展相关验收工作。建设项目配套建设的环境保护设施经验收合格，方可投入生产或者使用；未经验收或者验收不合格的，不得投入生产或者使用。</w:t>
            </w:r>
          </w:p>
          <w:p w14:paraId="2301C5E0">
            <w:pPr>
              <w:pStyle w:val="37"/>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建设单位是建设项目竣工环境保护验收的责任主体，应当按照《建设项目竣工环境保护验收暂行办法》（国环规环评〔2017〕4号）、《建设项目竣工环境保护验收技术指南污染影响类》（生态环境部办公厅2018年5月16日印发）规定的程序和标准，组织对配套建设的环境保护设施进行验收，编制验收报告，公开相关信息，接受社会监督，确保建设项目需要配套建设的环境保护设施与主体工程同时投产或者使用，并对验收内容、结论和所公开信息的真实性、准确性和完整性负责，不得在验收中弄虚作假。</w:t>
            </w:r>
          </w:p>
          <w:p w14:paraId="1610DC5F">
            <w:pPr>
              <w:pStyle w:val="37"/>
              <w:keepNext w:val="0"/>
              <w:keepLines w:val="0"/>
              <w:pageBreakBefore w:val="0"/>
              <w:widowControl w:val="0"/>
              <w:kinsoku/>
              <w:wordWrap/>
              <w:overflowPunct/>
              <w:topLinePunct w:val="0"/>
              <w:autoSpaceDE/>
              <w:autoSpaceDN/>
              <w:bidi w:val="0"/>
              <w:adjustRightInd w:val="0"/>
              <w:snapToGrid w:val="0"/>
              <w:spacing w:line="460" w:lineRule="exact"/>
              <w:ind w:firstLine="480"/>
              <w:textAlignment w:val="auto"/>
              <w:rPr>
                <w:rFonts w:hint="default" w:ascii="Times New Roman" w:hAnsi="Times New Roman" w:cs="Times New Roman"/>
              </w:rPr>
            </w:pPr>
            <w:r>
              <w:rPr>
                <w:rFonts w:hint="default" w:ascii="Times New Roman" w:hAnsi="Times New Roman" w:cs="Times New Roman"/>
              </w:rPr>
              <w:t>建设项目竣工后，除需要取得排污许可证的水和大气污染防治设施外，其他环境保护设施的验收期限一般不超过3个月，需要对该类环境保护设施进行调试或者调整的，验收期限可以适当延期，但最长不超过12个月。根据《排污许可证管理暂行规定》，建设单位属于排污许可管理范围内，应持证排污，禁止无证排污或不按证排污。</w:t>
            </w:r>
          </w:p>
        </w:tc>
      </w:tr>
    </w:tbl>
    <w:p w14:paraId="60826386">
      <w:pPr>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14:paraId="0530FA81">
      <w:pPr>
        <w:pStyle w:val="3"/>
        <w:rPr>
          <w:rFonts w:hint="default" w:ascii="Times New Roman" w:hAnsi="Times New Roman" w:cs="Times New Roman"/>
        </w:rPr>
      </w:pPr>
      <w:bookmarkStart w:id="14" w:name="_Toc23601"/>
      <w:r>
        <w:rPr>
          <w:rFonts w:hint="default" w:ascii="Times New Roman" w:hAnsi="Times New Roman" w:cs="Times New Roman"/>
        </w:rPr>
        <w:t>五、环境保护措施监督检查清单</w:t>
      </w:r>
      <w:bookmarkEnd w:id="14"/>
    </w:p>
    <w:tbl>
      <w:tblPr>
        <w:tblStyle w:val="21"/>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17"/>
        <w:gridCol w:w="417"/>
        <w:gridCol w:w="1837"/>
        <w:gridCol w:w="1837"/>
        <w:gridCol w:w="1837"/>
        <w:gridCol w:w="2177"/>
      </w:tblGrid>
      <w:tr w14:paraId="066C2E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tcBorders>
              <w:tl2br w:val="single" w:color="auto" w:sz="4" w:space="0"/>
            </w:tcBorders>
            <w:vAlign w:val="center"/>
          </w:tcPr>
          <w:p w14:paraId="4306CCC7">
            <w:pPr>
              <w:pStyle w:val="29"/>
              <w:rPr>
                <w:sz w:val="21"/>
                <w:szCs w:val="21"/>
              </w:rPr>
            </w:pPr>
            <w:r>
              <w:rPr>
                <w:sz w:val="21"/>
                <w:szCs w:val="21"/>
              </w:rPr>
              <w:t xml:space="preserve">   内容</w:t>
            </w:r>
          </w:p>
          <w:p w14:paraId="76EAC4AF">
            <w:pPr>
              <w:pStyle w:val="29"/>
              <w:rPr>
                <w:sz w:val="21"/>
                <w:szCs w:val="21"/>
              </w:rPr>
            </w:pPr>
            <w:r>
              <w:rPr>
                <w:sz w:val="21"/>
                <w:szCs w:val="21"/>
              </w:rPr>
              <w:t>要素</w:t>
            </w:r>
          </w:p>
        </w:tc>
        <w:tc>
          <w:tcPr>
            <w:tcW w:w="1074" w:type="pct"/>
            <w:vAlign w:val="center"/>
          </w:tcPr>
          <w:p w14:paraId="278857F9">
            <w:pPr>
              <w:pStyle w:val="29"/>
              <w:rPr>
                <w:sz w:val="21"/>
                <w:szCs w:val="21"/>
              </w:rPr>
            </w:pPr>
            <w:r>
              <w:rPr>
                <w:sz w:val="21"/>
                <w:szCs w:val="21"/>
              </w:rPr>
              <w:t>排放口（编号、名称）/污染源</w:t>
            </w:r>
          </w:p>
        </w:tc>
        <w:tc>
          <w:tcPr>
            <w:tcW w:w="1074" w:type="pct"/>
            <w:vAlign w:val="center"/>
          </w:tcPr>
          <w:p w14:paraId="34A3C29A">
            <w:pPr>
              <w:pStyle w:val="29"/>
              <w:rPr>
                <w:sz w:val="21"/>
                <w:szCs w:val="21"/>
              </w:rPr>
            </w:pPr>
            <w:r>
              <w:rPr>
                <w:sz w:val="21"/>
                <w:szCs w:val="21"/>
              </w:rPr>
              <w:t>污染物项目</w:t>
            </w:r>
          </w:p>
        </w:tc>
        <w:tc>
          <w:tcPr>
            <w:tcW w:w="1074" w:type="pct"/>
            <w:vAlign w:val="center"/>
          </w:tcPr>
          <w:p w14:paraId="096D4AF1">
            <w:pPr>
              <w:pStyle w:val="29"/>
              <w:rPr>
                <w:sz w:val="21"/>
                <w:szCs w:val="21"/>
              </w:rPr>
            </w:pPr>
            <w:r>
              <w:rPr>
                <w:sz w:val="21"/>
                <w:szCs w:val="21"/>
              </w:rPr>
              <w:t>环境保护措施</w:t>
            </w:r>
          </w:p>
        </w:tc>
        <w:tc>
          <w:tcPr>
            <w:tcW w:w="1074" w:type="pct"/>
            <w:vAlign w:val="center"/>
          </w:tcPr>
          <w:p w14:paraId="40E0AD7B">
            <w:pPr>
              <w:pStyle w:val="29"/>
              <w:rPr>
                <w:sz w:val="21"/>
                <w:szCs w:val="21"/>
              </w:rPr>
            </w:pPr>
            <w:r>
              <w:rPr>
                <w:sz w:val="21"/>
                <w:szCs w:val="21"/>
              </w:rPr>
              <w:t>执行标准</w:t>
            </w:r>
          </w:p>
        </w:tc>
      </w:tr>
      <w:tr w14:paraId="6B4265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restart"/>
            <w:vAlign w:val="center"/>
          </w:tcPr>
          <w:p w14:paraId="7F4BAC75">
            <w:pPr>
              <w:pStyle w:val="29"/>
              <w:rPr>
                <w:sz w:val="21"/>
                <w:szCs w:val="21"/>
              </w:rPr>
            </w:pPr>
            <w:r>
              <w:rPr>
                <w:sz w:val="21"/>
                <w:szCs w:val="21"/>
              </w:rPr>
              <w:t>大气环境</w:t>
            </w:r>
          </w:p>
        </w:tc>
        <w:tc>
          <w:tcPr>
            <w:tcW w:w="454" w:type="pct"/>
            <w:vMerge w:val="restart"/>
            <w:vAlign w:val="center"/>
          </w:tcPr>
          <w:p w14:paraId="152403BC">
            <w:pPr>
              <w:pStyle w:val="29"/>
              <w:rPr>
                <w:sz w:val="21"/>
                <w:szCs w:val="21"/>
              </w:rPr>
            </w:pPr>
            <w:r>
              <w:rPr>
                <w:rFonts w:hint="default"/>
                <w:sz w:val="21"/>
                <w:szCs w:val="21"/>
                <w:lang w:eastAsia="zh-CN"/>
              </w:rPr>
              <w:t>有</w:t>
            </w:r>
            <w:r>
              <w:rPr>
                <w:sz w:val="21"/>
                <w:szCs w:val="21"/>
              </w:rPr>
              <w:t>组织</w:t>
            </w:r>
          </w:p>
        </w:tc>
        <w:tc>
          <w:tcPr>
            <w:tcW w:w="1074" w:type="pct"/>
            <w:vAlign w:val="center"/>
          </w:tcPr>
          <w:p w14:paraId="21B00742">
            <w:pPr>
              <w:pStyle w:val="29"/>
              <w:rPr>
                <w:sz w:val="21"/>
                <w:szCs w:val="21"/>
              </w:rPr>
            </w:pPr>
            <w:r>
              <w:rPr>
                <w:rFonts w:eastAsiaTheme="minorEastAsia"/>
                <w:sz w:val="21"/>
                <w:szCs w:val="21"/>
              </w:rPr>
              <w:t>DA001</w:t>
            </w:r>
          </w:p>
        </w:tc>
        <w:tc>
          <w:tcPr>
            <w:tcW w:w="1074" w:type="pct"/>
            <w:vAlign w:val="center"/>
          </w:tcPr>
          <w:p w14:paraId="79133F26">
            <w:pPr>
              <w:pStyle w:val="29"/>
              <w:rPr>
                <w:sz w:val="21"/>
                <w:szCs w:val="21"/>
              </w:rPr>
            </w:pPr>
            <w:r>
              <w:rPr>
                <w:sz w:val="21"/>
                <w:szCs w:val="21"/>
              </w:rPr>
              <w:t>非甲烷总烃</w:t>
            </w:r>
          </w:p>
        </w:tc>
        <w:tc>
          <w:tcPr>
            <w:tcW w:w="1074" w:type="pct"/>
            <w:vAlign w:val="center"/>
          </w:tcPr>
          <w:p w14:paraId="726A7C47">
            <w:pPr>
              <w:pStyle w:val="29"/>
              <w:rPr>
                <w:sz w:val="21"/>
                <w:szCs w:val="21"/>
              </w:rPr>
            </w:pPr>
            <w:r>
              <w:rPr>
                <w:sz w:val="21"/>
                <w:szCs w:val="21"/>
              </w:rPr>
              <w:t>集气罩+二级活性炭吸附+15m高排气筒</w:t>
            </w:r>
          </w:p>
        </w:tc>
        <w:tc>
          <w:tcPr>
            <w:tcW w:w="1074" w:type="pct"/>
            <w:vAlign w:val="center"/>
          </w:tcPr>
          <w:p w14:paraId="7A2EAA26">
            <w:pPr>
              <w:pStyle w:val="29"/>
              <w:rPr>
                <w:sz w:val="21"/>
                <w:szCs w:val="21"/>
              </w:rPr>
            </w:pPr>
            <w:r>
              <w:rPr>
                <w:sz w:val="21"/>
                <w:szCs w:val="21"/>
              </w:rPr>
              <w:t>《固定源挥发性有机物综合排放标准  第4部分：印刷工业》（DB34/4812.4-2024）</w:t>
            </w:r>
          </w:p>
        </w:tc>
      </w:tr>
      <w:tr w14:paraId="636B1F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248" w:type="pct"/>
            <w:vMerge w:val="continue"/>
            <w:vAlign w:val="center"/>
          </w:tcPr>
          <w:p w14:paraId="6D3B9B8F">
            <w:pPr>
              <w:pStyle w:val="29"/>
              <w:rPr>
                <w:sz w:val="21"/>
                <w:szCs w:val="21"/>
              </w:rPr>
            </w:pPr>
          </w:p>
        </w:tc>
        <w:tc>
          <w:tcPr>
            <w:tcW w:w="454" w:type="pct"/>
            <w:vMerge w:val="continue"/>
            <w:vAlign w:val="center"/>
          </w:tcPr>
          <w:p w14:paraId="22CBBD9A">
            <w:pPr>
              <w:pStyle w:val="29"/>
              <w:rPr>
                <w:sz w:val="21"/>
                <w:szCs w:val="21"/>
              </w:rPr>
            </w:pPr>
          </w:p>
        </w:tc>
        <w:tc>
          <w:tcPr>
            <w:tcW w:w="1074" w:type="pct"/>
            <w:vMerge w:val="restart"/>
            <w:vAlign w:val="center"/>
          </w:tcPr>
          <w:p w14:paraId="7D359223">
            <w:pPr>
              <w:pStyle w:val="29"/>
              <w:rPr>
                <w:rFonts w:eastAsiaTheme="minorEastAsia"/>
                <w:sz w:val="21"/>
                <w:szCs w:val="21"/>
              </w:rPr>
            </w:pPr>
            <w:r>
              <w:rPr>
                <w:rFonts w:eastAsiaTheme="minorEastAsia"/>
                <w:sz w:val="21"/>
                <w:szCs w:val="21"/>
              </w:rPr>
              <w:t>DA002</w:t>
            </w:r>
          </w:p>
        </w:tc>
        <w:tc>
          <w:tcPr>
            <w:tcW w:w="1074" w:type="pct"/>
            <w:vAlign w:val="center"/>
          </w:tcPr>
          <w:p w14:paraId="0B3436B7">
            <w:pPr>
              <w:pStyle w:val="29"/>
              <w:rPr>
                <w:sz w:val="21"/>
                <w:szCs w:val="21"/>
              </w:rPr>
            </w:pPr>
            <w:r>
              <w:rPr>
                <w:sz w:val="21"/>
                <w:szCs w:val="21"/>
              </w:rPr>
              <w:t>颗粒物</w:t>
            </w:r>
          </w:p>
        </w:tc>
        <w:tc>
          <w:tcPr>
            <w:tcW w:w="1074" w:type="pct"/>
            <w:vMerge w:val="restart"/>
            <w:vAlign w:val="center"/>
          </w:tcPr>
          <w:p w14:paraId="6D23B077">
            <w:pPr>
              <w:pStyle w:val="29"/>
              <w:rPr>
                <w:sz w:val="21"/>
                <w:szCs w:val="21"/>
              </w:rPr>
            </w:pPr>
            <w:r>
              <w:rPr>
                <w:sz w:val="21"/>
                <w:szCs w:val="21"/>
              </w:rPr>
              <w:t>低氮燃烧+15m高排气筒</w:t>
            </w:r>
          </w:p>
        </w:tc>
        <w:tc>
          <w:tcPr>
            <w:tcW w:w="1074" w:type="pct"/>
            <w:vMerge w:val="restart"/>
            <w:vAlign w:val="center"/>
          </w:tcPr>
          <w:p w14:paraId="0D35C8F5">
            <w:pPr>
              <w:pStyle w:val="29"/>
              <w:rPr>
                <w:sz w:val="21"/>
                <w:szCs w:val="21"/>
              </w:rPr>
            </w:pPr>
            <w:r>
              <w:rPr>
                <w:sz w:val="21"/>
                <w:szCs w:val="21"/>
              </w:rPr>
              <w:t>《锅炉大气污染物排放标准》（GB13271-2014）表3规定的排放限值</w:t>
            </w:r>
          </w:p>
        </w:tc>
      </w:tr>
      <w:tr w14:paraId="5E6D2F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248" w:type="pct"/>
            <w:vMerge w:val="continue"/>
            <w:vAlign w:val="center"/>
          </w:tcPr>
          <w:p w14:paraId="1F93B4A2">
            <w:pPr>
              <w:pStyle w:val="29"/>
              <w:rPr>
                <w:sz w:val="21"/>
                <w:szCs w:val="21"/>
              </w:rPr>
            </w:pPr>
          </w:p>
        </w:tc>
        <w:tc>
          <w:tcPr>
            <w:tcW w:w="454" w:type="pct"/>
            <w:vMerge w:val="continue"/>
            <w:vAlign w:val="center"/>
          </w:tcPr>
          <w:p w14:paraId="00855C15">
            <w:pPr>
              <w:pStyle w:val="29"/>
              <w:rPr>
                <w:sz w:val="21"/>
                <w:szCs w:val="21"/>
              </w:rPr>
            </w:pPr>
          </w:p>
        </w:tc>
        <w:tc>
          <w:tcPr>
            <w:tcW w:w="1074" w:type="pct"/>
            <w:vMerge w:val="continue"/>
            <w:vAlign w:val="center"/>
          </w:tcPr>
          <w:p w14:paraId="172A5212">
            <w:pPr>
              <w:pStyle w:val="29"/>
              <w:rPr>
                <w:rFonts w:eastAsiaTheme="minorEastAsia"/>
                <w:sz w:val="21"/>
                <w:szCs w:val="21"/>
              </w:rPr>
            </w:pPr>
          </w:p>
        </w:tc>
        <w:tc>
          <w:tcPr>
            <w:tcW w:w="1074" w:type="pct"/>
            <w:vAlign w:val="center"/>
          </w:tcPr>
          <w:p w14:paraId="4D9B381C">
            <w:pPr>
              <w:pStyle w:val="29"/>
              <w:rPr>
                <w:sz w:val="21"/>
                <w:szCs w:val="21"/>
              </w:rPr>
            </w:pPr>
            <w:r>
              <w:rPr>
                <w:sz w:val="21"/>
                <w:szCs w:val="21"/>
              </w:rPr>
              <w:t>SO</w:t>
            </w:r>
            <w:r>
              <w:rPr>
                <w:sz w:val="21"/>
                <w:szCs w:val="21"/>
                <w:vertAlign w:val="subscript"/>
              </w:rPr>
              <w:t>2</w:t>
            </w:r>
          </w:p>
        </w:tc>
        <w:tc>
          <w:tcPr>
            <w:tcW w:w="1074" w:type="pct"/>
            <w:vMerge w:val="continue"/>
            <w:vAlign w:val="center"/>
          </w:tcPr>
          <w:p w14:paraId="56C458A8">
            <w:pPr>
              <w:pStyle w:val="29"/>
              <w:rPr>
                <w:sz w:val="21"/>
                <w:szCs w:val="21"/>
              </w:rPr>
            </w:pPr>
          </w:p>
        </w:tc>
        <w:tc>
          <w:tcPr>
            <w:tcW w:w="1074" w:type="pct"/>
            <w:vMerge w:val="continue"/>
            <w:vAlign w:val="center"/>
          </w:tcPr>
          <w:p w14:paraId="458A1C51">
            <w:pPr>
              <w:pStyle w:val="29"/>
              <w:rPr>
                <w:sz w:val="21"/>
                <w:szCs w:val="21"/>
              </w:rPr>
            </w:pPr>
          </w:p>
        </w:tc>
      </w:tr>
      <w:tr w14:paraId="1C03FD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8" w:type="pct"/>
            <w:vMerge w:val="continue"/>
            <w:vAlign w:val="center"/>
          </w:tcPr>
          <w:p w14:paraId="1DD1DBFF">
            <w:pPr>
              <w:pStyle w:val="29"/>
              <w:rPr>
                <w:sz w:val="21"/>
                <w:szCs w:val="21"/>
              </w:rPr>
            </w:pPr>
          </w:p>
        </w:tc>
        <w:tc>
          <w:tcPr>
            <w:tcW w:w="454" w:type="pct"/>
            <w:vMerge w:val="continue"/>
            <w:vAlign w:val="center"/>
          </w:tcPr>
          <w:p w14:paraId="16F18DA5">
            <w:pPr>
              <w:pStyle w:val="29"/>
              <w:rPr>
                <w:sz w:val="21"/>
                <w:szCs w:val="21"/>
              </w:rPr>
            </w:pPr>
          </w:p>
        </w:tc>
        <w:tc>
          <w:tcPr>
            <w:tcW w:w="1074" w:type="pct"/>
            <w:vMerge w:val="continue"/>
            <w:vAlign w:val="center"/>
          </w:tcPr>
          <w:p w14:paraId="4BD3BBC5">
            <w:pPr>
              <w:pStyle w:val="29"/>
              <w:rPr>
                <w:rFonts w:eastAsiaTheme="minorEastAsia"/>
                <w:sz w:val="21"/>
                <w:szCs w:val="21"/>
              </w:rPr>
            </w:pPr>
          </w:p>
        </w:tc>
        <w:tc>
          <w:tcPr>
            <w:tcW w:w="1074" w:type="pct"/>
            <w:vAlign w:val="center"/>
          </w:tcPr>
          <w:p w14:paraId="14D763B0">
            <w:pPr>
              <w:pStyle w:val="29"/>
              <w:rPr>
                <w:sz w:val="21"/>
                <w:szCs w:val="21"/>
              </w:rPr>
            </w:pPr>
            <w:r>
              <w:rPr>
                <w:sz w:val="21"/>
                <w:szCs w:val="21"/>
              </w:rPr>
              <w:t>烟气黑度</w:t>
            </w:r>
          </w:p>
        </w:tc>
        <w:tc>
          <w:tcPr>
            <w:tcW w:w="1074" w:type="pct"/>
            <w:vMerge w:val="continue"/>
            <w:vAlign w:val="center"/>
          </w:tcPr>
          <w:p w14:paraId="261818BA">
            <w:pPr>
              <w:pStyle w:val="29"/>
              <w:rPr>
                <w:sz w:val="21"/>
                <w:szCs w:val="21"/>
              </w:rPr>
            </w:pPr>
          </w:p>
        </w:tc>
        <w:tc>
          <w:tcPr>
            <w:tcW w:w="1074" w:type="pct"/>
            <w:vMerge w:val="continue"/>
            <w:vAlign w:val="center"/>
          </w:tcPr>
          <w:p w14:paraId="05795D7B">
            <w:pPr>
              <w:pStyle w:val="29"/>
              <w:rPr>
                <w:sz w:val="21"/>
                <w:szCs w:val="21"/>
              </w:rPr>
            </w:pPr>
          </w:p>
        </w:tc>
      </w:tr>
      <w:tr w14:paraId="2B15E9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248" w:type="pct"/>
            <w:vMerge w:val="continue"/>
            <w:vAlign w:val="center"/>
          </w:tcPr>
          <w:p w14:paraId="60161666">
            <w:pPr>
              <w:pStyle w:val="29"/>
              <w:rPr>
                <w:sz w:val="21"/>
                <w:szCs w:val="21"/>
              </w:rPr>
            </w:pPr>
          </w:p>
        </w:tc>
        <w:tc>
          <w:tcPr>
            <w:tcW w:w="454" w:type="pct"/>
            <w:vMerge w:val="continue"/>
            <w:vAlign w:val="center"/>
          </w:tcPr>
          <w:p w14:paraId="4A6624B7">
            <w:pPr>
              <w:pStyle w:val="29"/>
              <w:rPr>
                <w:sz w:val="21"/>
                <w:szCs w:val="21"/>
              </w:rPr>
            </w:pPr>
          </w:p>
        </w:tc>
        <w:tc>
          <w:tcPr>
            <w:tcW w:w="1074" w:type="pct"/>
            <w:vMerge w:val="continue"/>
            <w:vAlign w:val="center"/>
          </w:tcPr>
          <w:p w14:paraId="4B9B5C44">
            <w:pPr>
              <w:pStyle w:val="29"/>
              <w:rPr>
                <w:rFonts w:eastAsiaTheme="minorEastAsia"/>
                <w:sz w:val="21"/>
                <w:szCs w:val="21"/>
              </w:rPr>
            </w:pPr>
          </w:p>
        </w:tc>
        <w:tc>
          <w:tcPr>
            <w:tcW w:w="1074" w:type="pct"/>
            <w:vAlign w:val="center"/>
          </w:tcPr>
          <w:p w14:paraId="222F8A1A">
            <w:pPr>
              <w:pStyle w:val="29"/>
              <w:rPr>
                <w:sz w:val="21"/>
                <w:szCs w:val="21"/>
              </w:rPr>
            </w:pPr>
            <w:r>
              <w:rPr>
                <w:sz w:val="21"/>
                <w:szCs w:val="21"/>
              </w:rPr>
              <w:t>NO</w:t>
            </w:r>
            <w:r>
              <w:rPr>
                <w:sz w:val="21"/>
                <w:szCs w:val="21"/>
                <w:vertAlign w:val="subscript"/>
              </w:rPr>
              <w:t>X</w:t>
            </w:r>
          </w:p>
        </w:tc>
        <w:tc>
          <w:tcPr>
            <w:tcW w:w="1074" w:type="pct"/>
            <w:vMerge w:val="continue"/>
            <w:vAlign w:val="center"/>
          </w:tcPr>
          <w:p w14:paraId="14D1C26B">
            <w:pPr>
              <w:pStyle w:val="29"/>
              <w:rPr>
                <w:sz w:val="21"/>
                <w:szCs w:val="21"/>
              </w:rPr>
            </w:pPr>
          </w:p>
        </w:tc>
        <w:tc>
          <w:tcPr>
            <w:tcW w:w="1074" w:type="pct"/>
            <w:vAlign w:val="center"/>
          </w:tcPr>
          <w:p w14:paraId="4E1C3479">
            <w:pPr>
              <w:pStyle w:val="29"/>
              <w:rPr>
                <w:sz w:val="21"/>
                <w:szCs w:val="21"/>
              </w:rPr>
            </w:pPr>
            <w:r>
              <w:rPr>
                <w:sz w:val="21"/>
                <w:szCs w:val="21"/>
              </w:rPr>
              <w:t>《</w:t>
            </w:r>
            <w:r>
              <w:rPr>
                <w:sz w:val="21"/>
                <w:szCs w:val="21"/>
              </w:rPr>
              <w:fldChar w:fldCharType="begin"/>
            </w:r>
            <w:r>
              <w:rPr>
                <w:sz w:val="21"/>
                <w:szCs w:val="21"/>
              </w:rPr>
              <w:instrText xml:space="preserve"> HYPERLINK "http://www.baidu.com/link?url=ZNNe43pOS2hRtv6tvIPL0nhKjK4JzdCxG8ZBr44EV4BLFlLxV611XcUnOXfTyrrPDW1LQ2nx-TphXw8zrobo0f4BdvCDr4NAKh9xB48tXiBrY2ySJe9rdXEUxmFL4t2RRc8G6mrXQfqDzqgRozxRUK" \t "https://www.baidu.com/_blank" </w:instrText>
            </w:r>
            <w:r>
              <w:rPr>
                <w:sz w:val="21"/>
                <w:szCs w:val="21"/>
              </w:rPr>
              <w:fldChar w:fldCharType="separate"/>
            </w:r>
            <w:r>
              <w:rPr>
                <w:sz w:val="21"/>
                <w:szCs w:val="21"/>
              </w:rPr>
              <w:t>安徽省大气办关于印发</w:t>
            </w:r>
            <w:r>
              <w:rPr>
                <w:sz w:val="21"/>
                <w:szCs w:val="21"/>
              </w:rPr>
              <w:fldChar w:fldCharType="end"/>
            </w:r>
            <w:r>
              <w:rPr>
                <w:sz w:val="21"/>
                <w:szCs w:val="21"/>
              </w:rPr>
              <w:t xml:space="preserve">&lt;安徽省2020年大气污染防治重点工作任务&gt;的通知》 </w:t>
            </w:r>
          </w:p>
        </w:tc>
      </w:tr>
      <w:tr w14:paraId="1C174B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continue"/>
            <w:vAlign w:val="center"/>
          </w:tcPr>
          <w:p w14:paraId="02A1967D">
            <w:pPr>
              <w:pStyle w:val="29"/>
              <w:rPr>
                <w:sz w:val="21"/>
                <w:szCs w:val="21"/>
              </w:rPr>
            </w:pPr>
          </w:p>
        </w:tc>
        <w:tc>
          <w:tcPr>
            <w:tcW w:w="454" w:type="pct"/>
            <w:vMerge w:val="restart"/>
            <w:vAlign w:val="center"/>
          </w:tcPr>
          <w:p w14:paraId="0C16FE46">
            <w:pPr>
              <w:pStyle w:val="29"/>
              <w:rPr>
                <w:sz w:val="21"/>
                <w:szCs w:val="21"/>
              </w:rPr>
            </w:pPr>
            <w:r>
              <w:rPr>
                <w:sz w:val="21"/>
                <w:szCs w:val="21"/>
              </w:rPr>
              <w:t>无组织</w:t>
            </w:r>
          </w:p>
        </w:tc>
        <w:tc>
          <w:tcPr>
            <w:tcW w:w="1074" w:type="pct"/>
            <w:vMerge w:val="restart"/>
            <w:vAlign w:val="center"/>
          </w:tcPr>
          <w:p w14:paraId="69257422">
            <w:pPr>
              <w:pStyle w:val="29"/>
              <w:rPr>
                <w:sz w:val="21"/>
                <w:szCs w:val="21"/>
              </w:rPr>
            </w:pPr>
            <w:r>
              <w:rPr>
                <w:sz w:val="21"/>
                <w:szCs w:val="21"/>
              </w:rPr>
              <w:t>厂界无组织</w:t>
            </w:r>
          </w:p>
        </w:tc>
        <w:tc>
          <w:tcPr>
            <w:tcW w:w="1074" w:type="pct"/>
            <w:vAlign w:val="center"/>
          </w:tcPr>
          <w:p w14:paraId="5CE52FBB">
            <w:pPr>
              <w:pStyle w:val="29"/>
              <w:rPr>
                <w:sz w:val="21"/>
                <w:szCs w:val="21"/>
              </w:rPr>
            </w:pPr>
            <w:r>
              <w:rPr>
                <w:sz w:val="21"/>
                <w:szCs w:val="21"/>
              </w:rPr>
              <w:t>非甲烷总烃</w:t>
            </w:r>
          </w:p>
        </w:tc>
        <w:tc>
          <w:tcPr>
            <w:tcW w:w="1074" w:type="pct"/>
            <w:vMerge w:val="restart"/>
            <w:vAlign w:val="center"/>
          </w:tcPr>
          <w:p w14:paraId="5F64FF5C">
            <w:pPr>
              <w:pStyle w:val="29"/>
              <w:rPr>
                <w:sz w:val="21"/>
                <w:szCs w:val="21"/>
              </w:rPr>
            </w:pPr>
            <w:r>
              <w:rPr>
                <w:sz w:val="21"/>
                <w:szCs w:val="21"/>
              </w:rPr>
              <w:t>选用高质量的生产设备，提高安装质量，加强车间密闭性，尽量减少废气逸散途径，定期进行检修维护，保证废气的收集效果；废气处理设备事先运行，同时加强对操作工的培训和管理，规范操作流程，以减少人为造成的废气无组织排放；在车间外侧合理设置绿化，降低无组织排放废气的影响。</w:t>
            </w:r>
          </w:p>
        </w:tc>
        <w:tc>
          <w:tcPr>
            <w:tcW w:w="1074" w:type="pct"/>
            <w:vAlign w:val="center"/>
          </w:tcPr>
          <w:p w14:paraId="40A551E0">
            <w:pPr>
              <w:pStyle w:val="29"/>
              <w:rPr>
                <w:sz w:val="21"/>
                <w:szCs w:val="21"/>
              </w:rPr>
            </w:pPr>
            <w:r>
              <w:rPr>
                <w:sz w:val="21"/>
                <w:szCs w:val="21"/>
              </w:rPr>
              <w:t>《大气污染物综合排放标准》（GB16297-1996）</w:t>
            </w:r>
          </w:p>
          <w:p w14:paraId="2142D5F8">
            <w:pPr>
              <w:pStyle w:val="29"/>
              <w:rPr>
                <w:sz w:val="21"/>
                <w:szCs w:val="21"/>
              </w:rPr>
            </w:pPr>
            <w:r>
              <w:rPr>
                <w:sz w:val="21"/>
                <w:szCs w:val="21"/>
              </w:rPr>
              <w:t>《固定源挥发性有机物综合排放标准  第4部分：印刷工业》（DB34/4812.4-2024）</w:t>
            </w:r>
          </w:p>
        </w:tc>
      </w:tr>
      <w:tr w14:paraId="38BF39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continue"/>
            <w:vAlign w:val="center"/>
          </w:tcPr>
          <w:p w14:paraId="44B98256">
            <w:pPr>
              <w:pStyle w:val="29"/>
              <w:rPr>
                <w:sz w:val="21"/>
                <w:szCs w:val="21"/>
              </w:rPr>
            </w:pPr>
          </w:p>
        </w:tc>
        <w:tc>
          <w:tcPr>
            <w:tcW w:w="454" w:type="pct"/>
            <w:vMerge w:val="continue"/>
            <w:vAlign w:val="center"/>
          </w:tcPr>
          <w:p w14:paraId="1BCA0698">
            <w:pPr>
              <w:pStyle w:val="29"/>
              <w:rPr>
                <w:sz w:val="21"/>
                <w:szCs w:val="21"/>
              </w:rPr>
            </w:pPr>
          </w:p>
        </w:tc>
        <w:tc>
          <w:tcPr>
            <w:tcW w:w="1074" w:type="pct"/>
            <w:vMerge w:val="continue"/>
            <w:vAlign w:val="center"/>
          </w:tcPr>
          <w:p w14:paraId="306BB788">
            <w:pPr>
              <w:pStyle w:val="29"/>
              <w:rPr>
                <w:sz w:val="21"/>
                <w:szCs w:val="21"/>
              </w:rPr>
            </w:pPr>
          </w:p>
        </w:tc>
        <w:tc>
          <w:tcPr>
            <w:tcW w:w="1074" w:type="pct"/>
            <w:vAlign w:val="center"/>
          </w:tcPr>
          <w:p w14:paraId="2F6CACBB">
            <w:pPr>
              <w:pStyle w:val="29"/>
              <w:rPr>
                <w:sz w:val="21"/>
                <w:szCs w:val="21"/>
              </w:rPr>
            </w:pPr>
            <w:r>
              <w:rPr>
                <w:sz w:val="21"/>
                <w:szCs w:val="21"/>
              </w:rPr>
              <w:t>颗粒物</w:t>
            </w:r>
          </w:p>
        </w:tc>
        <w:tc>
          <w:tcPr>
            <w:tcW w:w="1074" w:type="pct"/>
            <w:vMerge w:val="continue"/>
            <w:vAlign w:val="center"/>
          </w:tcPr>
          <w:p w14:paraId="772B50FB">
            <w:pPr>
              <w:pStyle w:val="29"/>
              <w:rPr>
                <w:sz w:val="21"/>
                <w:szCs w:val="21"/>
              </w:rPr>
            </w:pPr>
          </w:p>
        </w:tc>
        <w:tc>
          <w:tcPr>
            <w:tcW w:w="1074" w:type="pct"/>
            <w:vMerge w:val="restart"/>
            <w:vAlign w:val="center"/>
          </w:tcPr>
          <w:p w14:paraId="53CE9F39">
            <w:pPr>
              <w:pStyle w:val="29"/>
              <w:rPr>
                <w:sz w:val="21"/>
                <w:szCs w:val="21"/>
              </w:rPr>
            </w:pPr>
            <w:r>
              <w:rPr>
                <w:sz w:val="21"/>
                <w:szCs w:val="21"/>
              </w:rPr>
              <w:t>《大气污染物综合排放标准》（GB16297-1996）中表2标准限值。</w:t>
            </w:r>
          </w:p>
        </w:tc>
      </w:tr>
      <w:tr w14:paraId="518C73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continue"/>
            <w:vAlign w:val="center"/>
          </w:tcPr>
          <w:p w14:paraId="1B035903">
            <w:pPr>
              <w:pStyle w:val="29"/>
              <w:rPr>
                <w:sz w:val="21"/>
                <w:szCs w:val="21"/>
              </w:rPr>
            </w:pPr>
          </w:p>
        </w:tc>
        <w:tc>
          <w:tcPr>
            <w:tcW w:w="454" w:type="pct"/>
            <w:vMerge w:val="continue"/>
            <w:vAlign w:val="center"/>
          </w:tcPr>
          <w:p w14:paraId="6A7A93FD">
            <w:pPr>
              <w:pStyle w:val="29"/>
              <w:rPr>
                <w:sz w:val="21"/>
                <w:szCs w:val="21"/>
              </w:rPr>
            </w:pPr>
          </w:p>
        </w:tc>
        <w:tc>
          <w:tcPr>
            <w:tcW w:w="1074" w:type="pct"/>
            <w:vMerge w:val="continue"/>
            <w:vAlign w:val="center"/>
          </w:tcPr>
          <w:p w14:paraId="7B8C512F">
            <w:pPr>
              <w:pStyle w:val="29"/>
              <w:rPr>
                <w:sz w:val="21"/>
                <w:szCs w:val="21"/>
              </w:rPr>
            </w:pPr>
          </w:p>
        </w:tc>
        <w:tc>
          <w:tcPr>
            <w:tcW w:w="1074" w:type="pct"/>
            <w:vAlign w:val="center"/>
          </w:tcPr>
          <w:p w14:paraId="51137714">
            <w:pPr>
              <w:pStyle w:val="29"/>
              <w:rPr>
                <w:sz w:val="21"/>
                <w:szCs w:val="21"/>
              </w:rPr>
            </w:pPr>
            <w:r>
              <w:rPr>
                <w:sz w:val="21"/>
                <w:szCs w:val="21"/>
              </w:rPr>
              <w:t>SO</w:t>
            </w:r>
            <w:r>
              <w:rPr>
                <w:sz w:val="21"/>
                <w:szCs w:val="21"/>
                <w:vertAlign w:val="subscript"/>
              </w:rPr>
              <w:t>2</w:t>
            </w:r>
          </w:p>
        </w:tc>
        <w:tc>
          <w:tcPr>
            <w:tcW w:w="1074" w:type="pct"/>
            <w:vMerge w:val="continue"/>
            <w:vAlign w:val="center"/>
          </w:tcPr>
          <w:p w14:paraId="72CC0F9B">
            <w:pPr>
              <w:pStyle w:val="29"/>
              <w:rPr>
                <w:sz w:val="21"/>
                <w:szCs w:val="21"/>
              </w:rPr>
            </w:pPr>
          </w:p>
        </w:tc>
        <w:tc>
          <w:tcPr>
            <w:tcW w:w="1074" w:type="pct"/>
            <w:vMerge w:val="continue"/>
            <w:vAlign w:val="center"/>
          </w:tcPr>
          <w:p w14:paraId="197FA93E">
            <w:pPr>
              <w:pStyle w:val="29"/>
              <w:rPr>
                <w:sz w:val="21"/>
                <w:szCs w:val="21"/>
              </w:rPr>
            </w:pPr>
          </w:p>
        </w:tc>
      </w:tr>
      <w:tr w14:paraId="0AB89B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continue"/>
            <w:vAlign w:val="center"/>
          </w:tcPr>
          <w:p w14:paraId="1442ABB5">
            <w:pPr>
              <w:pStyle w:val="29"/>
              <w:rPr>
                <w:sz w:val="21"/>
                <w:szCs w:val="21"/>
              </w:rPr>
            </w:pPr>
          </w:p>
        </w:tc>
        <w:tc>
          <w:tcPr>
            <w:tcW w:w="454" w:type="pct"/>
            <w:vMerge w:val="continue"/>
            <w:vAlign w:val="center"/>
          </w:tcPr>
          <w:p w14:paraId="5CC1EF62">
            <w:pPr>
              <w:pStyle w:val="29"/>
              <w:rPr>
                <w:sz w:val="21"/>
                <w:szCs w:val="21"/>
              </w:rPr>
            </w:pPr>
          </w:p>
        </w:tc>
        <w:tc>
          <w:tcPr>
            <w:tcW w:w="1074" w:type="pct"/>
            <w:vMerge w:val="continue"/>
            <w:vAlign w:val="center"/>
          </w:tcPr>
          <w:p w14:paraId="17095806">
            <w:pPr>
              <w:pStyle w:val="29"/>
              <w:rPr>
                <w:sz w:val="21"/>
                <w:szCs w:val="21"/>
              </w:rPr>
            </w:pPr>
          </w:p>
        </w:tc>
        <w:tc>
          <w:tcPr>
            <w:tcW w:w="1074" w:type="pct"/>
            <w:vAlign w:val="center"/>
          </w:tcPr>
          <w:p w14:paraId="5C82945A">
            <w:pPr>
              <w:pStyle w:val="29"/>
              <w:rPr>
                <w:sz w:val="21"/>
                <w:szCs w:val="21"/>
              </w:rPr>
            </w:pPr>
            <w:r>
              <w:rPr>
                <w:sz w:val="21"/>
                <w:szCs w:val="21"/>
              </w:rPr>
              <w:t>NO</w:t>
            </w:r>
            <w:r>
              <w:rPr>
                <w:sz w:val="21"/>
                <w:szCs w:val="21"/>
                <w:vertAlign w:val="subscript"/>
              </w:rPr>
              <w:t>X</w:t>
            </w:r>
          </w:p>
        </w:tc>
        <w:tc>
          <w:tcPr>
            <w:tcW w:w="1074" w:type="pct"/>
            <w:vMerge w:val="continue"/>
            <w:vAlign w:val="center"/>
          </w:tcPr>
          <w:p w14:paraId="1882270D">
            <w:pPr>
              <w:pStyle w:val="29"/>
              <w:rPr>
                <w:sz w:val="21"/>
                <w:szCs w:val="21"/>
              </w:rPr>
            </w:pPr>
          </w:p>
        </w:tc>
        <w:tc>
          <w:tcPr>
            <w:tcW w:w="1074" w:type="pct"/>
            <w:vMerge w:val="continue"/>
            <w:vAlign w:val="center"/>
          </w:tcPr>
          <w:p w14:paraId="5420D5D8">
            <w:pPr>
              <w:pStyle w:val="29"/>
              <w:rPr>
                <w:sz w:val="21"/>
                <w:szCs w:val="21"/>
              </w:rPr>
            </w:pPr>
          </w:p>
        </w:tc>
      </w:tr>
      <w:tr w14:paraId="556C04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48" w:type="pct"/>
            <w:vMerge w:val="continue"/>
            <w:vAlign w:val="center"/>
          </w:tcPr>
          <w:p w14:paraId="67261A23">
            <w:pPr>
              <w:pStyle w:val="29"/>
              <w:rPr>
                <w:sz w:val="21"/>
                <w:szCs w:val="21"/>
              </w:rPr>
            </w:pPr>
          </w:p>
        </w:tc>
        <w:tc>
          <w:tcPr>
            <w:tcW w:w="454" w:type="pct"/>
            <w:vMerge w:val="continue"/>
            <w:vAlign w:val="center"/>
          </w:tcPr>
          <w:p w14:paraId="3BC5962B">
            <w:pPr>
              <w:pStyle w:val="29"/>
              <w:rPr>
                <w:sz w:val="21"/>
                <w:szCs w:val="21"/>
              </w:rPr>
            </w:pPr>
          </w:p>
        </w:tc>
        <w:tc>
          <w:tcPr>
            <w:tcW w:w="1074" w:type="pct"/>
            <w:vAlign w:val="center"/>
          </w:tcPr>
          <w:p w14:paraId="261EC737">
            <w:pPr>
              <w:pStyle w:val="29"/>
              <w:rPr>
                <w:sz w:val="21"/>
                <w:szCs w:val="21"/>
              </w:rPr>
            </w:pPr>
            <w:r>
              <w:rPr>
                <w:sz w:val="21"/>
                <w:szCs w:val="21"/>
              </w:rPr>
              <w:t>厂区无组织</w:t>
            </w:r>
          </w:p>
        </w:tc>
        <w:tc>
          <w:tcPr>
            <w:tcW w:w="1074" w:type="pct"/>
            <w:vAlign w:val="center"/>
          </w:tcPr>
          <w:p w14:paraId="05CD496C">
            <w:pPr>
              <w:pStyle w:val="29"/>
              <w:rPr>
                <w:sz w:val="21"/>
                <w:szCs w:val="21"/>
              </w:rPr>
            </w:pPr>
            <w:r>
              <w:rPr>
                <w:sz w:val="21"/>
                <w:szCs w:val="21"/>
              </w:rPr>
              <w:t>非甲烷总烃</w:t>
            </w:r>
          </w:p>
        </w:tc>
        <w:tc>
          <w:tcPr>
            <w:tcW w:w="1074" w:type="pct"/>
            <w:vMerge w:val="continue"/>
            <w:vAlign w:val="center"/>
          </w:tcPr>
          <w:p w14:paraId="2F866FCE">
            <w:pPr>
              <w:pStyle w:val="29"/>
              <w:rPr>
                <w:sz w:val="21"/>
                <w:szCs w:val="21"/>
              </w:rPr>
            </w:pPr>
          </w:p>
        </w:tc>
        <w:tc>
          <w:tcPr>
            <w:tcW w:w="1074" w:type="pct"/>
            <w:vAlign w:val="center"/>
          </w:tcPr>
          <w:p w14:paraId="537BF4D2">
            <w:pPr>
              <w:pStyle w:val="29"/>
              <w:rPr>
                <w:sz w:val="21"/>
                <w:szCs w:val="21"/>
              </w:rPr>
            </w:pPr>
            <w:r>
              <w:rPr>
                <w:sz w:val="21"/>
                <w:szCs w:val="21"/>
              </w:rPr>
              <w:t>《固定源挥发性有机物综合排放标准  第4部分：印刷工业》（DB34/4812.4-2024）</w:t>
            </w:r>
          </w:p>
        </w:tc>
      </w:tr>
      <w:tr w14:paraId="145F4B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248" w:type="pct"/>
            <w:vMerge w:val="continue"/>
            <w:vAlign w:val="center"/>
          </w:tcPr>
          <w:p w14:paraId="2C07480E">
            <w:pPr>
              <w:pStyle w:val="29"/>
              <w:rPr>
                <w:sz w:val="21"/>
                <w:szCs w:val="21"/>
              </w:rPr>
            </w:pPr>
          </w:p>
        </w:tc>
        <w:tc>
          <w:tcPr>
            <w:tcW w:w="454" w:type="pct"/>
            <w:vMerge w:val="continue"/>
            <w:vAlign w:val="center"/>
          </w:tcPr>
          <w:p w14:paraId="2E641023">
            <w:pPr>
              <w:pStyle w:val="29"/>
              <w:rPr>
                <w:sz w:val="21"/>
                <w:szCs w:val="21"/>
              </w:rPr>
            </w:pPr>
          </w:p>
        </w:tc>
        <w:tc>
          <w:tcPr>
            <w:tcW w:w="1074" w:type="pct"/>
            <w:vAlign w:val="center"/>
          </w:tcPr>
          <w:p w14:paraId="4FCBDA64">
            <w:pPr>
              <w:pStyle w:val="29"/>
              <w:rPr>
                <w:sz w:val="21"/>
                <w:szCs w:val="21"/>
              </w:rPr>
            </w:pPr>
            <w:r>
              <w:rPr>
                <w:sz w:val="21"/>
                <w:szCs w:val="21"/>
              </w:rPr>
              <w:t>餐饮油烟</w:t>
            </w:r>
          </w:p>
        </w:tc>
        <w:tc>
          <w:tcPr>
            <w:tcW w:w="1074" w:type="pct"/>
            <w:vAlign w:val="center"/>
          </w:tcPr>
          <w:p w14:paraId="5A8619B3">
            <w:pPr>
              <w:pStyle w:val="29"/>
              <w:rPr>
                <w:sz w:val="21"/>
                <w:szCs w:val="21"/>
              </w:rPr>
            </w:pPr>
            <w:r>
              <w:rPr>
                <w:sz w:val="21"/>
                <w:szCs w:val="21"/>
              </w:rPr>
              <w:t>油烟</w:t>
            </w:r>
          </w:p>
        </w:tc>
        <w:tc>
          <w:tcPr>
            <w:tcW w:w="1074" w:type="pct"/>
            <w:vAlign w:val="center"/>
          </w:tcPr>
          <w:p w14:paraId="6594CD07">
            <w:pPr>
              <w:pStyle w:val="29"/>
              <w:rPr>
                <w:sz w:val="21"/>
                <w:szCs w:val="21"/>
              </w:rPr>
            </w:pPr>
            <w:r>
              <w:rPr>
                <w:sz w:val="21"/>
                <w:szCs w:val="21"/>
              </w:rPr>
              <w:t>经油烟净化器（处理效率80%）处理后由烟道引至楼顶排放</w:t>
            </w:r>
          </w:p>
        </w:tc>
        <w:tc>
          <w:tcPr>
            <w:tcW w:w="1074" w:type="pct"/>
            <w:vAlign w:val="center"/>
          </w:tcPr>
          <w:p w14:paraId="188A800E">
            <w:pPr>
              <w:pStyle w:val="29"/>
              <w:rPr>
                <w:sz w:val="21"/>
                <w:szCs w:val="21"/>
              </w:rPr>
            </w:pPr>
            <w:r>
              <w:rPr>
                <w:sz w:val="21"/>
                <w:szCs w:val="21"/>
              </w:rPr>
              <w:t>《饮食业油烟排放标准》（GB18483-2001）大型标准</w:t>
            </w:r>
          </w:p>
        </w:tc>
      </w:tr>
      <w:tr w14:paraId="4A7180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Merge w:val="restart"/>
            <w:vAlign w:val="center"/>
          </w:tcPr>
          <w:p w14:paraId="26EF2326">
            <w:pPr>
              <w:pStyle w:val="29"/>
              <w:rPr>
                <w:sz w:val="21"/>
                <w:szCs w:val="21"/>
              </w:rPr>
            </w:pPr>
            <w:r>
              <w:rPr>
                <w:sz w:val="21"/>
                <w:szCs w:val="21"/>
              </w:rPr>
              <w:t>地表水环境</w:t>
            </w:r>
          </w:p>
        </w:tc>
        <w:tc>
          <w:tcPr>
            <w:tcW w:w="1074" w:type="pct"/>
            <w:vAlign w:val="center"/>
          </w:tcPr>
          <w:p w14:paraId="3F2440EC">
            <w:pPr>
              <w:pStyle w:val="29"/>
              <w:rPr>
                <w:sz w:val="21"/>
                <w:szCs w:val="21"/>
              </w:rPr>
            </w:pPr>
            <w:r>
              <w:rPr>
                <w:sz w:val="21"/>
                <w:szCs w:val="21"/>
              </w:rPr>
              <w:t>生活污水</w:t>
            </w:r>
          </w:p>
        </w:tc>
        <w:tc>
          <w:tcPr>
            <w:tcW w:w="1074" w:type="pct"/>
            <w:vAlign w:val="center"/>
          </w:tcPr>
          <w:p w14:paraId="6CDB6896">
            <w:pPr>
              <w:pStyle w:val="29"/>
              <w:rPr>
                <w:sz w:val="21"/>
                <w:szCs w:val="21"/>
              </w:rPr>
            </w:pPr>
            <w:r>
              <w:rPr>
                <w:sz w:val="21"/>
                <w:szCs w:val="21"/>
              </w:rPr>
              <w:t>pH、CODcr、SS、NH</w:t>
            </w:r>
            <w:r>
              <w:rPr>
                <w:sz w:val="21"/>
                <w:szCs w:val="21"/>
                <w:vertAlign w:val="subscript"/>
              </w:rPr>
              <w:t>3</w:t>
            </w:r>
            <w:r>
              <w:rPr>
                <w:sz w:val="21"/>
                <w:szCs w:val="21"/>
              </w:rPr>
              <w:t>-N等</w:t>
            </w:r>
          </w:p>
        </w:tc>
        <w:tc>
          <w:tcPr>
            <w:tcW w:w="1074" w:type="pct"/>
            <w:vAlign w:val="center"/>
          </w:tcPr>
          <w:p w14:paraId="38482DF1">
            <w:pPr>
              <w:pStyle w:val="29"/>
              <w:rPr>
                <w:sz w:val="21"/>
                <w:szCs w:val="21"/>
              </w:rPr>
            </w:pPr>
            <w:r>
              <w:rPr>
                <w:sz w:val="21"/>
                <w:szCs w:val="21"/>
              </w:rPr>
              <w:t>化粪池</w:t>
            </w:r>
          </w:p>
        </w:tc>
        <w:tc>
          <w:tcPr>
            <w:tcW w:w="1074" w:type="pct"/>
            <w:vMerge w:val="restart"/>
            <w:vAlign w:val="center"/>
          </w:tcPr>
          <w:p w14:paraId="44173C4F">
            <w:pPr>
              <w:pStyle w:val="29"/>
              <w:rPr>
                <w:sz w:val="21"/>
                <w:szCs w:val="21"/>
              </w:rPr>
            </w:pPr>
            <w:r>
              <w:rPr>
                <w:sz w:val="21"/>
                <w:szCs w:val="21"/>
              </w:rPr>
              <w:t>从严执行</w:t>
            </w:r>
            <w:r>
              <w:rPr>
                <w:rFonts w:hint="default"/>
                <w:sz w:val="21"/>
                <w:szCs w:val="21"/>
                <w:lang w:eastAsia="zh-CN"/>
              </w:rPr>
              <w:t>淮南首创八公山污水处理厂</w:t>
            </w:r>
            <w:r>
              <w:rPr>
                <w:sz w:val="21"/>
                <w:szCs w:val="21"/>
              </w:rPr>
              <w:t>接管标准、《污水综合排放标准》（GB8978-1996）中的三级标准</w:t>
            </w:r>
          </w:p>
        </w:tc>
      </w:tr>
      <w:tr w14:paraId="433F9A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702" w:type="pct"/>
            <w:gridSpan w:val="2"/>
            <w:vMerge w:val="continue"/>
            <w:vAlign w:val="center"/>
          </w:tcPr>
          <w:p w14:paraId="7F61A4B0">
            <w:pPr>
              <w:pStyle w:val="29"/>
              <w:rPr>
                <w:sz w:val="21"/>
                <w:szCs w:val="21"/>
              </w:rPr>
            </w:pPr>
          </w:p>
        </w:tc>
        <w:tc>
          <w:tcPr>
            <w:tcW w:w="1074" w:type="pct"/>
            <w:vAlign w:val="center"/>
          </w:tcPr>
          <w:p w14:paraId="5FF7F736">
            <w:pPr>
              <w:pStyle w:val="29"/>
              <w:rPr>
                <w:sz w:val="21"/>
                <w:szCs w:val="21"/>
              </w:rPr>
            </w:pPr>
            <w:r>
              <w:rPr>
                <w:sz w:val="21"/>
                <w:szCs w:val="21"/>
              </w:rPr>
              <w:t>制胶设备清洗废水</w:t>
            </w:r>
          </w:p>
        </w:tc>
        <w:tc>
          <w:tcPr>
            <w:tcW w:w="1074" w:type="pct"/>
            <w:vAlign w:val="center"/>
          </w:tcPr>
          <w:p w14:paraId="46D3B573">
            <w:pPr>
              <w:pStyle w:val="29"/>
              <w:rPr>
                <w:sz w:val="21"/>
                <w:szCs w:val="21"/>
              </w:rPr>
            </w:pPr>
            <w:r>
              <w:rPr>
                <w:sz w:val="21"/>
                <w:szCs w:val="21"/>
              </w:rPr>
              <w:t>CODcr、SS</w:t>
            </w:r>
          </w:p>
        </w:tc>
        <w:tc>
          <w:tcPr>
            <w:tcW w:w="1074" w:type="pct"/>
            <w:vAlign w:val="center"/>
          </w:tcPr>
          <w:p w14:paraId="42E4C6A8">
            <w:pPr>
              <w:pStyle w:val="29"/>
              <w:rPr>
                <w:sz w:val="21"/>
                <w:szCs w:val="21"/>
              </w:rPr>
            </w:pPr>
            <w:r>
              <w:rPr>
                <w:sz w:val="21"/>
                <w:szCs w:val="21"/>
              </w:rPr>
              <w:t>收集回用至制胶工序</w:t>
            </w:r>
          </w:p>
        </w:tc>
        <w:tc>
          <w:tcPr>
            <w:tcW w:w="1074" w:type="pct"/>
            <w:vMerge w:val="continue"/>
            <w:vAlign w:val="center"/>
          </w:tcPr>
          <w:p w14:paraId="5DA5F89D">
            <w:pPr>
              <w:pStyle w:val="29"/>
              <w:rPr>
                <w:sz w:val="21"/>
                <w:szCs w:val="21"/>
              </w:rPr>
            </w:pPr>
          </w:p>
        </w:tc>
      </w:tr>
      <w:tr w14:paraId="15467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702" w:type="pct"/>
            <w:gridSpan w:val="2"/>
            <w:vMerge w:val="continue"/>
            <w:vAlign w:val="center"/>
          </w:tcPr>
          <w:p w14:paraId="7A0C217E">
            <w:pPr>
              <w:pStyle w:val="29"/>
              <w:rPr>
                <w:sz w:val="21"/>
                <w:szCs w:val="21"/>
              </w:rPr>
            </w:pPr>
          </w:p>
        </w:tc>
        <w:tc>
          <w:tcPr>
            <w:tcW w:w="1074" w:type="pct"/>
            <w:vAlign w:val="center"/>
          </w:tcPr>
          <w:p w14:paraId="3E6DE618">
            <w:pPr>
              <w:pStyle w:val="29"/>
              <w:rPr>
                <w:sz w:val="21"/>
                <w:szCs w:val="21"/>
              </w:rPr>
            </w:pPr>
            <w:r>
              <w:rPr>
                <w:bCs/>
                <w:snapToGrid w:val="0"/>
                <w:sz w:val="21"/>
                <w:szCs w:val="21"/>
                <w:shd w:val="clear" w:color="auto" w:fill="FFFFFF"/>
              </w:rPr>
              <w:t>锅炉废水</w:t>
            </w:r>
          </w:p>
        </w:tc>
        <w:tc>
          <w:tcPr>
            <w:tcW w:w="1074" w:type="pct"/>
            <w:vAlign w:val="center"/>
          </w:tcPr>
          <w:p w14:paraId="1921025C">
            <w:pPr>
              <w:pStyle w:val="29"/>
              <w:rPr>
                <w:sz w:val="21"/>
                <w:szCs w:val="21"/>
              </w:rPr>
            </w:pPr>
            <w:r>
              <w:rPr>
                <w:sz w:val="21"/>
                <w:szCs w:val="21"/>
              </w:rPr>
              <w:t>CODcr</w:t>
            </w:r>
          </w:p>
        </w:tc>
        <w:tc>
          <w:tcPr>
            <w:tcW w:w="1074" w:type="pct"/>
            <w:vAlign w:val="center"/>
          </w:tcPr>
          <w:p w14:paraId="22643C85">
            <w:pPr>
              <w:pStyle w:val="29"/>
              <w:rPr>
                <w:rFonts w:hint="default" w:eastAsia="宋体"/>
                <w:sz w:val="21"/>
                <w:szCs w:val="21"/>
                <w:lang w:eastAsia="zh-CN"/>
              </w:rPr>
            </w:pPr>
            <w:r>
              <w:rPr>
                <w:sz w:val="21"/>
                <w:szCs w:val="21"/>
              </w:rPr>
              <w:t>通过厂区污水管网排放至</w:t>
            </w:r>
            <w:r>
              <w:rPr>
                <w:rFonts w:hint="default"/>
                <w:sz w:val="21"/>
                <w:szCs w:val="21"/>
                <w:lang w:eastAsia="zh-CN"/>
              </w:rPr>
              <w:t>淮南首创八公山污水处理厂</w:t>
            </w:r>
          </w:p>
        </w:tc>
        <w:tc>
          <w:tcPr>
            <w:tcW w:w="1074" w:type="pct"/>
            <w:vMerge w:val="continue"/>
            <w:vAlign w:val="center"/>
          </w:tcPr>
          <w:p w14:paraId="7A727D86">
            <w:pPr>
              <w:pStyle w:val="29"/>
              <w:rPr>
                <w:sz w:val="21"/>
                <w:szCs w:val="21"/>
              </w:rPr>
            </w:pPr>
          </w:p>
        </w:tc>
      </w:tr>
      <w:tr w14:paraId="3090AD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Align w:val="center"/>
          </w:tcPr>
          <w:p w14:paraId="4BF37D4D">
            <w:pPr>
              <w:pStyle w:val="29"/>
              <w:rPr>
                <w:sz w:val="21"/>
                <w:szCs w:val="21"/>
              </w:rPr>
            </w:pPr>
            <w:r>
              <w:rPr>
                <w:sz w:val="21"/>
                <w:szCs w:val="21"/>
              </w:rPr>
              <w:t>声环境</w:t>
            </w:r>
          </w:p>
        </w:tc>
        <w:tc>
          <w:tcPr>
            <w:tcW w:w="1074" w:type="pct"/>
            <w:vAlign w:val="center"/>
          </w:tcPr>
          <w:p w14:paraId="571AC325">
            <w:pPr>
              <w:pStyle w:val="29"/>
              <w:rPr>
                <w:sz w:val="21"/>
                <w:szCs w:val="21"/>
              </w:rPr>
            </w:pPr>
            <w:r>
              <w:rPr>
                <w:sz w:val="21"/>
                <w:szCs w:val="21"/>
              </w:rPr>
              <w:t>厂界四周</w:t>
            </w:r>
          </w:p>
        </w:tc>
        <w:tc>
          <w:tcPr>
            <w:tcW w:w="1074" w:type="pct"/>
            <w:vAlign w:val="center"/>
          </w:tcPr>
          <w:p w14:paraId="38BD49EB">
            <w:pPr>
              <w:pStyle w:val="29"/>
              <w:rPr>
                <w:sz w:val="21"/>
                <w:szCs w:val="21"/>
              </w:rPr>
            </w:pPr>
            <w:r>
              <w:rPr>
                <w:sz w:val="21"/>
                <w:szCs w:val="21"/>
              </w:rPr>
              <w:t>LAeq</w:t>
            </w:r>
          </w:p>
        </w:tc>
        <w:tc>
          <w:tcPr>
            <w:tcW w:w="1074" w:type="pct"/>
            <w:vAlign w:val="center"/>
          </w:tcPr>
          <w:p w14:paraId="50C9904A">
            <w:pPr>
              <w:pStyle w:val="29"/>
              <w:rPr>
                <w:sz w:val="21"/>
                <w:szCs w:val="21"/>
              </w:rPr>
            </w:pPr>
            <w:r>
              <w:rPr>
                <w:rFonts w:eastAsiaTheme="minorEastAsia"/>
                <w:sz w:val="21"/>
                <w:szCs w:val="21"/>
              </w:rPr>
              <w:t>优先选用低噪声设备，安装减振垫，加强设备养护，合理布局，厂房隔声。</w:t>
            </w:r>
          </w:p>
        </w:tc>
        <w:tc>
          <w:tcPr>
            <w:tcW w:w="1074" w:type="pct"/>
            <w:vAlign w:val="center"/>
          </w:tcPr>
          <w:p w14:paraId="5FB15181">
            <w:pPr>
              <w:pStyle w:val="29"/>
              <w:rPr>
                <w:sz w:val="21"/>
                <w:szCs w:val="21"/>
              </w:rPr>
            </w:pPr>
            <w:r>
              <w:rPr>
                <w:sz w:val="21"/>
                <w:szCs w:val="21"/>
              </w:rPr>
              <w:t>《工业企业厂界环境噪声排放标准》（GB12348-2008）中4类标准</w:t>
            </w:r>
          </w:p>
        </w:tc>
      </w:tr>
      <w:tr w14:paraId="297107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702" w:type="pct"/>
            <w:gridSpan w:val="2"/>
            <w:vAlign w:val="center"/>
          </w:tcPr>
          <w:p w14:paraId="396C9AA3">
            <w:pPr>
              <w:pStyle w:val="29"/>
              <w:rPr>
                <w:sz w:val="21"/>
                <w:szCs w:val="21"/>
              </w:rPr>
            </w:pPr>
            <w:r>
              <w:rPr>
                <w:sz w:val="21"/>
                <w:szCs w:val="21"/>
              </w:rPr>
              <w:t>电磁辐射</w:t>
            </w:r>
          </w:p>
        </w:tc>
        <w:tc>
          <w:tcPr>
            <w:tcW w:w="4297" w:type="pct"/>
            <w:gridSpan w:val="4"/>
            <w:vAlign w:val="center"/>
          </w:tcPr>
          <w:p w14:paraId="167534A3">
            <w:pPr>
              <w:pStyle w:val="29"/>
              <w:rPr>
                <w:sz w:val="21"/>
                <w:szCs w:val="21"/>
              </w:rPr>
            </w:pPr>
            <w:r>
              <w:rPr>
                <w:sz w:val="21"/>
                <w:szCs w:val="21"/>
              </w:rPr>
              <w:t>不涉及</w:t>
            </w:r>
          </w:p>
        </w:tc>
      </w:tr>
      <w:tr w14:paraId="11AAE2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702" w:type="pct"/>
            <w:gridSpan w:val="2"/>
            <w:vAlign w:val="center"/>
          </w:tcPr>
          <w:p w14:paraId="70354750">
            <w:pPr>
              <w:pStyle w:val="29"/>
              <w:rPr>
                <w:sz w:val="21"/>
                <w:szCs w:val="21"/>
              </w:rPr>
            </w:pPr>
            <w:r>
              <w:rPr>
                <w:sz w:val="21"/>
                <w:szCs w:val="21"/>
              </w:rPr>
              <w:t>固体废物</w:t>
            </w:r>
          </w:p>
        </w:tc>
        <w:tc>
          <w:tcPr>
            <w:tcW w:w="4297" w:type="pct"/>
            <w:gridSpan w:val="4"/>
            <w:vAlign w:val="center"/>
          </w:tcPr>
          <w:p w14:paraId="46FDCCE9">
            <w:pPr>
              <w:pStyle w:val="29"/>
              <w:rPr>
                <w:sz w:val="21"/>
                <w:szCs w:val="21"/>
              </w:rPr>
            </w:pPr>
            <w:r>
              <w:rPr>
                <w:sz w:val="21"/>
                <w:szCs w:val="21"/>
              </w:rPr>
              <w:t>一般工业固体废物收集暂存于一般固废</w:t>
            </w:r>
            <w:r>
              <w:rPr>
                <w:rFonts w:hint="default" w:ascii="Times New Roman" w:hAnsi="Times New Roman" w:cs="Times New Roman"/>
                <w:sz w:val="21"/>
                <w:szCs w:val="21"/>
                <w:lang w:eastAsia="zh-CN"/>
              </w:rPr>
              <w:t>暂存间</w:t>
            </w:r>
            <w:r>
              <w:rPr>
                <w:sz w:val="21"/>
                <w:szCs w:val="21"/>
              </w:rPr>
              <w:t>后由外售给物资部门回收；危险废物按照危险废物管理要求收集暂存于厂房西北侧10m</w:t>
            </w:r>
            <w:r>
              <w:rPr>
                <w:sz w:val="21"/>
                <w:szCs w:val="21"/>
                <w:vertAlign w:val="superscript"/>
              </w:rPr>
              <w:t>2</w:t>
            </w:r>
            <w:r>
              <w:rPr>
                <w:sz w:val="21"/>
                <w:szCs w:val="21"/>
              </w:rPr>
              <w:t>危废暂存间，定期交由资质单位处理处置；生活垃圾收集后由环卫部门清运。</w:t>
            </w:r>
          </w:p>
        </w:tc>
      </w:tr>
      <w:tr w14:paraId="486B0B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Align w:val="center"/>
          </w:tcPr>
          <w:p w14:paraId="63BD835B">
            <w:pPr>
              <w:pStyle w:val="29"/>
              <w:rPr>
                <w:sz w:val="21"/>
                <w:szCs w:val="21"/>
              </w:rPr>
            </w:pPr>
            <w:r>
              <w:rPr>
                <w:sz w:val="21"/>
                <w:szCs w:val="21"/>
              </w:rPr>
              <w:t>土壤及地下水污染防治措施</w:t>
            </w:r>
          </w:p>
        </w:tc>
        <w:tc>
          <w:tcPr>
            <w:tcW w:w="4297" w:type="pct"/>
            <w:gridSpan w:val="4"/>
            <w:vAlign w:val="center"/>
          </w:tcPr>
          <w:p w14:paraId="78651B63">
            <w:pPr>
              <w:pStyle w:val="29"/>
              <w:jc w:val="left"/>
              <w:rPr>
                <w:sz w:val="21"/>
                <w:szCs w:val="21"/>
              </w:rPr>
            </w:pPr>
            <w:r>
              <w:rPr>
                <w:sz w:val="21"/>
                <w:szCs w:val="21"/>
              </w:rPr>
              <w:t>1、配备专职环境管理人员，加强技能培训和环保教育，提高员工的环保意识和突发环境事件处置能力；</w:t>
            </w:r>
          </w:p>
          <w:p w14:paraId="59D8A34B">
            <w:pPr>
              <w:pStyle w:val="29"/>
              <w:jc w:val="left"/>
              <w:rPr>
                <w:sz w:val="21"/>
                <w:szCs w:val="21"/>
              </w:rPr>
            </w:pPr>
            <w:r>
              <w:rPr>
                <w:sz w:val="21"/>
                <w:szCs w:val="21"/>
              </w:rPr>
              <w:t>2、制定严格的生产操作规程，职工进行必要的安全培训，佩戴必要的防护措施，建立健全有毒气体中毒事故应急救援预案，配备常用的医疗急救药品等；</w:t>
            </w:r>
          </w:p>
          <w:p w14:paraId="66FD57AD">
            <w:pPr>
              <w:pStyle w:val="29"/>
              <w:jc w:val="left"/>
              <w:rPr>
                <w:sz w:val="21"/>
                <w:szCs w:val="21"/>
              </w:rPr>
            </w:pPr>
            <w:r>
              <w:rPr>
                <w:sz w:val="21"/>
                <w:szCs w:val="21"/>
              </w:rPr>
              <w:t>项目危废暂存间建设、储存、转运等应严格按照《危险废物贮存污染控制标准》（GB18597-2023）要求，做好防渗防漏、防扩散、防雨淋、防流失的措施。</w:t>
            </w:r>
          </w:p>
          <w:p w14:paraId="2019631D">
            <w:pPr>
              <w:pStyle w:val="29"/>
              <w:jc w:val="left"/>
              <w:rPr>
                <w:sz w:val="21"/>
                <w:szCs w:val="21"/>
              </w:rPr>
            </w:pPr>
            <w:r>
              <w:rPr>
                <w:sz w:val="21"/>
                <w:szCs w:val="21"/>
              </w:rPr>
              <w:t>3、定期检查贮存设施及贮存容器是否完好，转运过程应严格把控，做好密封，严防泄漏。危险废物要分类收集，在危废间应设立警示标牌危险废物定期转运；</w:t>
            </w:r>
          </w:p>
          <w:p w14:paraId="08FC0C28">
            <w:pPr>
              <w:pStyle w:val="29"/>
              <w:jc w:val="left"/>
              <w:rPr>
                <w:sz w:val="21"/>
                <w:szCs w:val="21"/>
              </w:rPr>
            </w:pPr>
            <w:r>
              <w:rPr>
                <w:sz w:val="21"/>
                <w:szCs w:val="21"/>
              </w:rPr>
              <w:t>4、按照消防部门的要求配备消防器材和管理人员，加强安全教育培训和宣传；配备完善的消防措施。</w:t>
            </w:r>
          </w:p>
        </w:tc>
      </w:tr>
      <w:tr w14:paraId="2DCF9C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Align w:val="center"/>
          </w:tcPr>
          <w:p w14:paraId="4DB797E4">
            <w:pPr>
              <w:pStyle w:val="29"/>
              <w:rPr>
                <w:sz w:val="21"/>
                <w:szCs w:val="21"/>
              </w:rPr>
            </w:pPr>
            <w:r>
              <w:rPr>
                <w:sz w:val="21"/>
                <w:szCs w:val="21"/>
              </w:rPr>
              <w:t>生态保护措施</w:t>
            </w:r>
          </w:p>
        </w:tc>
        <w:tc>
          <w:tcPr>
            <w:tcW w:w="4297" w:type="pct"/>
            <w:gridSpan w:val="4"/>
            <w:vAlign w:val="center"/>
          </w:tcPr>
          <w:p w14:paraId="174ADB66">
            <w:pPr>
              <w:pStyle w:val="29"/>
              <w:jc w:val="left"/>
              <w:rPr>
                <w:sz w:val="21"/>
                <w:szCs w:val="21"/>
              </w:rPr>
            </w:pPr>
            <w:r>
              <w:rPr>
                <w:sz w:val="21"/>
                <w:szCs w:val="21"/>
              </w:rPr>
              <w:t>/</w:t>
            </w:r>
          </w:p>
        </w:tc>
      </w:tr>
      <w:tr w14:paraId="03653A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Align w:val="center"/>
          </w:tcPr>
          <w:p w14:paraId="10A6D55F">
            <w:pPr>
              <w:pStyle w:val="29"/>
              <w:rPr>
                <w:sz w:val="21"/>
                <w:szCs w:val="21"/>
              </w:rPr>
            </w:pPr>
            <w:r>
              <w:rPr>
                <w:sz w:val="21"/>
                <w:szCs w:val="21"/>
              </w:rPr>
              <w:t>环境风险</w:t>
            </w:r>
          </w:p>
          <w:p w14:paraId="6B545661">
            <w:pPr>
              <w:pStyle w:val="29"/>
              <w:rPr>
                <w:sz w:val="21"/>
                <w:szCs w:val="21"/>
              </w:rPr>
            </w:pPr>
            <w:r>
              <w:rPr>
                <w:sz w:val="21"/>
                <w:szCs w:val="21"/>
              </w:rPr>
              <w:t>防范措施</w:t>
            </w:r>
          </w:p>
        </w:tc>
        <w:tc>
          <w:tcPr>
            <w:tcW w:w="4297" w:type="pct"/>
            <w:gridSpan w:val="4"/>
            <w:vAlign w:val="center"/>
          </w:tcPr>
          <w:p w14:paraId="1D82C246">
            <w:pPr>
              <w:pStyle w:val="29"/>
              <w:jc w:val="left"/>
              <w:rPr>
                <w:sz w:val="21"/>
                <w:szCs w:val="21"/>
              </w:rPr>
            </w:pPr>
            <w:r>
              <w:rPr>
                <w:sz w:val="21"/>
                <w:szCs w:val="21"/>
              </w:rPr>
              <w:t>1、配备专职环境管理人员，加强技能培训和环保教育，提高员工的环保意识和突发环境事件处置能力；</w:t>
            </w:r>
          </w:p>
          <w:p w14:paraId="3C63B4CC">
            <w:pPr>
              <w:pStyle w:val="29"/>
              <w:jc w:val="left"/>
              <w:rPr>
                <w:sz w:val="21"/>
                <w:szCs w:val="21"/>
              </w:rPr>
            </w:pPr>
            <w:r>
              <w:rPr>
                <w:sz w:val="21"/>
                <w:szCs w:val="21"/>
              </w:rPr>
              <w:t>2、制定严格的生产操作规程，职工进行必要的安全培训，佩戴必要的防护措施，建立健全有毒气体中毒事故应急救援预案，配备常用的医疗急救药品等；</w:t>
            </w:r>
          </w:p>
          <w:p w14:paraId="581BC6E2">
            <w:pPr>
              <w:pStyle w:val="29"/>
              <w:jc w:val="left"/>
              <w:rPr>
                <w:sz w:val="21"/>
                <w:szCs w:val="21"/>
              </w:rPr>
            </w:pPr>
            <w:r>
              <w:rPr>
                <w:sz w:val="21"/>
                <w:szCs w:val="21"/>
              </w:rPr>
              <w:t>项目危废暂存间建设、储存、转运等应严格按照《危险废物贮存污染控制标准》（GB18597-2023）要求，做好防渗防漏、防扩散、防雨淋、防流失的措施。</w:t>
            </w:r>
          </w:p>
          <w:p w14:paraId="3CA99E99">
            <w:pPr>
              <w:pStyle w:val="29"/>
              <w:jc w:val="left"/>
              <w:rPr>
                <w:sz w:val="21"/>
                <w:szCs w:val="21"/>
              </w:rPr>
            </w:pPr>
            <w:r>
              <w:rPr>
                <w:sz w:val="21"/>
                <w:szCs w:val="21"/>
              </w:rPr>
              <w:t>3、定期检查贮存设施及贮存容器是否完好，转运过程应严格把控，做好密封，严防泄漏。危险废物要分类收集，在危废间应设立警示标牌危险废物定期转运；</w:t>
            </w:r>
          </w:p>
          <w:p w14:paraId="52362CE5">
            <w:pPr>
              <w:pStyle w:val="29"/>
              <w:jc w:val="left"/>
              <w:rPr>
                <w:sz w:val="21"/>
                <w:szCs w:val="21"/>
                <w:lang w:val="en-GB"/>
              </w:rPr>
            </w:pPr>
            <w:r>
              <w:rPr>
                <w:sz w:val="21"/>
                <w:szCs w:val="21"/>
              </w:rPr>
              <w:t>4、按照消防部门的要求配备消防器材和管理人员，加强安全教育培训和宣传；配备完善的消防措施。</w:t>
            </w:r>
          </w:p>
        </w:tc>
      </w:tr>
      <w:tr w14:paraId="4535C8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02" w:type="pct"/>
            <w:gridSpan w:val="2"/>
            <w:vAlign w:val="center"/>
          </w:tcPr>
          <w:p w14:paraId="5D8E0D6F">
            <w:pPr>
              <w:pStyle w:val="29"/>
              <w:rPr>
                <w:sz w:val="21"/>
                <w:szCs w:val="21"/>
              </w:rPr>
            </w:pPr>
            <w:r>
              <w:rPr>
                <w:sz w:val="21"/>
                <w:szCs w:val="21"/>
              </w:rPr>
              <w:t>其他环境</w:t>
            </w:r>
          </w:p>
          <w:p w14:paraId="2DA64D4B">
            <w:pPr>
              <w:pStyle w:val="29"/>
              <w:rPr>
                <w:sz w:val="21"/>
                <w:szCs w:val="21"/>
              </w:rPr>
            </w:pPr>
            <w:r>
              <w:rPr>
                <w:sz w:val="21"/>
                <w:szCs w:val="21"/>
              </w:rPr>
              <w:t>管理要求</w:t>
            </w:r>
          </w:p>
        </w:tc>
        <w:tc>
          <w:tcPr>
            <w:tcW w:w="4297" w:type="pct"/>
            <w:gridSpan w:val="4"/>
            <w:vAlign w:val="center"/>
          </w:tcPr>
          <w:p w14:paraId="5FEFF449">
            <w:pPr>
              <w:pStyle w:val="29"/>
              <w:jc w:val="left"/>
              <w:rPr>
                <w:sz w:val="21"/>
                <w:szCs w:val="21"/>
              </w:rPr>
            </w:pPr>
            <w:r>
              <w:rPr>
                <w:sz w:val="21"/>
                <w:szCs w:val="21"/>
              </w:rPr>
              <w:t>1、排污口规范化要求</w:t>
            </w:r>
          </w:p>
          <w:p w14:paraId="137B7DA6">
            <w:pPr>
              <w:pStyle w:val="29"/>
              <w:jc w:val="left"/>
              <w:rPr>
                <w:sz w:val="21"/>
                <w:szCs w:val="21"/>
              </w:rPr>
            </w:pPr>
            <w:r>
              <w:rPr>
                <w:sz w:val="21"/>
                <w:szCs w:val="21"/>
              </w:rPr>
              <w:t>根据原国家环保总局《关于开展排污口规范化整治试点工作的意见》、《关于加快排污口规范化整治试点工作的通知》和《安徽省污染源排放口规范化整治管理办法》精神，企业所有排放口（包括水、声、渣）必须按照“便于采集样品、便于计量监测、便于日常现场监督检查”的原则和规范化要求，排污口要立标管理，设立国家标准规定的标志牌，根据排污口污染物的排放特点，设置提示性或警告性环境保护图形标志牌，一般污染源设置提示性标志牌，毒性污染物设置警告性环境保护图形标志牌；绘制企业排污口分布图，对治理设施安装运行监控装置、排污口的规范化要符合有关要求。</w:t>
            </w:r>
          </w:p>
          <w:p w14:paraId="038FF6B7">
            <w:pPr>
              <w:pStyle w:val="29"/>
              <w:jc w:val="left"/>
              <w:rPr>
                <w:sz w:val="21"/>
                <w:szCs w:val="21"/>
              </w:rPr>
            </w:pPr>
            <w:r>
              <w:rPr>
                <w:sz w:val="21"/>
                <w:szCs w:val="21"/>
              </w:rPr>
              <w:t>（1）合理设置排污口位置，排污口应按规范设计，并按《污染源监测技术规范》设置采样点；</w:t>
            </w:r>
          </w:p>
          <w:p w14:paraId="44F880CE">
            <w:pPr>
              <w:pStyle w:val="29"/>
              <w:jc w:val="left"/>
              <w:rPr>
                <w:sz w:val="21"/>
                <w:szCs w:val="21"/>
              </w:rPr>
            </w:pPr>
            <w:r>
              <w:rPr>
                <w:sz w:val="21"/>
                <w:szCs w:val="21"/>
              </w:rPr>
              <w:t>（2）按照《环境保护图形标志》的规定，规范化设置噪声排放口、一般固废堆场、危险废物暂存间等。对企业排污口分别设置平面固定式提示标志牌或树立式固定式提示标志牌，平面固定式标志牌为0.48cm×0.3cm的长方形冷轧钢板，树立式提示标志牌为0.42cm×0.42cm的正方形冷轧钢板，提示牌的背景和立柱为绿色，图案、边框、支架和铺助标志的文字为白色，文字字型为黑体，标志牌辅助标志内容包括排污单位名称、标志牌名称、排污口编号和主要污染物名称，并交付当地环保部门注明。</w:t>
            </w:r>
          </w:p>
          <w:p w14:paraId="0C722CC4">
            <w:pPr>
              <w:adjustRightInd w:val="0"/>
              <w:snapToGrid w:val="0"/>
              <w:spacing w:line="240" w:lineRule="auto"/>
              <w:jc w:val="center"/>
              <w:rPr>
                <w:rFonts w:eastAsiaTheme="minorEastAsia"/>
                <w:b/>
                <w:sz w:val="21"/>
                <w:szCs w:val="21"/>
              </w:rPr>
            </w:pPr>
            <w:r>
              <w:rPr>
                <w:rFonts w:eastAsiaTheme="minorEastAsia"/>
                <w:b/>
                <w:sz w:val="21"/>
                <w:szCs w:val="21"/>
              </w:rPr>
              <w:t>表5-1  环保图形标志</w:t>
            </w:r>
          </w:p>
          <w:tbl>
            <w:tblPr>
              <w:tblStyle w:val="21"/>
              <w:tblW w:w="1071095396" w:type="pct"/>
              <w:jc w:val="center"/>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autofit"/>
              <w:tblCellMar>
                <w:top w:w="0" w:type="dxa"/>
                <w:left w:w="28" w:type="dxa"/>
                <w:bottom w:w="0" w:type="dxa"/>
                <w:right w:w="28" w:type="dxa"/>
              </w:tblCellMar>
            </w:tblPr>
            <w:tblGrid>
              <w:gridCol w:w="478"/>
              <w:gridCol w:w="2517"/>
              <w:gridCol w:w="2740"/>
              <w:gridCol w:w="1609"/>
            </w:tblGrid>
            <w:tr w14:paraId="3FCBEB0B">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28" w:type="dxa"/>
                  <w:bottom w:w="0" w:type="dxa"/>
                  <w:right w:w="28" w:type="dxa"/>
                </w:tblCellMar>
              </w:tblPrEx>
              <w:trPr>
                <w:trHeight w:val="19" w:hRule="atLeast"/>
                <w:jc w:val="center"/>
              </w:trPr>
              <w:tc>
                <w:tcPr>
                  <w:tcW w:w="325" w:type="pct"/>
                  <w:vAlign w:val="center"/>
                </w:tcPr>
                <w:p w14:paraId="132C0B16">
                  <w:pPr>
                    <w:adjustRightInd w:val="0"/>
                    <w:snapToGrid w:val="0"/>
                    <w:spacing w:line="240" w:lineRule="auto"/>
                    <w:jc w:val="center"/>
                    <w:rPr>
                      <w:rFonts w:eastAsiaTheme="minorEastAsia"/>
                      <w:sz w:val="21"/>
                      <w:szCs w:val="21"/>
                    </w:rPr>
                  </w:pPr>
                  <w:r>
                    <w:rPr>
                      <w:rFonts w:eastAsiaTheme="minorEastAsia"/>
                      <w:sz w:val="21"/>
                      <w:szCs w:val="21"/>
                    </w:rPr>
                    <w:t>序号</w:t>
                  </w:r>
                </w:p>
              </w:tc>
              <w:tc>
                <w:tcPr>
                  <w:tcW w:w="1713" w:type="pct"/>
                  <w:vAlign w:val="center"/>
                </w:tcPr>
                <w:p w14:paraId="1BB20118">
                  <w:pPr>
                    <w:adjustRightInd w:val="0"/>
                    <w:snapToGrid w:val="0"/>
                    <w:spacing w:line="240" w:lineRule="auto"/>
                    <w:jc w:val="center"/>
                    <w:rPr>
                      <w:rFonts w:eastAsiaTheme="minorEastAsia"/>
                      <w:sz w:val="21"/>
                      <w:szCs w:val="21"/>
                    </w:rPr>
                  </w:pPr>
                  <w:r>
                    <w:rPr>
                      <w:rFonts w:eastAsiaTheme="minorEastAsia"/>
                      <w:sz w:val="21"/>
                      <w:szCs w:val="21"/>
                    </w:rPr>
                    <w:t>提示性图形符号</w:t>
                  </w:r>
                </w:p>
              </w:tc>
              <w:tc>
                <w:tcPr>
                  <w:tcW w:w="1865" w:type="pct"/>
                  <w:vAlign w:val="center"/>
                </w:tcPr>
                <w:p w14:paraId="16E0AEBE">
                  <w:pPr>
                    <w:adjustRightInd w:val="0"/>
                    <w:snapToGrid w:val="0"/>
                    <w:spacing w:line="240" w:lineRule="auto"/>
                    <w:jc w:val="center"/>
                    <w:rPr>
                      <w:rFonts w:eastAsiaTheme="minorEastAsia"/>
                      <w:sz w:val="21"/>
                      <w:szCs w:val="21"/>
                    </w:rPr>
                  </w:pPr>
                  <w:r>
                    <w:rPr>
                      <w:rFonts w:eastAsiaTheme="minorEastAsia"/>
                      <w:sz w:val="21"/>
                      <w:szCs w:val="21"/>
                    </w:rPr>
                    <w:t>警告图形符号</w:t>
                  </w:r>
                </w:p>
              </w:tc>
              <w:tc>
                <w:tcPr>
                  <w:tcW w:w="1095" w:type="pct"/>
                  <w:vAlign w:val="center"/>
                </w:tcPr>
                <w:p w14:paraId="449C6B44">
                  <w:pPr>
                    <w:adjustRightInd w:val="0"/>
                    <w:snapToGrid w:val="0"/>
                    <w:spacing w:line="240" w:lineRule="auto"/>
                    <w:jc w:val="center"/>
                    <w:rPr>
                      <w:rFonts w:eastAsiaTheme="minorEastAsia"/>
                      <w:sz w:val="21"/>
                      <w:szCs w:val="21"/>
                    </w:rPr>
                  </w:pPr>
                  <w:r>
                    <w:rPr>
                      <w:rFonts w:eastAsiaTheme="minorEastAsia"/>
                      <w:sz w:val="21"/>
                      <w:szCs w:val="21"/>
                    </w:rPr>
                    <w:t>排放口及堆场</w:t>
                  </w:r>
                </w:p>
              </w:tc>
            </w:tr>
            <w:tr w14:paraId="5C1C78D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28" w:type="dxa"/>
                  <w:bottom w:w="0" w:type="dxa"/>
                  <w:right w:w="28" w:type="dxa"/>
                </w:tblCellMar>
              </w:tblPrEx>
              <w:trPr>
                <w:trHeight w:val="1819" w:hRule="atLeast"/>
                <w:jc w:val="center"/>
              </w:trPr>
              <w:tc>
                <w:tcPr>
                  <w:tcW w:w="325" w:type="pct"/>
                  <w:vAlign w:val="center"/>
                </w:tcPr>
                <w:p w14:paraId="0D04C896">
                  <w:pPr>
                    <w:adjustRightInd w:val="0"/>
                    <w:snapToGrid w:val="0"/>
                    <w:spacing w:line="240" w:lineRule="auto"/>
                    <w:jc w:val="center"/>
                    <w:rPr>
                      <w:rFonts w:eastAsiaTheme="minorEastAsia"/>
                      <w:sz w:val="21"/>
                      <w:szCs w:val="21"/>
                    </w:rPr>
                  </w:pPr>
                  <w:r>
                    <w:rPr>
                      <w:rFonts w:eastAsiaTheme="minorEastAsia"/>
                      <w:sz w:val="21"/>
                      <w:szCs w:val="21"/>
                    </w:rPr>
                    <w:t>1</w:t>
                  </w:r>
                </w:p>
              </w:tc>
              <w:tc>
                <w:tcPr>
                  <w:tcW w:w="1713" w:type="pct"/>
                  <w:vAlign w:val="center"/>
                </w:tcPr>
                <w:p w14:paraId="0B8FCFD4">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266825" cy="1186815"/>
                        <wp:effectExtent l="0" t="0" r="9525" b="13335"/>
                        <wp:docPr id="1523362421" name="图片 9" descr="污水排放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62421" name="图片 9" descr="污水排放口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269654" cy="1189675"/>
                                </a:xfrm>
                                <a:prstGeom prst="rect">
                                  <a:avLst/>
                                </a:prstGeom>
                                <a:noFill/>
                                <a:ln>
                                  <a:noFill/>
                                </a:ln>
                              </pic:spPr>
                            </pic:pic>
                          </a:graphicData>
                        </a:graphic>
                      </wp:inline>
                    </w:drawing>
                  </w:r>
                </w:p>
              </w:tc>
              <w:tc>
                <w:tcPr>
                  <w:tcW w:w="1865" w:type="pct"/>
                  <w:vAlign w:val="center"/>
                </w:tcPr>
                <w:p w14:paraId="2724A75F">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247775" cy="1066800"/>
                        <wp:effectExtent l="0" t="0" r="9525" b="0"/>
                        <wp:docPr id="674249579" name="图片 8" descr="污水排放口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49579" name="图片 8" descr="污水排放口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247775" cy="1066800"/>
                                </a:xfrm>
                                <a:prstGeom prst="rect">
                                  <a:avLst/>
                                </a:prstGeom>
                                <a:noFill/>
                                <a:ln>
                                  <a:noFill/>
                                </a:ln>
                              </pic:spPr>
                            </pic:pic>
                          </a:graphicData>
                        </a:graphic>
                      </wp:inline>
                    </w:drawing>
                  </w:r>
                </w:p>
              </w:tc>
              <w:tc>
                <w:tcPr>
                  <w:tcW w:w="1095" w:type="pct"/>
                  <w:vAlign w:val="center"/>
                </w:tcPr>
                <w:p w14:paraId="4435B98F">
                  <w:pPr>
                    <w:adjustRightInd w:val="0"/>
                    <w:snapToGrid w:val="0"/>
                    <w:spacing w:line="240" w:lineRule="auto"/>
                    <w:jc w:val="center"/>
                    <w:rPr>
                      <w:rFonts w:eastAsiaTheme="minorEastAsia"/>
                      <w:sz w:val="21"/>
                      <w:szCs w:val="21"/>
                    </w:rPr>
                  </w:pPr>
                  <w:r>
                    <w:rPr>
                      <w:rFonts w:eastAsiaTheme="minorEastAsia"/>
                      <w:sz w:val="21"/>
                      <w:szCs w:val="21"/>
                    </w:rPr>
                    <w:t>污水排放口</w:t>
                  </w:r>
                </w:p>
              </w:tc>
            </w:tr>
            <w:tr w14:paraId="2D7FF9F9">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28" w:type="dxa"/>
                  <w:bottom w:w="0" w:type="dxa"/>
                  <w:right w:w="28" w:type="dxa"/>
                </w:tblCellMar>
              </w:tblPrEx>
              <w:trPr>
                <w:trHeight w:val="19" w:hRule="atLeast"/>
                <w:jc w:val="center"/>
              </w:trPr>
              <w:tc>
                <w:tcPr>
                  <w:tcW w:w="325" w:type="pct"/>
                  <w:vAlign w:val="center"/>
                </w:tcPr>
                <w:p w14:paraId="4B53C9E9">
                  <w:pPr>
                    <w:adjustRightInd w:val="0"/>
                    <w:snapToGrid w:val="0"/>
                    <w:spacing w:line="240" w:lineRule="auto"/>
                    <w:jc w:val="center"/>
                    <w:rPr>
                      <w:rFonts w:eastAsiaTheme="minorEastAsia"/>
                      <w:sz w:val="21"/>
                      <w:szCs w:val="21"/>
                    </w:rPr>
                  </w:pPr>
                  <w:r>
                    <w:rPr>
                      <w:rFonts w:eastAsiaTheme="minorEastAsia"/>
                      <w:sz w:val="21"/>
                      <w:szCs w:val="21"/>
                    </w:rPr>
                    <w:t>2</w:t>
                  </w:r>
                </w:p>
              </w:tc>
              <w:tc>
                <w:tcPr>
                  <w:tcW w:w="1713" w:type="pct"/>
                  <w:vAlign w:val="center"/>
                </w:tcPr>
                <w:p w14:paraId="6875BD45">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285875" cy="1181100"/>
                        <wp:effectExtent l="0" t="0" r="9525" b="0"/>
                        <wp:docPr id="1397214404" name="图片 7" descr="噪声排放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14404" name="图片 7" descr="噪声排放源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285875" cy="1181100"/>
                                </a:xfrm>
                                <a:prstGeom prst="rect">
                                  <a:avLst/>
                                </a:prstGeom>
                                <a:noFill/>
                                <a:ln>
                                  <a:noFill/>
                                </a:ln>
                              </pic:spPr>
                            </pic:pic>
                          </a:graphicData>
                        </a:graphic>
                      </wp:inline>
                    </w:drawing>
                  </w:r>
                </w:p>
              </w:tc>
              <w:tc>
                <w:tcPr>
                  <w:tcW w:w="1865" w:type="pct"/>
                  <w:vAlign w:val="center"/>
                </w:tcPr>
                <w:p w14:paraId="07EAE0CD">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209675" cy="1085850"/>
                        <wp:effectExtent l="0" t="0" r="9525" b="0"/>
                        <wp:docPr id="1384087447" name="图片 6" descr="噪声排放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87447" name="图片 6" descr="噪声排放源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209675" cy="1085850"/>
                                </a:xfrm>
                                <a:prstGeom prst="rect">
                                  <a:avLst/>
                                </a:prstGeom>
                                <a:noFill/>
                                <a:ln>
                                  <a:noFill/>
                                </a:ln>
                              </pic:spPr>
                            </pic:pic>
                          </a:graphicData>
                        </a:graphic>
                      </wp:inline>
                    </w:drawing>
                  </w:r>
                </w:p>
              </w:tc>
              <w:tc>
                <w:tcPr>
                  <w:tcW w:w="1095" w:type="pct"/>
                  <w:vAlign w:val="center"/>
                </w:tcPr>
                <w:p w14:paraId="58BEDF0E">
                  <w:pPr>
                    <w:adjustRightInd w:val="0"/>
                    <w:snapToGrid w:val="0"/>
                    <w:spacing w:line="240" w:lineRule="auto"/>
                    <w:jc w:val="center"/>
                    <w:rPr>
                      <w:rFonts w:eastAsiaTheme="minorEastAsia"/>
                      <w:sz w:val="21"/>
                      <w:szCs w:val="21"/>
                    </w:rPr>
                  </w:pPr>
                  <w:r>
                    <w:rPr>
                      <w:rFonts w:eastAsiaTheme="minorEastAsia"/>
                      <w:sz w:val="21"/>
                      <w:szCs w:val="21"/>
                    </w:rPr>
                    <w:t>噪声排放源</w:t>
                  </w:r>
                </w:p>
              </w:tc>
            </w:tr>
            <w:tr w14:paraId="0F14CA5E">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28" w:type="dxa"/>
                  <w:bottom w:w="0" w:type="dxa"/>
                  <w:right w:w="28" w:type="dxa"/>
                </w:tblCellMar>
              </w:tblPrEx>
              <w:trPr>
                <w:trHeight w:val="19" w:hRule="atLeast"/>
                <w:jc w:val="center"/>
              </w:trPr>
              <w:tc>
                <w:tcPr>
                  <w:tcW w:w="325" w:type="pct"/>
                  <w:vAlign w:val="center"/>
                </w:tcPr>
                <w:p w14:paraId="21A58FCA">
                  <w:pPr>
                    <w:adjustRightInd w:val="0"/>
                    <w:snapToGrid w:val="0"/>
                    <w:spacing w:line="240" w:lineRule="auto"/>
                    <w:jc w:val="center"/>
                    <w:rPr>
                      <w:rFonts w:eastAsiaTheme="minorEastAsia"/>
                      <w:sz w:val="21"/>
                      <w:szCs w:val="21"/>
                    </w:rPr>
                  </w:pPr>
                  <w:r>
                    <w:rPr>
                      <w:rFonts w:eastAsiaTheme="minorEastAsia"/>
                      <w:sz w:val="21"/>
                      <w:szCs w:val="21"/>
                    </w:rPr>
                    <w:t>3</w:t>
                  </w:r>
                </w:p>
              </w:tc>
              <w:tc>
                <w:tcPr>
                  <w:tcW w:w="1713" w:type="pct"/>
                  <w:vAlign w:val="center"/>
                </w:tcPr>
                <w:p w14:paraId="6789F30D">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553845" cy="1068705"/>
                        <wp:effectExtent l="0" t="0" r="8255" b="17145"/>
                        <wp:docPr id="9619635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963541" name="图片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598547" cy="1099216"/>
                                </a:xfrm>
                                <a:prstGeom prst="rect">
                                  <a:avLst/>
                                </a:prstGeom>
                                <a:noFill/>
                                <a:ln>
                                  <a:noFill/>
                                </a:ln>
                              </pic:spPr>
                            </pic:pic>
                          </a:graphicData>
                        </a:graphic>
                      </wp:inline>
                    </w:drawing>
                  </w:r>
                </w:p>
              </w:tc>
              <w:tc>
                <w:tcPr>
                  <w:tcW w:w="1865" w:type="pct"/>
                  <w:vAlign w:val="center"/>
                </w:tcPr>
                <w:p w14:paraId="323E1C2E">
                  <w:pPr>
                    <w:adjustRightInd w:val="0"/>
                    <w:snapToGrid w:val="0"/>
                    <w:spacing w:line="240" w:lineRule="auto"/>
                    <w:jc w:val="center"/>
                    <w:rPr>
                      <w:rFonts w:eastAsiaTheme="minorEastAsia"/>
                      <w:sz w:val="21"/>
                      <w:szCs w:val="21"/>
                    </w:rPr>
                  </w:pPr>
                  <w:r>
                    <w:rPr>
                      <w:rFonts w:eastAsiaTheme="minorEastAsia"/>
                      <w:sz w:val="21"/>
                      <w:szCs w:val="21"/>
                    </w:rPr>
                    <w:drawing>
                      <wp:inline distT="0" distB="0" distL="0" distR="0">
                        <wp:extent cx="1181100" cy="1012190"/>
                        <wp:effectExtent l="9525" t="9525" r="9525" b="26035"/>
                        <wp:docPr id="15080784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78450" name="图片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185090" cy="1015792"/>
                                </a:xfrm>
                                <a:prstGeom prst="rect">
                                  <a:avLst/>
                                </a:prstGeom>
                                <a:noFill/>
                                <a:ln>
                                  <a:solidFill>
                                    <a:sysClr val="windowText" lastClr="000000"/>
                                  </a:solidFill>
                                </a:ln>
                              </pic:spPr>
                            </pic:pic>
                          </a:graphicData>
                        </a:graphic>
                      </wp:inline>
                    </w:drawing>
                  </w:r>
                </w:p>
              </w:tc>
              <w:tc>
                <w:tcPr>
                  <w:tcW w:w="1095" w:type="pct"/>
                  <w:vAlign w:val="center"/>
                </w:tcPr>
                <w:p w14:paraId="13CBDE1D">
                  <w:pPr>
                    <w:adjustRightInd w:val="0"/>
                    <w:snapToGrid w:val="0"/>
                    <w:spacing w:line="240" w:lineRule="auto"/>
                    <w:jc w:val="center"/>
                    <w:rPr>
                      <w:rFonts w:eastAsiaTheme="minorEastAsia"/>
                      <w:sz w:val="21"/>
                      <w:szCs w:val="21"/>
                    </w:rPr>
                  </w:pPr>
                  <w:r>
                    <w:rPr>
                      <w:rFonts w:eastAsiaTheme="minorEastAsia"/>
                      <w:sz w:val="21"/>
                      <w:szCs w:val="21"/>
                    </w:rPr>
                    <w:t>危废暂存间</w:t>
                  </w:r>
                </w:p>
              </w:tc>
            </w:tr>
          </w:tbl>
          <w:p w14:paraId="2BA424BB">
            <w:pPr>
              <w:adjustRightInd w:val="0"/>
              <w:snapToGrid w:val="0"/>
              <w:spacing w:line="240" w:lineRule="auto"/>
              <w:jc w:val="center"/>
              <w:rPr>
                <w:rFonts w:eastAsiaTheme="minorEastAsia"/>
                <w:b/>
                <w:sz w:val="21"/>
                <w:szCs w:val="21"/>
              </w:rPr>
            </w:pPr>
            <w:r>
              <w:rPr>
                <w:rFonts w:eastAsiaTheme="minorEastAsia"/>
                <w:b/>
                <w:sz w:val="21"/>
                <w:szCs w:val="21"/>
              </w:rPr>
              <w:t>表5-2  环保图形标志形状、颜色</w:t>
            </w:r>
          </w:p>
          <w:tbl>
            <w:tblPr>
              <w:tblStyle w:val="21"/>
              <w:tblpPr w:leftFromText="180" w:rightFromText="180" w:vertAnchor="text" w:tblpXSpec="center" w:tblpY="1"/>
              <w:tblOverlap w:val="never"/>
              <w:tblW w:w="74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4"/>
              <w:gridCol w:w="1854"/>
              <w:gridCol w:w="1854"/>
              <w:gridCol w:w="1854"/>
            </w:tblGrid>
            <w:tr w14:paraId="1661C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4" w:type="dxa"/>
                  <w:vAlign w:val="center"/>
                </w:tcPr>
                <w:p w14:paraId="5321F6B2">
                  <w:pPr>
                    <w:adjustRightInd w:val="0"/>
                    <w:snapToGrid w:val="0"/>
                    <w:spacing w:line="240" w:lineRule="auto"/>
                    <w:jc w:val="center"/>
                    <w:rPr>
                      <w:rFonts w:eastAsiaTheme="minorEastAsia"/>
                      <w:sz w:val="21"/>
                      <w:szCs w:val="21"/>
                    </w:rPr>
                  </w:pPr>
                  <w:r>
                    <w:rPr>
                      <w:rFonts w:eastAsiaTheme="minorEastAsia"/>
                      <w:sz w:val="21"/>
                      <w:szCs w:val="21"/>
                    </w:rPr>
                    <w:t>类型</w:t>
                  </w:r>
                </w:p>
              </w:tc>
              <w:tc>
                <w:tcPr>
                  <w:tcW w:w="1854" w:type="dxa"/>
                  <w:vAlign w:val="center"/>
                </w:tcPr>
                <w:p w14:paraId="5901DF8E">
                  <w:pPr>
                    <w:adjustRightInd w:val="0"/>
                    <w:snapToGrid w:val="0"/>
                    <w:spacing w:line="240" w:lineRule="auto"/>
                    <w:jc w:val="center"/>
                    <w:rPr>
                      <w:rFonts w:eastAsiaTheme="minorEastAsia"/>
                      <w:sz w:val="21"/>
                      <w:szCs w:val="21"/>
                    </w:rPr>
                  </w:pPr>
                  <w:r>
                    <w:rPr>
                      <w:rFonts w:eastAsiaTheme="minorEastAsia"/>
                      <w:sz w:val="21"/>
                      <w:szCs w:val="21"/>
                    </w:rPr>
                    <w:t>形状</w:t>
                  </w:r>
                </w:p>
              </w:tc>
              <w:tc>
                <w:tcPr>
                  <w:tcW w:w="1854" w:type="dxa"/>
                  <w:vAlign w:val="center"/>
                </w:tcPr>
                <w:p w14:paraId="37EA4312">
                  <w:pPr>
                    <w:adjustRightInd w:val="0"/>
                    <w:snapToGrid w:val="0"/>
                    <w:spacing w:line="240" w:lineRule="auto"/>
                    <w:jc w:val="center"/>
                    <w:rPr>
                      <w:rFonts w:eastAsiaTheme="minorEastAsia"/>
                      <w:sz w:val="21"/>
                      <w:szCs w:val="21"/>
                    </w:rPr>
                  </w:pPr>
                  <w:r>
                    <w:rPr>
                      <w:rFonts w:eastAsiaTheme="minorEastAsia"/>
                      <w:sz w:val="21"/>
                      <w:szCs w:val="21"/>
                    </w:rPr>
                    <w:t>背景颜色</w:t>
                  </w:r>
                </w:p>
              </w:tc>
              <w:tc>
                <w:tcPr>
                  <w:tcW w:w="1854" w:type="dxa"/>
                  <w:vAlign w:val="center"/>
                </w:tcPr>
                <w:p w14:paraId="311BE660">
                  <w:pPr>
                    <w:adjustRightInd w:val="0"/>
                    <w:snapToGrid w:val="0"/>
                    <w:spacing w:line="240" w:lineRule="auto"/>
                    <w:jc w:val="center"/>
                    <w:rPr>
                      <w:rFonts w:eastAsiaTheme="minorEastAsia"/>
                      <w:sz w:val="21"/>
                      <w:szCs w:val="21"/>
                    </w:rPr>
                  </w:pPr>
                  <w:r>
                    <w:rPr>
                      <w:rFonts w:eastAsiaTheme="minorEastAsia"/>
                      <w:sz w:val="21"/>
                      <w:szCs w:val="21"/>
                    </w:rPr>
                    <w:t>图形颜色</w:t>
                  </w:r>
                </w:p>
              </w:tc>
            </w:tr>
            <w:tr w14:paraId="48EE1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4" w:type="dxa"/>
                  <w:vAlign w:val="center"/>
                </w:tcPr>
                <w:p w14:paraId="40F83CA9">
                  <w:pPr>
                    <w:adjustRightInd w:val="0"/>
                    <w:snapToGrid w:val="0"/>
                    <w:spacing w:line="240" w:lineRule="auto"/>
                    <w:jc w:val="center"/>
                    <w:rPr>
                      <w:rFonts w:eastAsiaTheme="minorEastAsia"/>
                      <w:sz w:val="21"/>
                      <w:szCs w:val="21"/>
                    </w:rPr>
                  </w:pPr>
                  <w:r>
                    <w:rPr>
                      <w:rFonts w:eastAsiaTheme="minorEastAsia"/>
                      <w:sz w:val="21"/>
                      <w:szCs w:val="21"/>
                    </w:rPr>
                    <w:t>提示性图形符号</w:t>
                  </w:r>
                </w:p>
              </w:tc>
              <w:tc>
                <w:tcPr>
                  <w:tcW w:w="1854" w:type="dxa"/>
                  <w:vAlign w:val="center"/>
                </w:tcPr>
                <w:p w14:paraId="0E3BFC9C">
                  <w:pPr>
                    <w:adjustRightInd w:val="0"/>
                    <w:snapToGrid w:val="0"/>
                    <w:spacing w:line="240" w:lineRule="auto"/>
                    <w:jc w:val="center"/>
                    <w:rPr>
                      <w:rFonts w:eastAsiaTheme="minorEastAsia"/>
                      <w:sz w:val="21"/>
                      <w:szCs w:val="21"/>
                    </w:rPr>
                  </w:pPr>
                  <w:r>
                    <w:rPr>
                      <w:rFonts w:eastAsiaTheme="minorEastAsia"/>
                      <w:sz w:val="21"/>
                      <w:szCs w:val="21"/>
                    </w:rPr>
                    <w:t>正方形边框</w:t>
                  </w:r>
                </w:p>
              </w:tc>
              <w:tc>
                <w:tcPr>
                  <w:tcW w:w="1854" w:type="dxa"/>
                  <w:vAlign w:val="center"/>
                </w:tcPr>
                <w:p w14:paraId="2E569EA7">
                  <w:pPr>
                    <w:adjustRightInd w:val="0"/>
                    <w:snapToGrid w:val="0"/>
                    <w:spacing w:line="240" w:lineRule="auto"/>
                    <w:jc w:val="center"/>
                    <w:rPr>
                      <w:rFonts w:eastAsiaTheme="minorEastAsia"/>
                      <w:sz w:val="21"/>
                      <w:szCs w:val="21"/>
                    </w:rPr>
                  </w:pPr>
                  <w:r>
                    <w:rPr>
                      <w:rFonts w:eastAsiaTheme="minorEastAsia"/>
                      <w:sz w:val="21"/>
                      <w:szCs w:val="21"/>
                    </w:rPr>
                    <w:t>绿色</w:t>
                  </w:r>
                </w:p>
              </w:tc>
              <w:tc>
                <w:tcPr>
                  <w:tcW w:w="1854" w:type="dxa"/>
                  <w:vAlign w:val="center"/>
                </w:tcPr>
                <w:p w14:paraId="4C112610">
                  <w:pPr>
                    <w:adjustRightInd w:val="0"/>
                    <w:snapToGrid w:val="0"/>
                    <w:spacing w:line="240" w:lineRule="auto"/>
                    <w:jc w:val="center"/>
                    <w:rPr>
                      <w:rFonts w:eastAsiaTheme="minorEastAsia"/>
                      <w:sz w:val="21"/>
                      <w:szCs w:val="21"/>
                    </w:rPr>
                  </w:pPr>
                  <w:r>
                    <w:rPr>
                      <w:rFonts w:eastAsiaTheme="minorEastAsia"/>
                      <w:sz w:val="21"/>
                      <w:szCs w:val="21"/>
                    </w:rPr>
                    <w:t>白色</w:t>
                  </w:r>
                </w:p>
              </w:tc>
            </w:tr>
            <w:tr w14:paraId="1C86D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4" w:type="dxa"/>
                  <w:vAlign w:val="center"/>
                </w:tcPr>
                <w:p w14:paraId="7057C849">
                  <w:pPr>
                    <w:adjustRightInd w:val="0"/>
                    <w:snapToGrid w:val="0"/>
                    <w:spacing w:line="240" w:lineRule="auto"/>
                    <w:jc w:val="center"/>
                    <w:rPr>
                      <w:rFonts w:eastAsiaTheme="minorEastAsia"/>
                      <w:sz w:val="21"/>
                      <w:szCs w:val="21"/>
                    </w:rPr>
                  </w:pPr>
                  <w:r>
                    <w:rPr>
                      <w:rFonts w:eastAsiaTheme="minorEastAsia"/>
                      <w:sz w:val="21"/>
                      <w:szCs w:val="21"/>
                    </w:rPr>
                    <w:t>警告图形符号</w:t>
                  </w:r>
                </w:p>
              </w:tc>
              <w:tc>
                <w:tcPr>
                  <w:tcW w:w="1854" w:type="dxa"/>
                  <w:vAlign w:val="center"/>
                </w:tcPr>
                <w:p w14:paraId="72AB8457">
                  <w:pPr>
                    <w:adjustRightInd w:val="0"/>
                    <w:snapToGrid w:val="0"/>
                    <w:spacing w:line="240" w:lineRule="auto"/>
                    <w:jc w:val="center"/>
                    <w:rPr>
                      <w:rFonts w:eastAsiaTheme="minorEastAsia"/>
                      <w:sz w:val="21"/>
                      <w:szCs w:val="21"/>
                    </w:rPr>
                  </w:pPr>
                  <w:r>
                    <w:rPr>
                      <w:rFonts w:eastAsiaTheme="minorEastAsia"/>
                      <w:sz w:val="21"/>
                      <w:szCs w:val="21"/>
                    </w:rPr>
                    <w:t>三角形边框</w:t>
                  </w:r>
                </w:p>
              </w:tc>
              <w:tc>
                <w:tcPr>
                  <w:tcW w:w="1854" w:type="dxa"/>
                  <w:vAlign w:val="center"/>
                </w:tcPr>
                <w:p w14:paraId="3900E622">
                  <w:pPr>
                    <w:adjustRightInd w:val="0"/>
                    <w:snapToGrid w:val="0"/>
                    <w:spacing w:line="240" w:lineRule="auto"/>
                    <w:jc w:val="center"/>
                    <w:rPr>
                      <w:rFonts w:eastAsiaTheme="minorEastAsia"/>
                      <w:sz w:val="21"/>
                      <w:szCs w:val="21"/>
                    </w:rPr>
                  </w:pPr>
                  <w:r>
                    <w:rPr>
                      <w:rFonts w:eastAsiaTheme="minorEastAsia"/>
                      <w:sz w:val="21"/>
                      <w:szCs w:val="21"/>
                    </w:rPr>
                    <w:t>黄色</w:t>
                  </w:r>
                </w:p>
              </w:tc>
              <w:tc>
                <w:tcPr>
                  <w:tcW w:w="1854" w:type="dxa"/>
                  <w:vAlign w:val="center"/>
                </w:tcPr>
                <w:p w14:paraId="728968CF">
                  <w:pPr>
                    <w:adjustRightInd w:val="0"/>
                    <w:snapToGrid w:val="0"/>
                    <w:spacing w:line="240" w:lineRule="auto"/>
                    <w:jc w:val="center"/>
                    <w:rPr>
                      <w:rFonts w:eastAsiaTheme="minorEastAsia"/>
                      <w:sz w:val="21"/>
                      <w:szCs w:val="21"/>
                    </w:rPr>
                  </w:pPr>
                  <w:r>
                    <w:rPr>
                      <w:rFonts w:eastAsiaTheme="minorEastAsia"/>
                      <w:sz w:val="21"/>
                      <w:szCs w:val="21"/>
                    </w:rPr>
                    <w:t>黑色</w:t>
                  </w:r>
                </w:p>
              </w:tc>
            </w:tr>
          </w:tbl>
          <w:p w14:paraId="7B2C529B">
            <w:pPr>
              <w:pStyle w:val="29"/>
              <w:jc w:val="left"/>
              <w:rPr>
                <w:sz w:val="21"/>
                <w:szCs w:val="21"/>
              </w:rPr>
            </w:pPr>
            <w:r>
              <w:rPr>
                <w:sz w:val="21"/>
                <w:szCs w:val="21"/>
              </w:rPr>
              <w:t>（3）按照要求填写由原国家环保部统一印制的《中华人民共和国规范化排污口标志登记证》。</w:t>
            </w:r>
          </w:p>
          <w:p w14:paraId="6E6A0508">
            <w:pPr>
              <w:pStyle w:val="29"/>
              <w:jc w:val="left"/>
              <w:rPr>
                <w:sz w:val="21"/>
                <w:szCs w:val="21"/>
              </w:rPr>
            </w:pPr>
            <w:r>
              <w:rPr>
                <w:sz w:val="21"/>
                <w:szCs w:val="21"/>
              </w:rPr>
              <w:t>（4）规范化设置的排污口有关设置属于环境保护设施，应将其纳入本单位设备管理，并选派具有专业知识的专职或兼职人员对排污口进行管理。另外，项目建成投入运行后，应向环保主管部门进行排污申报。</w:t>
            </w:r>
          </w:p>
          <w:p w14:paraId="74500681">
            <w:pPr>
              <w:pStyle w:val="29"/>
              <w:jc w:val="left"/>
              <w:rPr>
                <w:sz w:val="21"/>
                <w:szCs w:val="21"/>
              </w:rPr>
            </w:pPr>
            <w:r>
              <w:rPr>
                <w:sz w:val="21"/>
                <w:szCs w:val="21"/>
              </w:rPr>
              <w:t>2、环保设施竣工验收</w:t>
            </w:r>
          </w:p>
          <w:p w14:paraId="3D1673C8">
            <w:pPr>
              <w:pStyle w:val="29"/>
              <w:jc w:val="left"/>
              <w:rPr>
                <w:sz w:val="21"/>
                <w:szCs w:val="21"/>
              </w:rPr>
            </w:pPr>
            <w:r>
              <w:rPr>
                <w:sz w:val="21"/>
                <w:szCs w:val="21"/>
              </w:rPr>
              <w:t>依据《建设项目竣工环境保护验收暂行办法》（国环规环评[2017]4号）和《建设项目竣工环境保护验收技术指南污染影响类》（生态环境部公告2018年第9号），建设单位是建设项目竣工环境保护验收的责任主体，应当按照本办法规定的程序和标准，组织对配套建设的环境保护设施进行验收。</w:t>
            </w:r>
          </w:p>
          <w:p w14:paraId="21648F4F">
            <w:pPr>
              <w:pStyle w:val="29"/>
              <w:jc w:val="left"/>
              <w:rPr>
                <w:sz w:val="21"/>
                <w:szCs w:val="21"/>
              </w:rPr>
            </w:pPr>
            <w:r>
              <w:rPr>
                <w:sz w:val="21"/>
                <w:szCs w:val="21"/>
              </w:rPr>
              <w:t>建设项目竣工后，建设单位应当如实查验、监测、记载建设项目环境保护设施的建设和调试情况，编制验收监测（调查）报告。公开相关信息，接受社会监督，确保建设项目需要配套建设的环境保护设施与主体工程同时投产或者使用，并对验收内容、结论和所公开信息的真实性、准确性和完整性负责。环境保护设施未与主体工程同时建成的，或者应当取得排污许可证但未取得的，建设单位不得对该建设项目环境保护设施进行调试。建设项目配套建设的环境保护设施经验收合格后，其主体工程方可投入生产或者使用；未经验收或者验收不合格的，不得投入生产或者使用。除需要取得排污许可证的水和大气污染防治设施外，其他环境保护设施的验收期限一般不超过3个月；需要对该类环境保护设施进行调试或者整改的，验收期限可以适当延期，但最长不超过12个月。</w:t>
            </w:r>
          </w:p>
          <w:p w14:paraId="29DA8066">
            <w:pPr>
              <w:pStyle w:val="29"/>
              <w:jc w:val="left"/>
              <w:rPr>
                <w:sz w:val="21"/>
                <w:szCs w:val="21"/>
              </w:rPr>
            </w:pPr>
            <w:r>
              <w:rPr>
                <w:sz w:val="21"/>
                <w:szCs w:val="21"/>
              </w:rPr>
              <w:t>3、项目环评与排污许可联动内容</w:t>
            </w:r>
          </w:p>
          <w:p w14:paraId="3E7C9375">
            <w:pPr>
              <w:adjustRightInd w:val="0"/>
              <w:snapToGrid w:val="0"/>
              <w:spacing w:line="276" w:lineRule="auto"/>
              <w:ind w:firstLine="420" w:firstLineChars="200"/>
              <w:rPr>
                <w:kern w:val="0"/>
                <w:sz w:val="21"/>
                <w:szCs w:val="21"/>
              </w:rPr>
            </w:pPr>
            <w:r>
              <w:rPr>
                <w:kern w:val="0"/>
                <w:sz w:val="21"/>
                <w:szCs w:val="21"/>
              </w:rPr>
              <w:t>根据安徽省生态环境厅于2021年1月30日发布的《安徽省生态环境厅关于统筹做好固定污染源排污许可日常监管工作的通知》（皖环发[2021]7号），属于现行《固定污染源排污许可分类管理名录》内重点管理和简化管理的行业，在环评文件中应明确“建设项目环境影响评价与排污许可联动内容”和《建设项目排污许可申请与填发信息表》。</w:t>
            </w:r>
          </w:p>
          <w:p w14:paraId="4C31D781">
            <w:pPr>
              <w:pStyle w:val="29"/>
              <w:ind w:firstLine="420" w:firstLineChars="200"/>
              <w:jc w:val="left"/>
              <w:rPr>
                <w:sz w:val="21"/>
                <w:szCs w:val="21"/>
              </w:rPr>
            </w:pPr>
            <w:r>
              <w:rPr>
                <w:sz w:val="21"/>
                <w:szCs w:val="21"/>
              </w:rPr>
              <w:t>项目环保竣工验收：建设单位应根据环保竣工验收相关要求，自主开展相关工作。建设项目配套建设的环境保护设施经验收合格，方可投入生产或者使用，未经验收或者验收不合格的，不得投入生产或者使用。</w:t>
            </w:r>
          </w:p>
          <w:p w14:paraId="2F254E33">
            <w:pPr>
              <w:pStyle w:val="29"/>
              <w:ind w:firstLine="420" w:firstLineChars="200"/>
              <w:jc w:val="left"/>
              <w:rPr>
                <w:sz w:val="21"/>
                <w:szCs w:val="21"/>
              </w:rPr>
            </w:pPr>
            <w:r>
              <w:rPr>
                <w:sz w:val="21"/>
                <w:szCs w:val="21"/>
              </w:rPr>
              <w:t>建设单位应严格落实《关于开展排放口规范化整治工作的通知》（环发〔1999〕24号）、《排污口规范化整治技术要求》（环监[1996]470号）、《安徽省污染源排放口规范化整治管理办法》（环法函〔2005〕114号）等文件要求，按规定设置排放口。</w:t>
            </w:r>
          </w:p>
        </w:tc>
      </w:tr>
    </w:tbl>
    <w:p w14:paraId="3B5220A4">
      <w:pPr>
        <w:rPr>
          <w:rFonts w:hint="default" w:ascii="Times New Roman" w:hAnsi="Times New Roman" w:cs="Times New Roman"/>
        </w:rPr>
      </w:pPr>
    </w:p>
    <w:p w14:paraId="58BB1848">
      <w:pPr>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14:paraId="1C9F60CB">
      <w:pPr>
        <w:pStyle w:val="3"/>
        <w:rPr>
          <w:rFonts w:hint="default" w:ascii="Times New Roman" w:hAnsi="Times New Roman" w:cs="Times New Roman"/>
        </w:rPr>
      </w:pPr>
      <w:bookmarkStart w:id="15" w:name="_Toc18008"/>
      <w:r>
        <w:rPr>
          <w:rFonts w:hint="default" w:ascii="Times New Roman" w:hAnsi="Times New Roman" w:cs="Times New Roman"/>
        </w:rPr>
        <w:t>六、结论</w:t>
      </w:r>
      <w:bookmarkEnd w:id="15"/>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F6A4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68" w:hRule="atLeast"/>
        </w:trPr>
        <w:tc>
          <w:tcPr>
            <w:tcW w:w="8522" w:type="dxa"/>
          </w:tcPr>
          <w:p w14:paraId="29510F09">
            <w:pPr>
              <w:pStyle w:val="45"/>
              <w:keepNext w:val="0"/>
              <w:keepLines w:val="0"/>
              <w:pageBreakBefore w:val="0"/>
              <w:kinsoku/>
              <w:overflowPunct/>
              <w:topLinePunct w:val="0"/>
              <w:autoSpaceDE/>
              <w:autoSpaceDN/>
              <w:bidi w:val="0"/>
              <w:adjustRightInd/>
              <w:snapToGrid/>
              <w:spacing w:line="460" w:lineRule="exact"/>
              <w:ind w:firstLine="480"/>
              <w:textAlignment w:val="auto"/>
              <w:rPr>
                <w:rFonts w:hint="default" w:ascii="Times New Roman" w:hAnsi="Times New Roman" w:cs="Times New Roman"/>
              </w:rPr>
            </w:pPr>
            <w:r>
              <w:rPr>
                <w:rFonts w:hint="default" w:ascii="Times New Roman" w:hAnsi="Times New Roman" w:cs="Times New Roman"/>
              </w:rPr>
              <w:t>本项目位于淮南市谢家集区安徽普特机械制造有限公司厂区内，该项目地块属于</w:t>
            </w:r>
            <w:r>
              <w:rPr>
                <w:rFonts w:hint="default" w:ascii="Times New Roman" w:hAnsi="Times New Roman" w:cs="Times New Roman"/>
                <w:bCs/>
              </w:rPr>
              <w:t>淮南高新技术产业开发区总体规划范围内。租赁</w:t>
            </w:r>
            <w:r>
              <w:rPr>
                <w:rFonts w:hint="default" w:ascii="Times New Roman" w:hAnsi="Times New Roman" w:cs="Times New Roman"/>
              </w:rPr>
              <w:t>安徽普特机械制造有限公司现有厂房。符合国家及地方产业政策，选址符合用地规划要求；项目生产过程中产生的污染在采取有效的治理措施之后，对周围环境影响较小，不会改变当地环境质量现状；同时本项目对周边环境产生的影响较小，事故风险水平可被接受。</w:t>
            </w:r>
          </w:p>
          <w:p w14:paraId="25BA8418">
            <w:pPr>
              <w:keepNext w:val="0"/>
              <w:keepLines w:val="0"/>
              <w:pageBreakBefore w:val="0"/>
              <w:kinsoku/>
              <w:overflowPunct/>
              <w:topLinePunct w:val="0"/>
              <w:autoSpaceDE/>
              <w:autoSpaceDN/>
              <w:bidi w:val="0"/>
              <w:adjustRightInd/>
              <w:snapToGrid/>
              <w:spacing w:line="460" w:lineRule="exact"/>
              <w:ind w:firstLine="480" w:firstLineChars="200"/>
              <w:textAlignment w:val="auto"/>
              <w:rPr>
                <w:rFonts w:hint="default" w:ascii="Times New Roman" w:hAnsi="Times New Roman" w:cs="Times New Roman"/>
              </w:rPr>
            </w:pPr>
            <w:r>
              <w:rPr>
                <w:rFonts w:hint="default" w:ascii="Times New Roman" w:hAnsi="Times New Roman" w:cs="Times New Roman"/>
              </w:rPr>
              <w:t>因此，从环境影响评价角度出发，该项目在坚持“三同时”原则并按照本报告中提出的各项环保措施治理后是可行的。</w:t>
            </w:r>
          </w:p>
        </w:tc>
      </w:tr>
    </w:tbl>
    <w:p w14:paraId="2C07DA80">
      <w:pPr>
        <w:numPr>
          <w:ilvl w:val="0"/>
          <w:numId w:val="3"/>
        </w:numPr>
        <w:rPr>
          <w:rFonts w:hint="default" w:ascii="Times New Roman" w:hAnsi="Times New Roman" w:cs="Times New Roman"/>
        </w:rPr>
        <w:sectPr>
          <w:pgSz w:w="11906" w:h="16838"/>
          <w:pgMar w:top="1440" w:right="1800" w:bottom="1440" w:left="1800" w:header="851" w:footer="992" w:gutter="0"/>
          <w:cols w:space="425" w:num="1"/>
          <w:docGrid w:type="lines" w:linePitch="312" w:charSpace="0"/>
        </w:sectPr>
      </w:pPr>
    </w:p>
    <w:p w14:paraId="44561E2B">
      <w:pPr>
        <w:widowControl/>
        <w:adjustRightInd w:val="0"/>
        <w:snapToGrid w:val="0"/>
        <w:spacing w:line="300" w:lineRule="exact"/>
        <w:outlineLvl w:val="0"/>
        <w:rPr>
          <w:rFonts w:hint="default" w:ascii="Times New Roman" w:hAnsi="Times New Roman" w:eastAsia="黑体" w:cs="Times New Roman"/>
          <w:snapToGrid w:val="0"/>
          <w:sz w:val="32"/>
          <w:szCs w:val="32"/>
        </w:rPr>
      </w:pPr>
      <w:bookmarkStart w:id="16" w:name="_Toc28698"/>
      <w:r>
        <w:rPr>
          <w:rFonts w:hint="default" w:ascii="Times New Roman" w:hAnsi="Times New Roman" w:eastAsia="黑体" w:cs="Times New Roman"/>
          <w:snapToGrid w:val="0"/>
          <w:sz w:val="32"/>
          <w:szCs w:val="32"/>
        </w:rPr>
        <w:t>附表</w:t>
      </w:r>
      <w:bookmarkEnd w:id="16"/>
    </w:p>
    <w:p w14:paraId="36D01DE8">
      <w:pPr>
        <w:pStyle w:val="7"/>
        <w:rPr>
          <w:rFonts w:hint="default" w:ascii="Times New Roman" w:hAnsi="Times New Roman" w:cs="Times New Roman"/>
        </w:rPr>
      </w:pPr>
      <w:r>
        <w:rPr>
          <w:rFonts w:hint="default" w:ascii="Times New Roman" w:hAnsi="Times New Roman" w:cs="Times New Roman"/>
        </w:rPr>
        <w:t>建设项目污染物排放量汇总表t/a</w:t>
      </w:r>
    </w:p>
    <w:tbl>
      <w:tblPr>
        <w:tblStyle w:val="21"/>
        <w:tblW w:w="499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633"/>
        <w:gridCol w:w="1768"/>
        <w:gridCol w:w="1613"/>
        <w:gridCol w:w="1516"/>
        <w:gridCol w:w="1634"/>
        <w:gridCol w:w="1634"/>
        <w:gridCol w:w="1634"/>
        <w:gridCol w:w="1954"/>
        <w:gridCol w:w="1319"/>
      </w:tblGrid>
      <w:tr w14:paraId="4F047A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tcBorders>
              <w:tl2br w:val="single" w:color="auto" w:sz="4" w:space="0"/>
            </w:tcBorders>
            <w:tcMar>
              <w:left w:w="28" w:type="dxa"/>
              <w:right w:w="28" w:type="dxa"/>
            </w:tcMar>
            <w:vAlign w:val="center"/>
          </w:tcPr>
          <w:p w14:paraId="69180F4A">
            <w:pPr>
              <w:pStyle w:val="29"/>
              <w:snapToGrid w:val="0"/>
              <w:rPr>
                <w:rFonts w:hint="default" w:ascii="Times New Roman" w:hAnsi="Times New Roman" w:cs="Times New Roman"/>
              </w:rPr>
            </w:pPr>
          </w:p>
          <w:p w14:paraId="5B0F8B0F">
            <w:pPr>
              <w:pStyle w:val="29"/>
              <w:snapToGrid w:val="0"/>
              <w:rPr>
                <w:rFonts w:hint="default" w:ascii="Times New Roman" w:hAnsi="Times New Roman" w:cs="Times New Roman"/>
              </w:rPr>
            </w:pPr>
          </w:p>
          <w:p w14:paraId="7E569DFB">
            <w:pPr>
              <w:pStyle w:val="29"/>
              <w:snapToGrid w:val="0"/>
              <w:rPr>
                <w:rFonts w:hint="default" w:ascii="Times New Roman" w:hAnsi="Times New Roman" w:cs="Times New Roman"/>
              </w:rPr>
            </w:pPr>
            <w:r>
              <w:rPr>
                <w:rFonts w:hint="default" w:ascii="Times New Roman" w:hAnsi="Times New Roman" w:cs="Times New Roman"/>
              </w:rPr>
              <w:t>分类</w:t>
            </w:r>
          </w:p>
          <w:p w14:paraId="5BF796B9">
            <w:pPr>
              <w:pStyle w:val="29"/>
              <w:rPr>
                <w:rFonts w:hint="default" w:ascii="Times New Roman" w:hAnsi="Times New Roman" w:cs="Times New Roman"/>
              </w:rPr>
            </w:pPr>
            <w:r>
              <w:rPr>
                <w:rFonts w:hint="default" w:ascii="Times New Roman" w:hAnsi="Times New Roman" w:cs="Times New Roman"/>
              </w:rPr>
              <w:t>项目</w:t>
            </w:r>
          </w:p>
        </w:tc>
        <w:tc>
          <w:tcPr>
            <w:tcW w:w="601" w:type="pct"/>
            <w:tcMar>
              <w:left w:w="28" w:type="dxa"/>
              <w:right w:w="28" w:type="dxa"/>
            </w:tcMar>
            <w:vAlign w:val="center"/>
          </w:tcPr>
          <w:p w14:paraId="445E30D1">
            <w:pPr>
              <w:pStyle w:val="29"/>
              <w:rPr>
                <w:rFonts w:hint="default" w:ascii="Times New Roman" w:hAnsi="Times New Roman" w:cs="Times New Roman"/>
              </w:rPr>
            </w:pPr>
            <w:r>
              <w:rPr>
                <w:rFonts w:hint="default" w:ascii="Times New Roman" w:hAnsi="Times New Roman" w:cs="Times New Roman"/>
              </w:rPr>
              <w:t>污染物名称</w:t>
            </w:r>
          </w:p>
        </w:tc>
        <w:tc>
          <w:tcPr>
            <w:tcW w:w="548" w:type="pct"/>
            <w:tcMar>
              <w:left w:w="28" w:type="dxa"/>
              <w:right w:w="28" w:type="dxa"/>
            </w:tcMar>
            <w:vAlign w:val="center"/>
          </w:tcPr>
          <w:p w14:paraId="6C839432">
            <w:pPr>
              <w:pStyle w:val="29"/>
              <w:rPr>
                <w:rFonts w:hint="default" w:ascii="Times New Roman" w:hAnsi="Times New Roman" w:cs="Times New Roman"/>
              </w:rPr>
            </w:pPr>
            <w:r>
              <w:rPr>
                <w:rFonts w:hint="default" w:ascii="Times New Roman" w:hAnsi="Times New Roman" w:cs="Times New Roman"/>
              </w:rPr>
              <w:t>现有工程排放量（固体废物产生量）</w:t>
            </w:r>
            <w:r>
              <w:rPr>
                <w:rFonts w:hint="default" w:ascii="Times New Roman" w:hAnsi="Times New Roman" w:cs="Times New Roman"/>
              </w:rPr>
              <w:fldChar w:fldCharType="begin"/>
            </w:r>
            <w:r>
              <w:rPr>
                <w:rFonts w:hint="default" w:ascii="Times New Roman" w:hAnsi="Times New Roman" w:cs="Times New Roman"/>
              </w:rPr>
              <w:instrText xml:space="preserve"> = 1 \* GB3 \* MERGEFORMAT </w:instrText>
            </w:r>
            <w:r>
              <w:rPr>
                <w:rFonts w:hint="default" w:ascii="Times New Roman" w:hAnsi="Times New Roman" w:cs="Times New Roman"/>
              </w:rPr>
              <w:fldChar w:fldCharType="separate"/>
            </w:r>
            <w:r>
              <w:rPr>
                <w:rFonts w:hint="default" w:ascii="Times New Roman" w:hAnsi="Times New Roman" w:cs="Times New Roman"/>
              </w:rPr>
              <w:t>①</w:t>
            </w:r>
            <w:r>
              <w:rPr>
                <w:rFonts w:hint="default" w:ascii="Times New Roman" w:hAnsi="Times New Roman" w:cs="Times New Roman"/>
              </w:rPr>
              <w:fldChar w:fldCharType="end"/>
            </w:r>
          </w:p>
        </w:tc>
        <w:tc>
          <w:tcPr>
            <w:tcW w:w="515" w:type="pct"/>
            <w:tcMar>
              <w:left w:w="28" w:type="dxa"/>
              <w:right w:w="28" w:type="dxa"/>
            </w:tcMar>
            <w:vAlign w:val="center"/>
          </w:tcPr>
          <w:p w14:paraId="0ED92CF1">
            <w:pPr>
              <w:pStyle w:val="29"/>
              <w:rPr>
                <w:rFonts w:hint="default" w:ascii="Times New Roman" w:hAnsi="Times New Roman" w:cs="Times New Roman"/>
              </w:rPr>
            </w:pPr>
            <w:r>
              <w:rPr>
                <w:rFonts w:hint="default" w:ascii="Times New Roman" w:hAnsi="Times New Roman" w:cs="Times New Roman"/>
              </w:rPr>
              <w:t>现有工程许可排放量</w:t>
            </w:r>
            <w:r>
              <w:rPr>
                <w:rFonts w:hint="default" w:ascii="Times New Roman" w:hAnsi="Times New Roman" w:cs="Times New Roman"/>
              </w:rPr>
              <w:fldChar w:fldCharType="begin"/>
            </w:r>
            <w:r>
              <w:rPr>
                <w:rFonts w:hint="default" w:ascii="Times New Roman" w:hAnsi="Times New Roman" w:cs="Times New Roman"/>
              </w:rPr>
              <w:instrText xml:space="preserve"> = 2 \* GB3 \* MERGEFORMAT </w:instrText>
            </w:r>
            <w:r>
              <w:rPr>
                <w:rFonts w:hint="default" w:ascii="Times New Roman" w:hAnsi="Times New Roman" w:cs="Times New Roman"/>
              </w:rPr>
              <w:fldChar w:fldCharType="separate"/>
            </w:r>
            <w:r>
              <w:rPr>
                <w:rFonts w:hint="default" w:ascii="Times New Roman" w:hAnsi="Times New Roman" w:cs="Times New Roman"/>
              </w:rPr>
              <w:t>②</w:t>
            </w:r>
            <w:r>
              <w:rPr>
                <w:rFonts w:hint="default" w:ascii="Times New Roman" w:hAnsi="Times New Roman" w:cs="Times New Roman"/>
              </w:rPr>
              <w:fldChar w:fldCharType="end"/>
            </w:r>
          </w:p>
        </w:tc>
        <w:tc>
          <w:tcPr>
            <w:tcW w:w="555" w:type="pct"/>
            <w:tcMar>
              <w:left w:w="28" w:type="dxa"/>
              <w:right w:w="28" w:type="dxa"/>
            </w:tcMar>
            <w:vAlign w:val="center"/>
          </w:tcPr>
          <w:p w14:paraId="3C9DC6E2">
            <w:pPr>
              <w:pStyle w:val="29"/>
              <w:rPr>
                <w:rFonts w:hint="default" w:ascii="Times New Roman" w:hAnsi="Times New Roman" w:cs="Times New Roman"/>
              </w:rPr>
            </w:pPr>
            <w:r>
              <w:rPr>
                <w:rFonts w:hint="default" w:ascii="Times New Roman" w:hAnsi="Times New Roman" w:cs="Times New Roman"/>
              </w:rPr>
              <w:t>在建工程排放量（固体废物产生量）</w:t>
            </w:r>
            <w:r>
              <w:rPr>
                <w:rFonts w:hint="default" w:ascii="Times New Roman" w:hAnsi="Times New Roman" w:cs="Times New Roman"/>
              </w:rPr>
              <w:fldChar w:fldCharType="begin"/>
            </w:r>
            <w:r>
              <w:rPr>
                <w:rFonts w:hint="default" w:ascii="Times New Roman" w:hAnsi="Times New Roman" w:cs="Times New Roman"/>
              </w:rPr>
              <w:instrText xml:space="preserve"> = 3 \* GB3 \* MERGEFORMAT </w:instrText>
            </w:r>
            <w:r>
              <w:rPr>
                <w:rFonts w:hint="default" w:ascii="Times New Roman" w:hAnsi="Times New Roman" w:cs="Times New Roman"/>
              </w:rPr>
              <w:fldChar w:fldCharType="separate"/>
            </w:r>
            <w:r>
              <w:rPr>
                <w:rFonts w:hint="default" w:ascii="Times New Roman" w:hAnsi="Times New Roman" w:cs="Times New Roman"/>
              </w:rPr>
              <w:t>③</w:t>
            </w:r>
            <w:r>
              <w:rPr>
                <w:rFonts w:hint="default" w:ascii="Times New Roman" w:hAnsi="Times New Roman" w:cs="Times New Roman"/>
              </w:rPr>
              <w:fldChar w:fldCharType="end"/>
            </w:r>
          </w:p>
        </w:tc>
        <w:tc>
          <w:tcPr>
            <w:tcW w:w="555" w:type="pct"/>
            <w:tcMar>
              <w:left w:w="28" w:type="dxa"/>
              <w:right w:w="28" w:type="dxa"/>
            </w:tcMar>
            <w:vAlign w:val="center"/>
          </w:tcPr>
          <w:p w14:paraId="0BE3A1D3">
            <w:pPr>
              <w:pStyle w:val="29"/>
              <w:rPr>
                <w:rFonts w:hint="default" w:ascii="Times New Roman" w:hAnsi="Times New Roman" w:cs="Times New Roman"/>
              </w:rPr>
            </w:pPr>
            <w:r>
              <w:rPr>
                <w:rFonts w:hint="default" w:ascii="Times New Roman" w:hAnsi="Times New Roman" w:cs="Times New Roman"/>
              </w:rPr>
              <w:t>本项目排放量（固体废物产生量）</w:t>
            </w:r>
            <w:r>
              <w:rPr>
                <w:rFonts w:hint="default" w:ascii="Times New Roman" w:hAnsi="Times New Roman" w:cs="Times New Roman"/>
              </w:rPr>
              <w:fldChar w:fldCharType="begin"/>
            </w:r>
            <w:r>
              <w:rPr>
                <w:rFonts w:hint="default" w:ascii="Times New Roman" w:hAnsi="Times New Roman" w:cs="Times New Roman"/>
              </w:rPr>
              <w:instrText xml:space="preserve"> = 4 \* GB3 \* MERGEFORMAT </w:instrText>
            </w:r>
            <w:r>
              <w:rPr>
                <w:rFonts w:hint="default" w:ascii="Times New Roman" w:hAnsi="Times New Roman" w:cs="Times New Roman"/>
              </w:rPr>
              <w:fldChar w:fldCharType="separate"/>
            </w:r>
            <w:r>
              <w:rPr>
                <w:rFonts w:hint="default" w:ascii="Times New Roman" w:hAnsi="Times New Roman" w:cs="Times New Roman"/>
              </w:rPr>
              <w:t>④</w:t>
            </w:r>
            <w:r>
              <w:rPr>
                <w:rFonts w:hint="default" w:ascii="Times New Roman" w:hAnsi="Times New Roman" w:cs="Times New Roman"/>
              </w:rPr>
              <w:fldChar w:fldCharType="end"/>
            </w:r>
          </w:p>
        </w:tc>
        <w:tc>
          <w:tcPr>
            <w:tcW w:w="555" w:type="pct"/>
            <w:tcMar>
              <w:left w:w="28" w:type="dxa"/>
              <w:right w:w="28" w:type="dxa"/>
            </w:tcMar>
            <w:vAlign w:val="center"/>
          </w:tcPr>
          <w:p w14:paraId="36C3C756">
            <w:pPr>
              <w:pStyle w:val="29"/>
              <w:rPr>
                <w:rFonts w:hint="default" w:ascii="Times New Roman" w:hAnsi="Times New Roman" w:cs="Times New Roman"/>
              </w:rPr>
            </w:pPr>
            <w:r>
              <w:rPr>
                <w:rFonts w:hint="default" w:ascii="Times New Roman" w:hAnsi="Times New Roman" w:cs="Times New Roman"/>
              </w:rPr>
              <w:t>以新带老削减量（新建项目不填）</w:t>
            </w:r>
            <w:r>
              <w:rPr>
                <w:rFonts w:hint="default" w:ascii="Times New Roman" w:hAnsi="Times New Roman" w:cs="Times New Roman"/>
              </w:rPr>
              <w:fldChar w:fldCharType="begin"/>
            </w:r>
            <w:r>
              <w:rPr>
                <w:rFonts w:hint="default" w:ascii="Times New Roman" w:hAnsi="Times New Roman" w:cs="Times New Roman"/>
              </w:rPr>
              <w:instrText xml:space="preserve"> = 5 \* GB3 \* MERGEFORMAT </w:instrText>
            </w:r>
            <w:r>
              <w:rPr>
                <w:rFonts w:hint="default" w:ascii="Times New Roman" w:hAnsi="Times New Roman" w:cs="Times New Roman"/>
              </w:rPr>
              <w:fldChar w:fldCharType="separate"/>
            </w:r>
            <w:r>
              <w:rPr>
                <w:rFonts w:hint="default" w:ascii="Times New Roman" w:hAnsi="Times New Roman" w:cs="Times New Roman"/>
              </w:rPr>
              <w:t>⑤</w:t>
            </w:r>
            <w:r>
              <w:rPr>
                <w:rFonts w:hint="default" w:ascii="Times New Roman" w:hAnsi="Times New Roman" w:cs="Times New Roman"/>
              </w:rPr>
              <w:fldChar w:fldCharType="end"/>
            </w:r>
          </w:p>
        </w:tc>
        <w:tc>
          <w:tcPr>
            <w:tcW w:w="664" w:type="pct"/>
            <w:tcMar>
              <w:left w:w="28" w:type="dxa"/>
              <w:right w:w="28" w:type="dxa"/>
            </w:tcMar>
            <w:vAlign w:val="center"/>
          </w:tcPr>
          <w:p w14:paraId="0FC3041D">
            <w:pPr>
              <w:pStyle w:val="29"/>
              <w:rPr>
                <w:rFonts w:hint="default" w:ascii="Times New Roman" w:hAnsi="Times New Roman" w:cs="Times New Roman"/>
              </w:rPr>
            </w:pPr>
            <w:r>
              <w:rPr>
                <w:rFonts w:hint="default" w:ascii="Times New Roman" w:hAnsi="Times New Roman" w:cs="Times New Roman"/>
              </w:rPr>
              <w:t>本项目建成后全厂排放量（固体废物产生量）</w:t>
            </w:r>
            <w:r>
              <w:rPr>
                <w:rFonts w:hint="default" w:ascii="Times New Roman" w:hAnsi="Times New Roman" w:cs="Times New Roman"/>
              </w:rPr>
              <w:fldChar w:fldCharType="begin"/>
            </w:r>
            <w:r>
              <w:rPr>
                <w:rFonts w:hint="default" w:ascii="Times New Roman" w:hAnsi="Times New Roman" w:cs="Times New Roman"/>
              </w:rPr>
              <w:instrText xml:space="preserve"> = 6 \* GB3 \* MERGEFORMAT </w:instrText>
            </w:r>
            <w:r>
              <w:rPr>
                <w:rFonts w:hint="default" w:ascii="Times New Roman" w:hAnsi="Times New Roman" w:cs="Times New Roman"/>
              </w:rPr>
              <w:fldChar w:fldCharType="separate"/>
            </w:r>
            <w:r>
              <w:rPr>
                <w:rFonts w:hint="default" w:ascii="Times New Roman" w:hAnsi="Times New Roman" w:cs="Times New Roman"/>
              </w:rPr>
              <w:t>⑥</w:t>
            </w:r>
            <w:r>
              <w:rPr>
                <w:rFonts w:hint="default" w:ascii="Times New Roman" w:hAnsi="Times New Roman" w:cs="Times New Roman"/>
              </w:rPr>
              <w:fldChar w:fldCharType="end"/>
            </w:r>
          </w:p>
        </w:tc>
        <w:tc>
          <w:tcPr>
            <w:tcW w:w="448" w:type="pct"/>
            <w:tcMar>
              <w:left w:w="28" w:type="dxa"/>
              <w:right w:w="28" w:type="dxa"/>
            </w:tcMar>
            <w:vAlign w:val="center"/>
          </w:tcPr>
          <w:p w14:paraId="47818628">
            <w:pPr>
              <w:pStyle w:val="29"/>
              <w:rPr>
                <w:rFonts w:hint="default" w:ascii="Times New Roman" w:hAnsi="Times New Roman" w:cs="Times New Roman"/>
              </w:rPr>
            </w:pPr>
            <w:r>
              <w:rPr>
                <w:rFonts w:hint="default" w:ascii="Times New Roman" w:hAnsi="Times New Roman" w:cs="Times New Roman"/>
              </w:rPr>
              <w:t>变化量</w:t>
            </w:r>
            <w:r>
              <w:rPr>
                <w:rFonts w:hint="default" w:ascii="Times New Roman" w:hAnsi="Times New Roman" w:cs="Times New Roman"/>
              </w:rPr>
              <w:fldChar w:fldCharType="begin"/>
            </w:r>
            <w:r>
              <w:rPr>
                <w:rFonts w:hint="default" w:ascii="Times New Roman" w:hAnsi="Times New Roman" w:cs="Times New Roman"/>
              </w:rPr>
              <w:instrText xml:space="preserve"> = 7 \* GB3 \* MERGEFORMAT </w:instrText>
            </w:r>
            <w:r>
              <w:rPr>
                <w:rFonts w:hint="default" w:ascii="Times New Roman" w:hAnsi="Times New Roman" w:cs="Times New Roman"/>
              </w:rPr>
              <w:fldChar w:fldCharType="separate"/>
            </w:r>
            <w:r>
              <w:rPr>
                <w:rFonts w:hint="default" w:ascii="Times New Roman" w:hAnsi="Times New Roman" w:cs="Times New Roman"/>
              </w:rPr>
              <w:t>⑦</w:t>
            </w:r>
            <w:r>
              <w:rPr>
                <w:rFonts w:hint="default" w:ascii="Times New Roman" w:hAnsi="Times New Roman" w:cs="Times New Roman"/>
              </w:rPr>
              <w:fldChar w:fldCharType="end"/>
            </w:r>
          </w:p>
        </w:tc>
      </w:tr>
      <w:tr w14:paraId="62E042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restart"/>
            <w:vAlign w:val="center"/>
          </w:tcPr>
          <w:p w14:paraId="79CF3143">
            <w:pPr>
              <w:pStyle w:val="29"/>
              <w:rPr>
                <w:rFonts w:hint="default" w:ascii="Times New Roman" w:hAnsi="Times New Roman" w:cs="Times New Roman"/>
              </w:rPr>
            </w:pPr>
            <w:r>
              <w:rPr>
                <w:rFonts w:hint="default" w:ascii="Times New Roman" w:hAnsi="Times New Roman" w:cs="Times New Roman"/>
              </w:rPr>
              <w:t>废气</w:t>
            </w:r>
          </w:p>
        </w:tc>
        <w:tc>
          <w:tcPr>
            <w:tcW w:w="601" w:type="pct"/>
            <w:vAlign w:val="center"/>
          </w:tcPr>
          <w:p w14:paraId="1CA1C44A">
            <w:pPr>
              <w:pStyle w:val="29"/>
              <w:rPr>
                <w:rFonts w:hint="default" w:ascii="Times New Roman" w:hAnsi="Times New Roman" w:cs="Times New Roman"/>
              </w:rPr>
            </w:pPr>
            <w:r>
              <w:rPr>
                <w:rFonts w:hint="default" w:ascii="Times New Roman" w:hAnsi="Times New Roman" w:cs="Times New Roman"/>
              </w:rPr>
              <w:t>非甲烷总烃</w:t>
            </w:r>
          </w:p>
        </w:tc>
        <w:tc>
          <w:tcPr>
            <w:tcW w:w="548" w:type="pct"/>
            <w:vAlign w:val="center"/>
          </w:tcPr>
          <w:p w14:paraId="04F4028F">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2012D9DB">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E3C58FD">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3C2E9EC1">
            <w:pPr>
              <w:pStyle w:val="29"/>
              <w:rPr>
                <w:rFonts w:hint="default" w:ascii="Times New Roman" w:hAnsi="Times New Roman" w:cs="Times New Roman"/>
              </w:rPr>
            </w:pPr>
            <w:r>
              <w:rPr>
                <w:rFonts w:hint="default" w:ascii="Times New Roman" w:hAnsi="Times New Roman" w:cs="Times New Roman"/>
              </w:rPr>
              <w:t>0.0125</w:t>
            </w:r>
          </w:p>
        </w:tc>
        <w:tc>
          <w:tcPr>
            <w:tcW w:w="555" w:type="pct"/>
            <w:vAlign w:val="center"/>
          </w:tcPr>
          <w:p w14:paraId="638D1878">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36F0A2F0">
            <w:pPr>
              <w:pStyle w:val="29"/>
              <w:rPr>
                <w:rFonts w:hint="default" w:ascii="Times New Roman" w:hAnsi="Times New Roman" w:cs="Times New Roman"/>
              </w:rPr>
            </w:pPr>
            <w:r>
              <w:rPr>
                <w:rFonts w:hint="default" w:ascii="Times New Roman" w:hAnsi="Times New Roman" w:cs="Times New Roman"/>
              </w:rPr>
              <w:t>0.0024</w:t>
            </w:r>
          </w:p>
        </w:tc>
        <w:tc>
          <w:tcPr>
            <w:tcW w:w="448" w:type="pct"/>
            <w:vAlign w:val="center"/>
          </w:tcPr>
          <w:p w14:paraId="48A7A7E1">
            <w:pPr>
              <w:pStyle w:val="29"/>
              <w:rPr>
                <w:rFonts w:hint="default" w:ascii="Times New Roman" w:hAnsi="Times New Roman" w:cs="Times New Roman"/>
              </w:rPr>
            </w:pPr>
            <w:r>
              <w:rPr>
                <w:rFonts w:hint="default" w:ascii="Times New Roman" w:hAnsi="Times New Roman" w:cs="Times New Roman"/>
              </w:rPr>
              <w:t>+0.0024</w:t>
            </w:r>
          </w:p>
        </w:tc>
      </w:tr>
      <w:tr w14:paraId="6A5089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5069A0F6">
            <w:pPr>
              <w:pStyle w:val="29"/>
              <w:rPr>
                <w:rFonts w:hint="default" w:ascii="Times New Roman" w:hAnsi="Times New Roman" w:cs="Times New Roman"/>
              </w:rPr>
            </w:pPr>
          </w:p>
        </w:tc>
        <w:tc>
          <w:tcPr>
            <w:tcW w:w="601" w:type="pct"/>
            <w:vAlign w:val="center"/>
          </w:tcPr>
          <w:p w14:paraId="7F50E238">
            <w:pPr>
              <w:pStyle w:val="29"/>
              <w:rPr>
                <w:rFonts w:hint="default" w:ascii="Times New Roman" w:hAnsi="Times New Roman" w:cs="Times New Roman"/>
              </w:rPr>
            </w:pPr>
            <w:r>
              <w:rPr>
                <w:rFonts w:hint="default" w:ascii="Times New Roman" w:hAnsi="Times New Roman" w:cs="Times New Roman"/>
              </w:rPr>
              <w:t>餐饮油烟</w:t>
            </w:r>
          </w:p>
        </w:tc>
        <w:tc>
          <w:tcPr>
            <w:tcW w:w="548" w:type="pct"/>
            <w:vAlign w:val="center"/>
          </w:tcPr>
          <w:p w14:paraId="5D036AEA">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729747D">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3C66C550">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DAC691A">
            <w:pPr>
              <w:pStyle w:val="29"/>
              <w:rPr>
                <w:rFonts w:hint="default" w:ascii="Times New Roman" w:hAnsi="Times New Roman" w:cs="Times New Roman"/>
              </w:rPr>
            </w:pPr>
            <w:r>
              <w:rPr>
                <w:rFonts w:hint="default" w:ascii="Times New Roman" w:hAnsi="Times New Roman" w:cs="Times New Roman"/>
              </w:rPr>
              <w:t>0.012</w:t>
            </w:r>
          </w:p>
        </w:tc>
        <w:tc>
          <w:tcPr>
            <w:tcW w:w="555" w:type="pct"/>
            <w:vAlign w:val="center"/>
          </w:tcPr>
          <w:p w14:paraId="6A48D885">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07A74A80">
            <w:pPr>
              <w:pStyle w:val="29"/>
              <w:rPr>
                <w:rFonts w:hint="default" w:ascii="Times New Roman" w:hAnsi="Times New Roman" w:cs="Times New Roman"/>
              </w:rPr>
            </w:pPr>
            <w:r>
              <w:rPr>
                <w:rFonts w:hint="default" w:ascii="Times New Roman" w:hAnsi="Times New Roman" w:cs="Times New Roman"/>
              </w:rPr>
              <w:t>0.0024</w:t>
            </w:r>
          </w:p>
        </w:tc>
        <w:tc>
          <w:tcPr>
            <w:tcW w:w="448" w:type="pct"/>
            <w:vAlign w:val="center"/>
          </w:tcPr>
          <w:p w14:paraId="37E1BE5B">
            <w:pPr>
              <w:pStyle w:val="29"/>
              <w:rPr>
                <w:rFonts w:hint="default" w:ascii="Times New Roman" w:hAnsi="Times New Roman" w:cs="Times New Roman"/>
              </w:rPr>
            </w:pPr>
            <w:r>
              <w:rPr>
                <w:rFonts w:hint="default" w:ascii="Times New Roman" w:hAnsi="Times New Roman" w:cs="Times New Roman"/>
              </w:rPr>
              <w:t>+0.0024</w:t>
            </w:r>
          </w:p>
        </w:tc>
      </w:tr>
      <w:tr w14:paraId="635281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2EABF85D">
            <w:pPr>
              <w:pStyle w:val="29"/>
              <w:rPr>
                <w:rFonts w:hint="default" w:ascii="Times New Roman" w:hAnsi="Times New Roman" w:cs="Times New Roman"/>
              </w:rPr>
            </w:pPr>
          </w:p>
        </w:tc>
        <w:tc>
          <w:tcPr>
            <w:tcW w:w="601" w:type="pct"/>
            <w:vAlign w:val="center"/>
          </w:tcPr>
          <w:p w14:paraId="1663E047">
            <w:pPr>
              <w:pStyle w:val="29"/>
              <w:rPr>
                <w:rFonts w:hint="default" w:ascii="Times New Roman" w:hAnsi="Times New Roman" w:cs="Times New Roman"/>
              </w:rPr>
            </w:pPr>
            <w:r>
              <w:rPr>
                <w:rFonts w:hint="default" w:ascii="Times New Roman" w:hAnsi="Times New Roman" w:cs="Times New Roman"/>
              </w:rPr>
              <w:t>粉尘</w:t>
            </w:r>
          </w:p>
        </w:tc>
        <w:tc>
          <w:tcPr>
            <w:tcW w:w="548" w:type="pct"/>
            <w:vAlign w:val="center"/>
          </w:tcPr>
          <w:p w14:paraId="109FCB21">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5D406177">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9E80014">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2457BDAF">
            <w:pPr>
              <w:pStyle w:val="29"/>
              <w:rPr>
                <w:rFonts w:hint="default" w:ascii="Times New Roman" w:hAnsi="Times New Roman" w:cs="Times New Roman"/>
              </w:rPr>
            </w:pPr>
            <w:r>
              <w:rPr>
                <w:rFonts w:hint="default" w:ascii="Times New Roman" w:hAnsi="Times New Roman" w:cs="Times New Roman"/>
              </w:rPr>
              <w:t>0.08</w:t>
            </w:r>
          </w:p>
        </w:tc>
        <w:tc>
          <w:tcPr>
            <w:tcW w:w="555" w:type="pct"/>
            <w:vAlign w:val="center"/>
          </w:tcPr>
          <w:p w14:paraId="5514A1D0">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13908E18">
            <w:pPr>
              <w:pStyle w:val="29"/>
              <w:rPr>
                <w:rFonts w:hint="default" w:ascii="Times New Roman" w:hAnsi="Times New Roman" w:cs="Times New Roman"/>
              </w:rPr>
            </w:pPr>
            <w:r>
              <w:rPr>
                <w:rFonts w:hint="default" w:ascii="Times New Roman" w:hAnsi="Times New Roman" w:cs="Times New Roman"/>
              </w:rPr>
              <w:t>0.08</w:t>
            </w:r>
          </w:p>
        </w:tc>
        <w:tc>
          <w:tcPr>
            <w:tcW w:w="448" w:type="pct"/>
            <w:vAlign w:val="center"/>
          </w:tcPr>
          <w:p w14:paraId="2BA7E6EB">
            <w:pPr>
              <w:pStyle w:val="29"/>
              <w:rPr>
                <w:rFonts w:hint="default" w:ascii="Times New Roman" w:hAnsi="Times New Roman" w:cs="Times New Roman"/>
              </w:rPr>
            </w:pPr>
            <w:r>
              <w:rPr>
                <w:rFonts w:hint="default" w:ascii="Times New Roman" w:hAnsi="Times New Roman" w:cs="Times New Roman"/>
              </w:rPr>
              <w:t>+0.08</w:t>
            </w:r>
          </w:p>
        </w:tc>
      </w:tr>
      <w:tr w14:paraId="168DA2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6F461F3E">
            <w:pPr>
              <w:pStyle w:val="29"/>
              <w:rPr>
                <w:rFonts w:hint="default" w:ascii="Times New Roman" w:hAnsi="Times New Roman" w:cs="Times New Roman"/>
              </w:rPr>
            </w:pPr>
          </w:p>
        </w:tc>
        <w:tc>
          <w:tcPr>
            <w:tcW w:w="601" w:type="pct"/>
            <w:vAlign w:val="center"/>
          </w:tcPr>
          <w:p w14:paraId="70297359">
            <w:pPr>
              <w:pStyle w:val="29"/>
              <w:rPr>
                <w:rFonts w:hint="default" w:ascii="Times New Roman" w:hAnsi="Times New Roman" w:cs="Times New Roman"/>
              </w:rPr>
            </w:pPr>
            <w:r>
              <w:rPr>
                <w:rFonts w:hint="default" w:ascii="Times New Roman" w:hAnsi="Times New Roman" w:cs="Times New Roman"/>
              </w:rPr>
              <w:t>二氧化硫</w:t>
            </w:r>
          </w:p>
        </w:tc>
        <w:tc>
          <w:tcPr>
            <w:tcW w:w="548" w:type="pct"/>
            <w:vAlign w:val="center"/>
          </w:tcPr>
          <w:p w14:paraId="013B17D8">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530E6C58">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6B5F529F">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2F17D38">
            <w:pPr>
              <w:pStyle w:val="29"/>
              <w:rPr>
                <w:rFonts w:hint="default" w:ascii="Times New Roman" w:hAnsi="Times New Roman" w:cs="Times New Roman"/>
              </w:rPr>
            </w:pPr>
            <w:r>
              <w:rPr>
                <w:rFonts w:hint="default" w:ascii="Times New Roman" w:hAnsi="Times New Roman" w:cs="Times New Roman"/>
              </w:rPr>
              <w:t>0.09</w:t>
            </w:r>
          </w:p>
        </w:tc>
        <w:tc>
          <w:tcPr>
            <w:tcW w:w="555" w:type="pct"/>
            <w:vAlign w:val="center"/>
          </w:tcPr>
          <w:p w14:paraId="455DB711">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3744EC54">
            <w:pPr>
              <w:pStyle w:val="29"/>
              <w:rPr>
                <w:rFonts w:hint="default" w:ascii="Times New Roman" w:hAnsi="Times New Roman" w:cs="Times New Roman"/>
              </w:rPr>
            </w:pPr>
            <w:r>
              <w:rPr>
                <w:rFonts w:hint="default" w:ascii="Times New Roman" w:hAnsi="Times New Roman" w:cs="Times New Roman"/>
              </w:rPr>
              <w:t>0.09</w:t>
            </w:r>
          </w:p>
        </w:tc>
        <w:tc>
          <w:tcPr>
            <w:tcW w:w="448" w:type="pct"/>
            <w:vAlign w:val="center"/>
          </w:tcPr>
          <w:p w14:paraId="6A2B3498">
            <w:pPr>
              <w:pStyle w:val="29"/>
              <w:rPr>
                <w:rFonts w:hint="default" w:ascii="Times New Roman" w:hAnsi="Times New Roman" w:cs="Times New Roman"/>
              </w:rPr>
            </w:pPr>
            <w:r>
              <w:rPr>
                <w:rFonts w:hint="default" w:ascii="Times New Roman" w:hAnsi="Times New Roman" w:cs="Times New Roman"/>
              </w:rPr>
              <w:t>+0.09</w:t>
            </w:r>
          </w:p>
        </w:tc>
      </w:tr>
      <w:tr w14:paraId="59B7BE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52A00F4C">
            <w:pPr>
              <w:pStyle w:val="29"/>
              <w:rPr>
                <w:rFonts w:hint="default" w:ascii="Times New Roman" w:hAnsi="Times New Roman" w:cs="Times New Roman"/>
              </w:rPr>
            </w:pPr>
          </w:p>
        </w:tc>
        <w:tc>
          <w:tcPr>
            <w:tcW w:w="601" w:type="pct"/>
            <w:vAlign w:val="center"/>
          </w:tcPr>
          <w:p w14:paraId="6177A7AE">
            <w:pPr>
              <w:pStyle w:val="29"/>
              <w:rPr>
                <w:rFonts w:hint="default" w:ascii="Times New Roman" w:hAnsi="Times New Roman" w:cs="Times New Roman"/>
              </w:rPr>
            </w:pPr>
            <w:r>
              <w:rPr>
                <w:rFonts w:hint="default" w:ascii="Times New Roman" w:hAnsi="Times New Roman" w:cs="Times New Roman"/>
              </w:rPr>
              <w:t>氮氧化物</w:t>
            </w:r>
          </w:p>
        </w:tc>
        <w:tc>
          <w:tcPr>
            <w:tcW w:w="548" w:type="pct"/>
            <w:vAlign w:val="center"/>
          </w:tcPr>
          <w:p w14:paraId="4668AC95">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38B198F6">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045DE20">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63673369">
            <w:pPr>
              <w:pStyle w:val="29"/>
              <w:rPr>
                <w:rFonts w:hint="default" w:ascii="Times New Roman" w:hAnsi="Times New Roman" w:cs="Times New Roman"/>
              </w:rPr>
            </w:pPr>
            <w:r>
              <w:rPr>
                <w:rFonts w:hint="default" w:ascii="Times New Roman" w:hAnsi="Times New Roman" w:cs="Times New Roman"/>
              </w:rPr>
              <w:t>0.135</w:t>
            </w:r>
          </w:p>
        </w:tc>
        <w:tc>
          <w:tcPr>
            <w:tcW w:w="555" w:type="pct"/>
            <w:vAlign w:val="center"/>
          </w:tcPr>
          <w:p w14:paraId="092C2F6B">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7F23E167">
            <w:pPr>
              <w:pStyle w:val="29"/>
              <w:rPr>
                <w:rFonts w:hint="default" w:ascii="Times New Roman" w:hAnsi="Times New Roman" w:cs="Times New Roman"/>
              </w:rPr>
            </w:pPr>
            <w:r>
              <w:rPr>
                <w:rFonts w:hint="default" w:ascii="Times New Roman" w:hAnsi="Times New Roman" w:cs="Times New Roman"/>
              </w:rPr>
              <w:t>0.135</w:t>
            </w:r>
          </w:p>
        </w:tc>
        <w:tc>
          <w:tcPr>
            <w:tcW w:w="448" w:type="pct"/>
            <w:vAlign w:val="center"/>
          </w:tcPr>
          <w:p w14:paraId="1E8B1BD7">
            <w:pPr>
              <w:pStyle w:val="29"/>
              <w:rPr>
                <w:rFonts w:hint="default" w:ascii="Times New Roman" w:hAnsi="Times New Roman" w:cs="Times New Roman"/>
              </w:rPr>
            </w:pPr>
            <w:r>
              <w:rPr>
                <w:rFonts w:hint="default" w:ascii="Times New Roman" w:hAnsi="Times New Roman" w:cs="Times New Roman"/>
              </w:rPr>
              <w:t>+0.135</w:t>
            </w:r>
          </w:p>
        </w:tc>
      </w:tr>
      <w:tr w14:paraId="1724C2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restart"/>
            <w:vAlign w:val="center"/>
          </w:tcPr>
          <w:p w14:paraId="79133113">
            <w:pPr>
              <w:pStyle w:val="29"/>
              <w:rPr>
                <w:rFonts w:hint="default" w:ascii="Times New Roman" w:hAnsi="Times New Roman" w:cs="Times New Roman"/>
              </w:rPr>
            </w:pPr>
            <w:r>
              <w:rPr>
                <w:rFonts w:hint="default" w:ascii="Times New Roman" w:hAnsi="Times New Roman" w:cs="Times New Roman"/>
              </w:rPr>
              <w:t>废水</w:t>
            </w:r>
          </w:p>
        </w:tc>
        <w:tc>
          <w:tcPr>
            <w:tcW w:w="601" w:type="pct"/>
            <w:vAlign w:val="center"/>
          </w:tcPr>
          <w:p w14:paraId="704E8F2D">
            <w:pPr>
              <w:pStyle w:val="29"/>
              <w:rPr>
                <w:rFonts w:hint="default" w:ascii="Times New Roman" w:hAnsi="Times New Roman" w:cs="Times New Roman"/>
              </w:rPr>
            </w:pPr>
            <w:r>
              <w:rPr>
                <w:rFonts w:hint="default" w:ascii="Times New Roman" w:hAnsi="Times New Roman" w:cs="Times New Roman"/>
              </w:rPr>
              <w:t>CODcr</w:t>
            </w:r>
          </w:p>
        </w:tc>
        <w:tc>
          <w:tcPr>
            <w:tcW w:w="548" w:type="pct"/>
            <w:vAlign w:val="center"/>
          </w:tcPr>
          <w:p w14:paraId="10D79322">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3934347A">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22CDFDD8">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539012EC">
            <w:pPr>
              <w:pStyle w:val="29"/>
              <w:rPr>
                <w:rFonts w:hint="default" w:ascii="Times New Roman" w:hAnsi="Times New Roman" w:cs="Times New Roman"/>
              </w:rPr>
            </w:pPr>
            <w:r>
              <w:rPr>
                <w:rFonts w:hint="default" w:ascii="Times New Roman" w:hAnsi="Times New Roman" w:cs="Times New Roman"/>
              </w:rPr>
              <w:t>0.16</w:t>
            </w:r>
          </w:p>
        </w:tc>
        <w:tc>
          <w:tcPr>
            <w:tcW w:w="555" w:type="pct"/>
            <w:vAlign w:val="center"/>
          </w:tcPr>
          <w:p w14:paraId="5932BE33">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0AB79BE6">
            <w:pPr>
              <w:pStyle w:val="29"/>
              <w:rPr>
                <w:rFonts w:hint="default" w:ascii="Times New Roman" w:hAnsi="Times New Roman" w:cs="Times New Roman"/>
              </w:rPr>
            </w:pPr>
            <w:r>
              <w:rPr>
                <w:rFonts w:hint="default" w:ascii="Times New Roman" w:hAnsi="Times New Roman" w:cs="Times New Roman"/>
              </w:rPr>
              <w:t>0.16</w:t>
            </w:r>
          </w:p>
        </w:tc>
        <w:tc>
          <w:tcPr>
            <w:tcW w:w="448" w:type="pct"/>
            <w:vAlign w:val="center"/>
          </w:tcPr>
          <w:p w14:paraId="40E47336">
            <w:pPr>
              <w:pStyle w:val="29"/>
              <w:rPr>
                <w:rFonts w:hint="default" w:ascii="Times New Roman" w:hAnsi="Times New Roman" w:cs="Times New Roman"/>
              </w:rPr>
            </w:pPr>
            <w:r>
              <w:rPr>
                <w:rFonts w:hint="default" w:ascii="Times New Roman" w:hAnsi="Times New Roman" w:cs="Times New Roman"/>
              </w:rPr>
              <w:t>+0.16</w:t>
            </w:r>
          </w:p>
        </w:tc>
      </w:tr>
      <w:tr w14:paraId="666C6A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7840A11A">
            <w:pPr>
              <w:pStyle w:val="29"/>
              <w:rPr>
                <w:rFonts w:hint="default" w:ascii="Times New Roman" w:hAnsi="Times New Roman" w:cs="Times New Roman"/>
              </w:rPr>
            </w:pPr>
          </w:p>
        </w:tc>
        <w:tc>
          <w:tcPr>
            <w:tcW w:w="601" w:type="pct"/>
            <w:vAlign w:val="center"/>
          </w:tcPr>
          <w:p w14:paraId="62715B4E">
            <w:pPr>
              <w:pStyle w:val="29"/>
              <w:rPr>
                <w:rFonts w:hint="default" w:ascii="Times New Roman" w:hAnsi="Times New Roman" w:cs="Times New Roman"/>
              </w:rPr>
            </w:pPr>
            <w:r>
              <w:rPr>
                <w:rFonts w:hint="default" w:ascii="Times New Roman" w:hAnsi="Times New Roman" w:cs="Times New Roman"/>
              </w:rPr>
              <w:t>SS</w:t>
            </w:r>
          </w:p>
        </w:tc>
        <w:tc>
          <w:tcPr>
            <w:tcW w:w="548" w:type="pct"/>
            <w:vAlign w:val="center"/>
          </w:tcPr>
          <w:p w14:paraId="31C898BA">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7797E5CB">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9578EDD">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F108056">
            <w:pPr>
              <w:pStyle w:val="29"/>
              <w:rPr>
                <w:rFonts w:hint="default" w:ascii="Times New Roman" w:hAnsi="Times New Roman" w:cs="Times New Roman"/>
              </w:rPr>
            </w:pPr>
            <w:r>
              <w:rPr>
                <w:rFonts w:hint="default" w:ascii="Times New Roman" w:hAnsi="Times New Roman" w:cs="Times New Roman"/>
              </w:rPr>
              <w:t xml:space="preserve">0.040 </w:t>
            </w:r>
          </w:p>
        </w:tc>
        <w:tc>
          <w:tcPr>
            <w:tcW w:w="555" w:type="pct"/>
            <w:vAlign w:val="center"/>
          </w:tcPr>
          <w:p w14:paraId="47184B18">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0A05A81F">
            <w:pPr>
              <w:pStyle w:val="29"/>
              <w:rPr>
                <w:rFonts w:hint="default" w:ascii="Times New Roman" w:hAnsi="Times New Roman" w:cs="Times New Roman"/>
              </w:rPr>
            </w:pPr>
            <w:r>
              <w:rPr>
                <w:rFonts w:hint="default" w:ascii="Times New Roman" w:hAnsi="Times New Roman" w:cs="Times New Roman"/>
              </w:rPr>
              <w:t xml:space="preserve">0.040 </w:t>
            </w:r>
          </w:p>
        </w:tc>
        <w:tc>
          <w:tcPr>
            <w:tcW w:w="448" w:type="pct"/>
            <w:vAlign w:val="center"/>
          </w:tcPr>
          <w:p w14:paraId="160F5CEB">
            <w:pPr>
              <w:pStyle w:val="29"/>
              <w:rPr>
                <w:rFonts w:hint="default" w:ascii="Times New Roman" w:hAnsi="Times New Roman" w:cs="Times New Roman"/>
              </w:rPr>
            </w:pPr>
            <w:r>
              <w:rPr>
                <w:rFonts w:hint="default" w:ascii="Times New Roman" w:hAnsi="Times New Roman" w:cs="Times New Roman"/>
              </w:rPr>
              <w:t xml:space="preserve">+0.040 </w:t>
            </w:r>
          </w:p>
        </w:tc>
      </w:tr>
      <w:tr w14:paraId="6F1EF2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55" w:type="pct"/>
            <w:vMerge w:val="continue"/>
            <w:vAlign w:val="center"/>
          </w:tcPr>
          <w:p w14:paraId="684EF1D8">
            <w:pPr>
              <w:pStyle w:val="29"/>
              <w:rPr>
                <w:rFonts w:hint="default" w:ascii="Times New Roman" w:hAnsi="Times New Roman" w:cs="Times New Roman"/>
              </w:rPr>
            </w:pPr>
          </w:p>
        </w:tc>
        <w:tc>
          <w:tcPr>
            <w:tcW w:w="601" w:type="pct"/>
            <w:vAlign w:val="center"/>
          </w:tcPr>
          <w:p w14:paraId="37A0CCF4">
            <w:pPr>
              <w:pStyle w:val="29"/>
              <w:rPr>
                <w:rFonts w:hint="default" w:ascii="Times New Roman" w:hAnsi="Times New Roman" w:cs="Times New Roman"/>
              </w:rPr>
            </w:pPr>
            <w:r>
              <w:rPr>
                <w:rFonts w:hint="default" w:ascii="Times New Roman" w:hAnsi="Times New Roman" w:cs="Times New Roman"/>
              </w:rPr>
              <w:t>NH</w:t>
            </w:r>
            <w:r>
              <w:rPr>
                <w:rFonts w:hint="default" w:ascii="Times New Roman" w:hAnsi="Times New Roman" w:cs="Times New Roman"/>
                <w:vertAlign w:val="subscript"/>
              </w:rPr>
              <w:t>3</w:t>
            </w:r>
            <w:r>
              <w:rPr>
                <w:rFonts w:hint="default" w:ascii="Times New Roman" w:hAnsi="Times New Roman" w:cs="Times New Roman"/>
              </w:rPr>
              <w:t>-N</w:t>
            </w:r>
          </w:p>
        </w:tc>
        <w:tc>
          <w:tcPr>
            <w:tcW w:w="548" w:type="pct"/>
            <w:vAlign w:val="center"/>
          </w:tcPr>
          <w:p w14:paraId="2EE36C2E">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5B9FBBF">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2AFBC2D4">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76DFCD6">
            <w:pPr>
              <w:pStyle w:val="29"/>
              <w:rPr>
                <w:rFonts w:hint="default" w:ascii="Times New Roman" w:hAnsi="Times New Roman" w:cs="Times New Roman"/>
              </w:rPr>
            </w:pPr>
            <w:r>
              <w:rPr>
                <w:rFonts w:hint="default" w:ascii="Times New Roman" w:hAnsi="Times New Roman" w:cs="Times New Roman"/>
              </w:rPr>
              <w:t>0.013</w:t>
            </w:r>
          </w:p>
        </w:tc>
        <w:tc>
          <w:tcPr>
            <w:tcW w:w="555" w:type="pct"/>
            <w:vAlign w:val="center"/>
          </w:tcPr>
          <w:p w14:paraId="71894B98">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3B260CB7">
            <w:pPr>
              <w:pStyle w:val="29"/>
              <w:rPr>
                <w:rFonts w:hint="default" w:ascii="Times New Roman" w:hAnsi="Times New Roman" w:cs="Times New Roman"/>
              </w:rPr>
            </w:pPr>
            <w:r>
              <w:rPr>
                <w:rFonts w:hint="default" w:ascii="Times New Roman" w:hAnsi="Times New Roman" w:cs="Times New Roman"/>
              </w:rPr>
              <w:t>0.0065</w:t>
            </w:r>
          </w:p>
        </w:tc>
        <w:tc>
          <w:tcPr>
            <w:tcW w:w="448" w:type="pct"/>
            <w:vAlign w:val="center"/>
          </w:tcPr>
          <w:p w14:paraId="3DC2A41E">
            <w:pPr>
              <w:pStyle w:val="29"/>
              <w:rPr>
                <w:rFonts w:hint="default" w:ascii="Times New Roman" w:hAnsi="Times New Roman" w:cs="Times New Roman"/>
              </w:rPr>
            </w:pPr>
            <w:r>
              <w:rPr>
                <w:rFonts w:hint="default" w:ascii="Times New Roman" w:hAnsi="Times New Roman" w:cs="Times New Roman"/>
              </w:rPr>
              <w:t>+0.0065</w:t>
            </w:r>
          </w:p>
        </w:tc>
      </w:tr>
      <w:tr w14:paraId="0AACA4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restart"/>
            <w:vAlign w:val="center"/>
          </w:tcPr>
          <w:p w14:paraId="114476A3">
            <w:pPr>
              <w:pStyle w:val="29"/>
              <w:rPr>
                <w:rFonts w:hint="default" w:ascii="Times New Roman" w:hAnsi="Times New Roman" w:cs="Times New Roman"/>
              </w:rPr>
            </w:pPr>
            <w:r>
              <w:rPr>
                <w:rFonts w:hint="default" w:ascii="Times New Roman" w:hAnsi="Times New Roman" w:cs="Times New Roman"/>
              </w:rPr>
              <w:t>一般固废</w:t>
            </w:r>
          </w:p>
        </w:tc>
        <w:tc>
          <w:tcPr>
            <w:tcW w:w="601" w:type="pct"/>
            <w:vAlign w:val="center"/>
          </w:tcPr>
          <w:p w14:paraId="0A87FC26">
            <w:pPr>
              <w:pStyle w:val="29"/>
              <w:rPr>
                <w:rFonts w:hint="default" w:ascii="Times New Roman" w:hAnsi="Times New Roman" w:cs="Times New Roman"/>
              </w:rPr>
            </w:pPr>
            <w:r>
              <w:rPr>
                <w:rFonts w:hint="default" w:ascii="Times New Roman" w:hAnsi="Times New Roman" w:cs="Times New Roman"/>
              </w:rPr>
              <w:t>废边角料、不合格品</w:t>
            </w:r>
          </w:p>
        </w:tc>
        <w:tc>
          <w:tcPr>
            <w:tcW w:w="548" w:type="pct"/>
            <w:vAlign w:val="center"/>
          </w:tcPr>
          <w:p w14:paraId="1DE0E25F">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57592290">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18FD62B">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5617D9A8">
            <w:pPr>
              <w:pStyle w:val="29"/>
              <w:rPr>
                <w:rFonts w:hint="default" w:ascii="Times New Roman" w:hAnsi="Times New Roman" w:cs="Times New Roman"/>
              </w:rPr>
            </w:pPr>
            <w:r>
              <w:rPr>
                <w:rFonts w:hint="default" w:ascii="Times New Roman" w:hAnsi="Times New Roman" w:cs="Times New Roman"/>
              </w:rPr>
              <w:t>600</w:t>
            </w:r>
          </w:p>
        </w:tc>
        <w:tc>
          <w:tcPr>
            <w:tcW w:w="555" w:type="pct"/>
            <w:vAlign w:val="center"/>
          </w:tcPr>
          <w:p w14:paraId="6C05D80C">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373E3248">
            <w:pPr>
              <w:pStyle w:val="29"/>
              <w:rPr>
                <w:rFonts w:hint="default" w:ascii="Times New Roman" w:hAnsi="Times New Roman" w:cs="Times New Roman"/>
              </w:rPr>
            </w:pPr>
            <w:r>
              <w:rPr>
                <w:rFonts w:hint="default" w:ascii="Times New Roman" w:hAnsi="Times New Roman" w:cs="Times New Roman"/>
              </w:rPr>
              <w:t>600</w:t>
            </w:r>
          </w:p>
        </w:tc>
        <w:tc>
          <w:tcPr>
            <w:tcW w:w="448" w:type="pct"/>
            <w:vAlign w:val="center"/>
          </w:tcPr>
          <w:p w14:paraId="681BB99D">
            <w:pPr>
              <w:pStyle w:val="29"/>
              <w:rPr>
                <w:rFonts w:hint="default" w:ascii="Times New Roman" w:hAnsi="Times New Roman" w:cs="Times New Roman"/>
              </w:rPr>
            </w:pPr>
            <w:r>
              <w:rPr>
                <w:rFonts w:hint="default" w:ascii="Times New Roman" w:hAnsi="Times New Roman" w:cs="Times New Roman"/>
              </w:rPr>
              <w:t>+600</w:t>
            </w:r>
          </w:p>
        </w:tc>
      </w:tr>
      <w:tr w14:paraId="71DABA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1C2F0AD5">
            <w:pPr>
              <w:pStyle w:val="29"/>
              <w:rPr>
                <w:rFonts w:hint="default" w:ascii="Times New Roman" w:hAnsi="Times New Roman" w:cs="Times New Roman"/>
              </w:rPr>
            </w:pPr>
          </w:p>
        </w:tc>
        <w:tc>
          <w:tcPr>
            <w:tcW w:w="601" w:type="pct"/>
            <w:vAlign w:val="center"/>
          </w:tcPr>
          <w:p w14:paraId="53BF426D">
            <w:pPr>
              <w:pStyle w:val="29"/>
              <w:rPr>
                <w:rFonts w:hint="default" w:ascii="Times New Roman" w:hAnsi="Times New Roman" w:cs="Times New Roman"/>
              </w:rPr>
            </w:pPr>
            <w:r>
              <w:rPr>
                <w:rFonts w:hint="default" w:ascii="Times New Roman" w:hAnsi="Times New Roman" w:cs="Times New Roman"/>
              </w:rPr>
              <w:t>废玉米粉包装袋</w:t>
            </w:r>
          </w:p>
        </w:tc>
        <w:tc>
          <w:tcPr>
            <w:tcW w:w="548" w:type="pct"/>
            <w:vAlign w:val="center"/>
          </w:tcPr>
          <w:p w14:paraId="6B644083">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000BD788">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61582C49">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EA7C8FC">
            <w:pPr>
              <w:pStyle w:val="29"/>
              <w:rPr>
                <w:rFonts w:hint="default" w:ascii="Times New Roman" w:hAnsi="Times New Roman" w:cs="Times New Roman"/>
              </w:rPr>
            </w:pPr>
            <w:r>
              <w:rPr>
                <w:rFonts w:hint="default" w:ascii="Times New Roman" w:hAnsi="Times New Roman" w:cs="Times New Roman"/>
              </w:rPr>
              <w:t>0.01</w:t>
            </w:r>
          </w:p>
        </w:tc>
        <w:tc>
          <w:tcPr>
            <w:tcW w:w="555" w:type="pct"/>
            <w:vAlign w:val="center"/>
          </w:tcPr>
          <w:p w14:paraId="55D63234">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1550D9BF">
            <w:pPr>
              <w:pStyle w:val="29"/>
              <w:rPr>
                <w:rFonts w:hint="default" w:ascii="Times New Roman" w:hAnsi="Times New Roman" w:cs="Times New Roman"/>
              </w:rPr>
            </w:pPr>
            <w:r>
              <w:rPr>
                <w:rFonts w:hint="default" w:ascii="Times New Roman" w:hAnsi="Times New Roman" w:cs="Times New Roman"/>
              </w:rPr>
              <w:t>0.01</w:t>
            </w:r>
          </w:p>
        </w:tc>
        <w:tc>
          <w:tcPr>
            <w:tcW w:w="448" w:type="pct"/>
            <w:vAlign w:val="center"/>
          </w:tcPr>
          <w:p w14:paraId="59BE3A98">
            <w:pPr>
              <w:pStyle w:val="29"/>
              <w:rPr>
                <w:rFonts w:hint="default" w:ascii="Times New Roman" w:hAnsi="Times New Roman" w:cs="Times New Roman"/>
              </w:rPr>
            </w:pPr>
            <w:r>
              <w:rPr>
                <w:rFonts w:hint="default" w:ascii="Times New Roman" w:hAnsi="Times New Roman" w:cs="Times New Roman"/>
              </w:rPr>
              <w:t>+0.01</w:t>
            </w:r>
          </w:p>
        </w:tc>
      </w:tr>
      <w:tr w14:paraId="7EC6EF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6F366B0E">
            <w:pPr>
              <w:pStyle w:val="29"/>
              <w:rPr>
                <w:rFonts w:hint="default" w:ascii="Times New Roman" w:hAnsi="Times New Roman" w:cs="Times New Roman"/>
              </w:rPr>
            </w:pPr>
          </w:p>
        </w:tc>
        <w:tc>
          <w:tcPr>
            <w:tcW w:w="601" w:type="pct"/>
            <w:vAlign w:val="center"/>
          </w:tcPr>
          <w:p w14:paraId="15B5FDB0">
            <w:pPr>
              <w:pStyle w:val="29"/>
              <w:rPr>
                <w:rFonts w:hint="default" w:ascii="Times New Roman" w:hAnsi="Times New Roman" w:cs="Times New Roman"/>
              </w:rPr>
            </w:pPr>
            <w:r>
              <w:rPr>
                <w:rFonts w:hint="default" w:ascii="Times New Roman" w:hAnsi="Times New Roman" w:cs="Times New Roman"/>
              </w:rPr>
              <w:t>废扁丝</w:t>
            </w:r>
          </w:p>
        </w:tc>
        <w:tc>
          <w:tcPr>
            <w:tcW w:w="548" w:type="pct"/>
            <w:vAlign w:val="center"/>
          </w:tcPr>
          <w:p w14:paraId="01D1F752">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F09C8F9">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656FDD89">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F92C2E3">
            <w:pPr>
              <w:pStyle w:val="29"/>
              <w:rPr>
                <w:rFonts w:hint="default" w:ascii="Times New Roman" w:hAnsi="Times New Roman" w:cs="Times New Roman"/>
              </w:rPr>
            </w:pPr>
            <w:r>
              <w:rPr>
                <w:rFonts w:hint="default" w:ascii="Times New Roman" w:hAnsi="Times New Roman" w:cs="Times New Roman"/>
              </w:rPr>
              <w:t>0.01</w:t>
            </w:r>
          </w:p>
        </w:tc>
        <w:tc>
          <w:tcPr>
            <w:tcW w:w="555" w:type="pct"/>
            <w:vAlign w:val="center"/>
          </w:tcPr>
          <w:p w14:paraId="0C4B4A72">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3F73B1EF">
            <w:pPr>
              <w:pStyle w:val="29"/>
              <w:rPr>
                <w:rFonts w:hint="default" w:ascii="Times New Roman" w:hAnsi="Times New Roman" w:cs="Times New Roman"/>
              </w:rPr>
            </w:pPr>
            <w:r>
              <w:rPr>
                <w:rFonts w:hint="default" w:ascii="Times New Roman" w:hAnsi="Times New Roman" w:cs="Times New Roman"/>
              </w:rPr>
              <w:t>0.01</w:t>
            </w:r>
          </w:p>
        </w:tc>
        <w:tc>
          <w:tcPr>
            <w:tcW w:w="448" w:type="pct"/>
            <w:vAlign w:val="center"/>
          </w:tcPr>
          <w:p w14:paraId="547DF258">
            <w:pPr>
              <w:pStyle w:val="29"/>
              <w:rPr>
                <w:rFonts w:hint="default" w:ascii="Times New Roman" w:hAnsi="Times New Roman" w:cs="Times New Roman"/>
              </w:rPr>
            </w:pPr>
            <w:r>
              <w:rPr>
                <w:rFonts w:hint="default" w:ascii="Times New Roman" w:hAnsi="Times New Roman" w:cs="Times New Roman"/>
              </w:rPr>
              <w:t>+0.01</w:t>
            </w:r>
          </w:p>
        </w:tc>
      </w:tr>
      <w:tr w14:paraId="6B9DEE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restart"/>
            <w:vAlign w:val="center"/>
          </w:tcPr>
          <w:p w14:paraId="30E3251D">
            <w:pPr>
              <w:pStyle w:val="29"/>
              <w:rPr>
                <w:rFonts w:hint="default" w:ascii="Times New Roman" w:hAnsi="Times New Roman" w:cs="Times New Roman"/>
              </w:rPr>
            </w:pPr>
            <w:r>
              <w:rPr>
                <w:rFonts w:hint="default" w:ascii="Times New Roman" w:hAnsi="Times New Roman" w:cs="Times New Roman"/>
              </w:rPr>
              <w:t>危险废物</w:t>
            </w:r>
          </w:p>
        </w:tc>
        <w:tc>
          <w:tcPr>
            <w:tcW w:w="601" w:type="pct"/>
            <w:vAlign w:val="center"/>
          </w:tcPr>
          <w:p w14:paraId="1513A3AD">
            <w:pPr>
              <w:pStyle w:val="29"/>
              <w:rPr>
                <w:rFonts w:hint="default" w:ascii="Times New Roman" w:hAnsi="Times New Roman" w:cs="Times New Roman"/>
              </w:rPr>
            </w:pPr>
            <w:r>
              <w:rPr>
                <w:rFonts w:hint="default" w:ascii="Times New Roman" w:hAnsi="Times New Roman" w:cs="Times New Roman"/>
              </w:rPr>
              <w:t>废包装桶</w:t>
            </w:r>
          </w:p>
        </w:tc>
        <w:tc>
          <w:tcPr>
            <w:tcW w:w="548" w:type="pct"/>
            <w:vAlign w:val="center"/>
          </w:tcPr>
          <w:p w14:paraId="2D7AEB08">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5F975ACF">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C83AD49">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729BAD8C">
            <w:pPr>
              <w:pStyle w:val="29"/>
              <w:rPr>
                <w:rFonts w:hint="default" w:ascii="Times New Roman" w:hAnsi="Times New Roman" w:cs="Times New Roman"/>
              </w:rPr>
            </w:pPr>
            <w:r>
              <w:rPr>
                <w:rFonts w:hint="default" w:ascii="Times New Roman" w:hAnsi="Times New Roman" w:cs="Times New Roman"/>
              </w:rPr>
              <w:t>0.028</w:t>
            </w:r>
          </w:p>
        </w:tc>
        <w:tc>
          <w:tcPr>
            <w:tcW w:w="555" w:type="pct"/>
            <w:vAlign w:val="center"/>
          </w:tcPr>
          <w:p w14:paraId="595DC081">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7CAEFD63">
            <w:pPr>
              <w:pStyle w:val="29"/>
              <w:rPr>
                <w:rFonts w:hint="default" w:ascii="Times New Roman" w:hAnsi="Times New Roman" w:cs="Times New Roman"/>
              </w:rPr>
            </w:pPr>
            <w:r>
              <w:rPr>
                <w:rFonts w:hint="default" w:ascii="Times New Roman" w:hAnsi="Times New Roman" w:cs="Times New Roman"/>
              </w:rPr>
              <w:t>0.028</w:t>
            </w:r>
          </w:p>
        </w:tc>
        <w:tc>
          <w:tcPr>
            <w:tcW w:w="448" w:type="pct"/>
            <w:vAlign w:val="center"/>
          </w:tcPr>
          <w:p w14:paraId="603BA7B7">
            <w:pPr>
              <w:pStyle w:val="29"/>
              <w:rPr>
                <w:rFonts w:hint="default" w:ascii="Times New Roman" w:hAnsi="Times New Roman" w:cs="Times New Roman"/>
              </w:rPr>
            </w:pPr>
            <w:r>
              <w:rPr>
                <w:rFonts w:hint="default" w:ascii="Times New Roman" w:hAnsi="Times New Roman" w:cs="Times New Roman"/>
              </w:rPr>
              <w:t>+0.028</w:t>
            </w:r>
          </w:p>
        </w:tc>
      </w:tr>
      <w:tr w14:paraId="1D7AC6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555" w:type="pct"/>
            <w:vMerge w:val="continue"/>
            <w:vAlign w:val="center"/>
          </w:tcPr>
          <w:p w14:paraId="24E3AC9A">
            <w:pPr>
              <w:pStyle w:val="29"/>
              <w:rPr>
                <w:rFonts w:hint="default" w:ascii="Times New Roman" w:hAnsi="Times New Roman" w:cs="Times New Roman"/>
              </w:rPr>
            </w:pPr>
          </w:p>
        </w:tc>
        <w:tc>
          <w:tcPr>
            <w:tcW w:w="601" w:type="pct"/>
            <w:vAlign w:val="center"/>
          </w:tcPr>
          <w:p w14:paraId="4D6153E8">
            <w:pPr>
              <w:pStyle w:val="29"/>
              <w:rPr>
                <w:rFonts w:hint="default" w:ascii="Times New Roman" w:hAnsi="Times New Roman" w:cs="Times New Roman"/>
              </w:rPr>
            </w:pPr>
            <w:r>
              <w:rPr>
                <w:rFonts w:hint="default" w:ascii="Times New Roman" w:hAnsi="Times New Roman" w:cs="Times New Roman"/>
              </w:rPr>
              <w:t>设备清洗废液</w:t>
            </w:r>
          </w:p>
        </w:tc>
        <w:tc>
          <w:tcPr>
            <w:tcW w:w="548" w:type="pct"/>
            <w:vAlign w:val="center"/>
          </w:tcPr>
          <w:p w14:paraId="29DCBB75">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1410389F">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D58D951">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6495E30C">
            <w:pPr>
              <w:pStyle w:val="29"/>
              <w:rPr>
                <w:rFonts w:hint="default" w:ascii="Times New Roman" w:hAnsi="Times New Roman" w:cs="Times New Roman"/>
              </w:rPr>
            </w:pPr>
            <w:r>
              <w:rPr>
                <w:rFonts w:hint="default" w:ascii="Times New Roman" w:hAnsi="Times New Roman" w:cs="Times New Roman"/>
              </w:rPr>
              <w:t>0.28</w:t>
            </w:r>
          </w:p>
        </w:tc>
        <w:tc>
          <w:tcPr>
            <w:tcW w:w="555" w:type="pct"/>
            <w:vAlign w:val="center"/>
          </w:tcPr>
          <w:p w14:paraId="65342F67">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1E0B7FC7">
            <w:pPr>
              <w:pStyle w:val="29"/>
              <w:rPr>
                <w:rFonts w:hint="default" w:ascii="Times New Roman" w:hAnsi="Times New Roman" w:cs="Times New Roman"/>
              </w:rPr>
            </w:pPr>
            <w:r>
              <w:rPr>
                <w:rFonts w:hint="default" w:ascii="Times New Roman" w:hAnsi="Times New Roman" w:cs="Times New Roman"/>
              </w:rPr>
              <w:t>0.28</w:t>
            </w:r>
          </w:p>
        </w:tc>
        <w:tc>
          <w:tcPr>
            <w:tcW w:w="448" w:type="pct"/>
            <w:vAlign w:val="center"/>
          </w:tcPr>
          <w:p w14:paraId="3A31A459">
            <w:pPr>
              <w:pStyle w:val="29"/>
              <w:rPr>
                <w:rFonts w:hint="default" w:ascii="Times New Roman" w:hAnsi="Times New Roman" w:cs="Times New Roman"/>
              </w:rPr>
            </w:pPr>
            <w:r>
              <w:rPr>
                <w:rFonts w:hint="default" w:ascii="Times New Roman" w:hAnsi="Times New Roman" w:cs="Times New Roman"/>
              </w:rPr>
              <w:t>+0.28</w:t>
            </w:r>
          </w:p>
        </w:tc>
      </w:tr>
      <w:tr w14:paraId="06CA91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0A2C1901">
            <w:pPr>
              <w:pStyle w:val="29"/>
              <w:rPr>
                <w:rFonts w:hint="default" w:ascii="Times New Roman" w:hAnsi="Times New Roman" w:cs="Times New Roman"/>
              </w:rPr>
            </w:pPr>
          </w:p>
        </w:tc>
        <w:tc>
          <w:tcPr>
            <w:tcW w:w="601" w:type="pct"/>
            <w:vAlign w:val="center"/>
          </w:tcPr>
          <w:p w14:paraId="58C7F37C">
            <w:pPr>
              <w:pStyle w:val="29"/>
              <w:rPr>
                <w:rFonts w:hint="default" w:ascii="Times New Roman" w:hAnsi="Times New Roman" w:cs="Times New Roman"/>
              </w:rPr>
            </w:pPr>
            <w:r>
              <w:rPr>
                <w:rFonts w:hint="default" w:ascii="Times New Roman" w:hAnsi="Times New Roman" w:cs="Times New Roman"/>
              </w:rPr>
              <w:t>废含油抹布、手套</w:t>
            </w:r>
          </w:p>
        </w:tc>
        <w:tc>
          <w:tcPr>
            <w:tcW w:w="548" w:type="pct"/>
            <w:vAlign w:val="center"/>
          </w:tcPr>
          <w:p w14:paraId="09D4B7C3">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409A73E7">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05D4A60">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5FAF61B">
            <w:pPr>
              <w:pStyle w:val="29"/>
              <w:rPr>
                <w:rFonts w:hint="default" w:ascii="Times New Roman" w:hAnsi="Times New Roman" w:cs="Times New Roman"/>
              </w:rPr>
            </w:pPr>
            <w:r>
              <w:rPr>
                <w:rFonts w:hint="default" w:ascii="Times New Roman" w:hAnsi="Times New Roman" w:cs="Times New Roman"/>
              </w:rPr>
              <w:t>0.005</w:t>
            </w:r>
          </w:p>
        </w:tc>
        <w:tc>
          <w:tcPr>
            <w:tcW w:w="555" w:type="pct"/>
            <w:vAlign w:val="center"/>
          </w:tcPr>
          <w:p w14:paraId="57C02A3F">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0221A331">
            <w:pPr>
              <w:pStyle w:val="29"/>
              <w:rPr>
                <w:rFonts w:hint="default" w:ascii="Times New Roman" w:hAnsi="Times New Roman" w:cs="Times New Roman"/>
              </w:rPr>
            </w:pPr>
            <w:r>
              <w:rPr>
                <w:rFonts w:hint="default" w:ascii="Times New Roman" w:hAnsi="Times New Roman" w:cs="Times New Roman"/>
              </w:rPr>
              <w:t>0.005</w:t>
            </w:r>
          </w:p>
        </w:tc>
        <w:tc>
          <w:tcPr>
            <w:tcW w:w="448" w:type="pct"/>
            <w:vAlign w:val="center"/>
          </w:tcPr>
          <w:p w14:paraId="5F7E2E7E">
            <w:pPr>
              <w:pStyle w:val="29"/>
              <w:rPr>
                <w:rFonts w:hint="default" w:ascii="Times New Roman" w:hAnsi="Times New Roman" w:cs="Times New Roman"/>
              </w:rPr>
            </w:pPr>
            <w:r>
              <w:rPr>
                <w:rFonts w:hint="default" w:ascii="Times New Roman" w:hAnsi="Times New Roman" w:cs="Times New Roman"/>
              </w:rPr>
              <w:t>+0.005</w:t>
            </w:r>
          </w:p>
        </w:tc>
      </w:tr>
      <w:tr w14:paraId="62F796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2440E57D">
            <w:pPr>
              <w:pStyle w:val="29"/>
              <w:rPr>
                <w:rFonts w:hint="default" w:ascii="Times New Roman" w:hAnsi="Times New Roman" w:cs="Times New Roman"/>
              </w:rPr>
            </w:pPr>
          </w:p>
        </w:tc>
        <w:tc>
          <w:tcPr>
            <w:tcW w:w="601" w:type="pct"/>
            <w:vAlign w:val="center"/>
          </w:tcPr>
          <w:p w14:paraId="68B0C1C0">
            <w:pPr>
              <w:pStyle w:val="29"/>
              <w:rPr>
                <w:rFonts w:hint="default" w:ascii="Times New Roman" w:hAnsi="Times New Roman" w:cs="Times New Roman"/>
              </w:rPr>
            </w:pPr>
            <w:r>
              <w:rPr>
                <w:rFonts w:hint="default" w:ascii="Times New Roman" w:hAnsi="Times New Roman" w:cs="Times New Roman"/>
              </w:rPr>
              <w:t>废活性炭</w:t>
            </w:r>
          </w:p>
        </w:tc>
        <w:tc>
          <w:tcPr>
            <w:tcW w:w="548" w:type="pct"/>
            <w:vAlign w:val="center"/>
          </w:tcPr>
          <w:p w14:paraId="6005DEAE">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5C3CA3AF">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D604EB0">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2B76ED0">
            <w:pPr>
              <w:pStyle w:val="29"/>
              <w:rPr>
                <w:rFonts w:hint="default" w:ascii="Times New Roman" w:hAnsi="Times New Roman" w:cs="Times New Roman"/>
              </w:rPr>
            </w:pPr>
            <w:r>
              <w:rPr>
                <w:rFonts w:hint="default" w:ascii="Times New Roman" w:hAnsi="Times New Roman" w:cs="Times New Roman"/>
              </w:rPr>
              <w:t>0.3</w:t>
            </w:r>
          </w:p>
        </w:tc>
        <w:tc>
          <w:tcPr>
            <w:tcW w:w="555" w:type="pct"/>
            <w:vAlign w:val="center"/>
          </w:tcPr>
          <w:p w14:paraId="2222CFDF">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2C8D5B3B">
            <w:pPr>
              <w:pStyle w:val="29"/>
              <w:rPr>
                <w:rFonts w:hint="default" w:ascii="Times New Roman" w:hAnsi="Times New Roman" w:cs="Times New Roman"/>
              </w:rPr>
            </w:pPr>
            <w:r>
              <w:rPr>
                <w:rFonts w:hint="default" w:ascii="Times New Roman" w:hAnsi="Times New Roman" w:cs="Times New Roman"/>
              </w:rPr>
              <w:t>0.3</w:t>
            </w:r>
          </w:p>
        </w:tc>
        <w:tc>
          <w:tcPr>
            <w:tcW w:w="448" w:type="pct"/>
            <w:vAlign w:val="center"/>
          </w:tcPr>
          <w:p w14:paraId="45F1A945">
            <w:pPr>
              <w:pStyle w:val="29"/>
              <w:rPr>
                <w:rFonts w:hint="default" w:ascii="Times New Roman" w:hAnsi="Times New Roman" w:cs="Times New Roman"/>
              </w:rPr>
            </w:pPr>
            <w:r>
              <w:rPr>
                <w:rFonts w:hint="default" w:ascii="Times New Roman" w:hAnsi="Times New Roman" w:cs="Times New Roman"/>
              </w:rPr>
              <w:t>+0.3</w:t>
            </w:r>
          </w:p>
        </w:tc>
      </w:tr>
      <w:tr w14:paraId="2AEF89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4F613567">
            <w:pPr>
              <w:pStyle w:val="29"/>
              <w:rPr>
                <w:rFonts w:hint="default" w:ascii="Times New Roman" w:hAnsi="Times New Roman" w:cs="Times New Roman"/>
              </w:rPr>
            </w:pPr>
          </w:p>
        </w:tc>
        <w:tc>
          <w:tcPr>
            <w:tcW w:w="601" w:type="pct"/>
            <w:vAlign w:val="center"/>
          </w:tcPr>
          <w:p w14:paraId="5F4A7EB7">
            <w:pPr>
              <w:pStyle w:val="29"/>
              <w:rPr>
                <w:rFonts w:hint="default" w:ascii="Times New Roman" w:hAnsi="Times New Roman" w:cs="Times New Roman"/>
              </w:rPr>
            </w:pPr>
            <w:r>
              <w:rPr>
                <w:rFonts w:hint="default" w:ascii="Times New Roman" w:hAnsi="Times New Roman" w:cs="Times New Roman"/>
              </w:rPr>
              <w:t>废机油及其包装桶</w:t>
            </w:r>
          </w:p>
        </w:tc>
        <w:tc>
          <w:tcPr>
            <w:tcW w:w="548" w:type="pct"/>
            <w:vAlign w:val="center"/>
          </w:tcPr>
          <w:p w14:paraId="47EC2B90">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4A502188">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7F233FA9">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064E2DC2">
            <w:pPr>
              <w:pStyle w:val="29"/>
              <w:rPr>
                <w:rFonts w:hint="default" w:ascii="Times New Roman" w:hAnsi="Times New Roman" w:cs="Times New Roman"/>
              </w:rPr>
            </w:pPr>
            <w:r>
              <w:rPr>
                <w:rFonts w:hint="default" w:ascii="Times New Roman" w:hAnsi="Times New Roman" w:cs="Times New Roman"/>
              </w:rPr>
              <w:t>0.1</w:t>
            </w:r>
          </w:p>
        </w:tc>
        <w:tc>
          <w:tcPr>
            <w:tcW w:w="555" w:type="pct"/>
            <w:vAlign w:val="center"/>
          </w:tcPr>
          <w:p w14:paraId="003E2C98">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6C4170C6">
            <w:pPr>
              <w:pStyle w:val="29"/>
              <w:rPr>
                <w:rFonts w:hint="default" w:ascii="Times New Roman" w:hAnsi="Times New Roman" w:cs="Times New Roman"/>
              </w:rPr>
            </w:pPr>
            <w:r>
              <w:rPr>
                <w:rFonts w:hint="default" w:ascii="Times New Roman" w:hAnsi="Times New Roman" w:cs="Times New Roman"/>
              </w:rPr>
              <w:t>0.1</w:t>
            </w:r>
          </w:p>
        </w:tc>
        <w:tc>
          <w:tcPr>
            <w:tcW w:w="448" w:type="pct"/>
            <w:vAlign w:val="center"/>
          </w:tcPr>
          <w:p w14:paraId="2590468E">
            <w:pPr>
              <w:pStyle w:val="29"/>
              <w:rPr>
                <w:rFonts w:hint="default" w:ascii="Times New Roman" w:hAnsi="Times New Roman" w:cs="Times New Roman"/>
              </w:rPr>
            </w:pPr>
            <w:r>
              <w:rPr>
                <w:rFonts w:hint="default" w:ascii="Times New Roman" w:hAnsi="Times New Roman" w:cs="Times New Roman"/>
              </w:rPr>
              <w:t>+0.1</w:t>
            </w:r>
          </w:p>
        </w:tc>
      </w:tr>
      <w:tr w14:paraId="5BC4D7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4283A419">
            <w:pPr>
              <w:pStyle w:val="29"/>
              <w:rPr>
                <w:rFonts w:hint="default" w:ascii="Times New Roman" w:hAnsi="Times New Roman" w:cs="Times New Roman"/>
              </w:rPr>
            </w:pPr>
          </w:p>
        </w:tc>
        <w:tc>
          <w:tcPr>
            <w:tcW w:w="601" w:type="pct"/>
            <w:vAlign w:val="center"/>
          </w:tcPr>
          <w:p w14:paraId="4F3B32C4">
            <w:pPr>
              <w:pStyle w:val="29"/>
              <w:rPr>
                <w:rFonts w:hint="default" w:ascii="Times New Roman" w:hAnsi="Times New Roman" w:cs="Times New Roman"/>
              </w:rPr>
            </w:pPr>
            <w:r>
              <w:rPr>
                <w:rFonts w:hint="default" w:ascii="Times New Roman" w:hAnsi="Times New Roman" w:cs="Times New Roman"/>
              </w:rPr>
              <w:t>废氢氧化钠包装袋</w:t>
            </w:r>
          </w:p>
        </w:tc>
        <w:tc>
          <w:tcPr>
            <w:tcW w:w="548" w:type="pct"/>
            <w:vAlign w:val="center"/>
          </w:tcPr>
          <w:p w14:paraId="2D176152">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74FD51A4">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3531EC07">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57388E4D">
            <w:pPr>
              <w:pStyle w:val="29"/>
              <w:rPr>
                <w:rFonts w:hint="default" w:ascii="Times New Roman" w:hAnsi="Times New Roman" w:cs="Times New Roman"/>
              </w:rPr>
            </w:pPr>
            <w:r>
              <w:rPr>
                <w:rFonts w:hint="default" w:ascii="Times New Roman" w:hAnsi="Times New Roman" w:cs="Times New Roman"/>
              </w:rPr>
              <w:t>0.01</w:t>
            </w:r>
          </w:p>
        </w:tc>
        <w:tc>
          <w:tcPr>
            <w:tcW w:w="555" w:type="pct"/>
            <w:vAlign w:val="center"/>
          </w:tcPr>
          <w:p w14:paraId="2FB7FDEF">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40958B1F">
            <w:pPr>
              <w:pStyle w:val="29"/>
              <w:rPr>
                <w:rFonts w:hint="default" w:ascii="Times New Roman" w:hAnsi="Times New Roman" w:cs="Times New Roman"/>
              </w:rPr>
            </w:pPr>
            <w:r>
              <w:rPr>
                <w:rFonts w:hint="default" w:ascii="Times New Roman" w:hAnsi="Times New Roman" w:cs="Times New Roman"/>
              </w:rPr>
              <w:t>0.01</w:t>
            </w:r>
          </w:p>
        </w:tc>
        <w:tc>
          <w:tcPr>
            <w:tcW w:w="448" w:type="pct"/>
            <w:vAlign w:val="center"/>
          </w:tcPr>
          <w:p w14:paraId="4407012C">
            <w:pPr>
              <w:pStyle w:val="29"/>
              <w:rPr>
                <w:rFonts w:hint="default" w:ascii="Times New Roman" w:hAnsi="Times New Roman" w:cs="Times New Roman"/>
              </w:rPr>
            </w:pPr>
            <w:r>
              <w:rPr>
                <w:rFonts w:hint="default" w:ascii="Times New Roman" w:hAnsi="Times New Roman" w:cs="Times New Roman"/>
              </w:rPr>
              <w:t>+0.01</w:t>
            </w:r>
          </w:p>
        </w:tc>
      </w:tr>
      <w:tr w14:paraId="56547C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299836CF">
            <w:pPr>
              <w:pStyle w:val="29"/>
              <w:rPr>
                <w:rFonts w:hint="default" w:ascii="Times New Roman" w:hAnsi="Times New Roman" w:cs="Times New Roman"/>
              </w:rPr>
            </w:pPr>
          </w:p>
        </w:tc>
        <w:tc>
          <w:tcPr>
            <w:tcW w:w="601" w:type="pct"/>
            <w:vAlign w:val="center"/>
          </w:tcPr>
          <w:p w14:paraId="4F7B5A6C">
            <w:pPr>
              <w:pStyle w:val="29"/>
              <w:rPr>
                <w:rFonts w:hint="default" w:ascii="Times New Roman" w:hAnsi="Times New Roman" w:cs="Times New Roman"/>
              </w:rPr>
            </w:pPr>
            <w:r>
              <w:rPr>
                <w:rFonts w:hint="default" w:ascii="Times New Roman" w:hAnsi="Times New Roman" w:cs="Times New Roman"/>
              </w:rPr>
              <w:t>废硼砂包装袋</w:t>
            </w:r>
          </w:p>
        </w:tc>
        <w:tc>
          <w:tcPr>
            <w:tcW w:w="548" w:type="pct"/>
            <w:vAlign w:val="center"/>
          </w:tcPr>
          <w:p w14:paraId="4A48B60E">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27D023D">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70CBBF1D">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536FBD63">
            <w:pPr>
              <w:pStyle w:val="29"/>
              <w:rPr>
                <w:rFonts w:hint="default" w:ascii="Times New Roman" w:hAnsi="Times New Roman" w:cs="Times New Roman"/>
              </w:rPr>
            </w:pPr>
            <w:r>
              <w:rPr>
                <w:rFonts w:hint="default" w:ascii="Times New Roman" w:hAnsi="Times New Roman" w:cs="Times New Roman"/>
              </w:rPr>
              <w:t>0.01</w:t>
            </w:r>
          </w:p>
        </w:tc>
        <w:tc>
          <w:tcPr>
            <w:tcW w:w="555" w:type="pct"/>
            <w:vAlign w:val="center"/>
          </w:tcPr>
          <w:p w14:paraId="00C15091">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133C76BD">
            <w:pPr>
              <w:pStyle w:val="29"/>
              <w:rPr>
                <w:rFonts w:hint="default" w:ascii="Times New Roman" w:hAnsi="Times New Roman" w:cs="Times New Roman"/>
              </w:rPr>
            </w:pPr>
            <w:r>
              <w:rPr>
                <w:rFonts w:hint="default" w:ascii="Times New Roman" w:hAnsi="Times New Roman" w:cs="Times New Roman"/>
              </w:rPr>
              <w:t>0.01</w:t>
            </w:r>
          </w:p>
        </w:tc>
        <w:tc>
          <w:tcPr>
            <w:tcW w:w="448" w:type="pct"/>
            <w:vAlign w:val="center"/>
          </w:tcPr>
          <w:p w14:paraId="11A3DCA6">
            <w:pPr>
              <w:pStyle w:val="29"/>
              <w:rPr>
                <w:rFonts w:hint="default" w:ascii="Times New Roman" w:hAnsi="Times New Roman" w:cs="Times New Roman"/>
              </w:rPr>
            </w:pPr>
            <w:r>
              <w:rPr>
                <w:rFonts w:hint="default" w:ascii="Times New Roman" w:hAnsi="Times New Roman" w:cs="Times New Roman"/>
              </w:rPr>
              <w:t>+0.01</w:t>
            </w:r>
          </w:p>
        </w:tc>
      </w:tr>
      <w:tr w14:paraId="336175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02456271">
            <w:pPr>
              <w:pStyle w:val="29"/>
              <w:rPr>
                <w:rFonts w:hint="default" w:ascii="Times New Roman" w:hAnsi="Times New Roman" w:cs="Times New Roman"/>
              </w:rPr>
            </w:pPr>
          </w:p>
        </w:tc>
        <w:tc>
          <w:tcPr>
            <w:tcW w:w="601" w:type="pct"/>
            <w:vAlign w:val="center"/>
          </w:tcPr>
          <w:p w14:paraId="3ADE3243">
            <w:pPr>
              <w:pStyle w:val="29"/>
              <w:rPr>
                <w:rFonts w:hint="default" w:ascii="Times New Roman" w:hAnsi="Times New Roman" w:cs="Times New Roman"/>
              </w:rPr>
            </w:pPr>
            <w:r>
              <w:rPr>
                <w:rFonts w:hint="default" w:ascii="Times New Roman" w:hAnsi="Times New Roman" w:cs="Times New Roman"/>
              </w:rPr>
              <w:t>废印版</w:t>
            </w:r>
          </w:p>
        </w:tc>
        <w:tc>
          <w:tcPr>
            <w:tcW w:w="548" w:type="pct"/>
            <w:vAlign w:val="center"/>
          </w:tcPr>
          <w:p w14:paraId="793B0A6E">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90C29DA">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12AE6ED5">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8DEA4AA">
            <w:pPr>
              <w:pStyle w:val="29"/>
              <w:rPr>
                <w:rFonts w:hint="default" w:ascii="Times New Roman" w:hAnsi="Times New Roman" w:cs="Times New Roman"/>
              </w:rPr>
            </w:pPr>
            <w:r>
              <w:rPr>
                <w:rFonts w:hint="default" w:ascii="Times New Roman" w:hAnsi="Times New Roman" w:cs="Times New Roman"/>
              </w:rPr>
              <w:t>0.004</w:t>
            </w:r>
          </w:p>
        </w:tc>
        <w:tc>
          <w:tcPr>
            <w:tcW w:w="555" w:type="pct"/>
            <w:vAlign w:val="center"/>
          </w:tcPr>
          <w:p w14:paraId="205FEBF2">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1AEB62C1">
            <w:pPr>
              <w:pStyle w:val="29"/>
              <w:rPr>
                <w:rFonts w:hint="default" w:ascii="Times New Roman" w:hAnsi="Times New Roman" w:cs="Times New Roman"/>
              </w:rPr>
            </w:pPr>
            <w:r>
              <w:rPr>
                <w:rFonts w:hint="default" w:ascii="Times New Roman" w:hAnsi="Times New Roman" w:cs="Times New Roman"/>
              </w:rPr>
              <w:t>0.004</w:t>
            </w:r>
          </w:p>
        </w:tc>
        <w:tc>
          <w:tcPr>
            <w:tcW w:w="448" w:type="pct"/>
            <w:vAlign w:val="center"/>
          </w:tcPr>
          <w:p w14:paraId="533856A9">
            <w:pPr>
              <w:pStyle w:val="29"/>
              <w:rPr>
                <w:rFonts w:hint="default" w:ascii="Times New Roman" w:hAnsi="Times New Roman" w:cs="Times New Roman"/>
              </w:rPr>
            </w:pPr>
            <w:r>
              <w:rPr>
                <w:rFonts w:hint="default" w:ascii="Times New Roman" w:hAnsi="Times New Roman" w:cs="Times New Roman"/>
              </w:rPr>
              <w:t>+0.004</w:t>
            </w:r>
          </w:p>
        </w:tc>
      </w:tr>
      <w:tr w14:paraId="1F2DCA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55" w:type="pct"/>
            <w:vMerge w:val="continue"/>
            <w:vAlign w:val="center"/>
          </w:tcPr>
          <w:p w14:paraId="3CDFBD03">
            <w:pPr>
              <w:pStyle w:val="29"/>
              <w:rPr>
                <w:rFonts w:hint="default" w:ascii="Times New Roman" w:hAnsi="Times New Roman" w:cs="Times New Roman"/>
              </w:rPr>
            </w:pPr>
          </w:p>
        </w:tc>
        <w:tc>
          <w:tcPr>
            <w:tcW w:w="601" w:type="pct"/>
            <w:vAlign w:val="center"/>
          </w:tcPr>
          <w:p w14:paraId="6E62E238">
            <w:pPr>
              <w:pStyle w:val="29"/>
              <w:rPr>
                <w:rFonts w:hint="default" w:ascii="Times New Roman" w:hAnsi="Times New Roman" w:cs="Times New Roman"/>
              </w:rPr>
            </w:pPr>
            <w:r>
              <w:rPr>
                <w:rFonts w:hint="default" w:ascii="Times New Roman" w:hAnsi="Times New Roman" w:cs="Times New Roman"/>
              </w:rPr>
              <w:t>废防渗透膜</w:t>
            </w:r>
          </w:p>
        </w:tc>
        <w:tc>
          <w:tcPr>
            <w:tcW w:w="548" w:type="pct"/>
            <w:vAlign w:val="center"/>
          </w:tcPr>
          <w:p w14:paraId="628D7F25">
            <w:pPr>
              <w:pStyle w:val="29"/>
              <w:rPr>
                <w:rFonts w:hint="default" w:ascii="Times New Roman" w:hAnsi="Times New Roman" w:cs="Times New Roman"/>
              </w:rPr>
            </w:pPr>
            <w:r>
              <w:rPr>
                <w:rFonts w:hint="default" w:ascii="Times New Roman" w:hAnsi="Times New Roman" w:cs="Times New Roman"/>
              </w:rPr>
              <w:t>0</w:t>
            </w:r>
          </w:p>
        </w:tc>
        <w:tc>
          <w:tcPr>
            <w:tcW w:w="515" w:type="pct"/>
            <w:vAlign w:val="center"/>
          </w:tcPr>
          <w:p w14:paraId="69539192">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460473CB">
            <w:pPr>
              <w:pStyle w:val="29"/>
              <w:rPr>
                <w:rFonts w:hint="default" w:ascii="Times New Roman" w:hAnsi="Times New Roman" w:cs="Times New Roman"/>
              </w:rPr>
            </w:pPr>
            <w:r>
              <w:rPr>
                <w:rFonts w:hint="default" w:ascii="Times New Roman" w:hAnsi="Times New Roman" w:cs="Times New Roman"/>
              </w:rPr>
              <w:t>0</w:t>
            </w:r>
          </w:p>
        </w:tc>
        <w:tc>
          <w:tcPr>
            <w:tcW w:w="555" w:type="pct"/>
            <w:vAlign w:val="center"/>
          </w:tcPr>
          <w:p w14:paraId="33DAFFD9">
            <w:pPr>
              <w:pStyle w:val="29"/>
              <w:rPr>
                <w:rFonts w:hint="default" w:ascii="Times New Roman" w:hAnsi="Times New Roman" w:cs="Times New Roman"/>
              </w:rPr>
            </w:pPr>
            <w:r>
              <w:rPr>
                <w:rFonts w:hint="default" w:ascii="Times New Roman" w:hAnsi="Times New Roman" w:cs="Times New Roman"/>
              </w:rPr>
              <w:t>0.05</w:t>
            </w:r>
          </w:p>
        </w:tc>
        <w:tc>
          <w:tcPr>
            <w:tcW w:w="555" w:type="pct"/>
            <w:vAlign w:val="center"/>
          </w:tcPr>
          <w:p w14:paraId="7395FE26">
            <w:pPr>
              <w:pStyle w:val="29"/>
              <w:rPr>
                <w:rFonts w:hint="default" w:ascii="Times New Roman" w:hAnsi="Times New Roman" w:cs="Times New Roman"/>
              </w:rPr>
            </w:pPr>
            <w:r>
              <w:rPr>
                <w:rFonts w:hint="default" w:ascii="Times New Roman" w:hAnsi="Times New Roman" w:cs="Times New Roman"/>
              </w:rPr>
              <w:t>0</w:t>
            </w:r>
          </w:p>
        </w:tc>
        <w:tc>
          <w:tcPr>
            <w:tcW w:w="664" w:type="pct"/>
            <w:vAlign w:val="center"/>
          </w:tcPr>
          <w:p w14:paraId="5C43DB3C">
            <w:pPr>
              <w:pStyle w:val="29"/>
              <w:rPr>
                <w:rFonts w:hint="default" w:ascii="Times New Roman" w:hAnsi="Times New Roman" w:cs="Times New Roman"/>
              </w:rPr>
            </w:pPr>
            <w:r>
              <w:rPr>
                <w:rFonts w:hint="default" w:ascii="Times New Roman" w:hAnsi="Times New Roman" w:cs="Times New Roman"/>
              </w:rPr>
              <w:t>0.05</w:t>
            </w:r>
          </w:p>
        </w:tc>
        <w:tc>
          <w:tcPr>
            <w:tcW w:w="448" w:type="pct"/>
            <w:vAlign w:val="center"/>
          </w:tcPr>
          <w:p w14:paraId="323E6823">
            <w:pPr>
              <w:pStyle w:val="29"/>
              <w:rPr>
                <w:rFonts w:hint="default" w:ascii="Times New Roman" w:hAnsi="Times New Roman" w:cs="Times New Roman"/>
              </w:rPr>
            </w:pPr>
            <w:r>
              <w:rPr>
                <w:rFonts w:hint="default" w:ascii="Times New Roman" w:hAnsi="Times New Roman" w:cs="Times New Roman"/>
              </w:rPr>
              <w:t>+0.05</w:t>
            </w:r>
          </w:p>
        </w:tc>
      </w:tr>
    </w:tbl>
    <w:p w14:paraId="3AB6BFAB">
      <w:pPr>
        <w:pStyle w:val="29"/>
        <w:spacing w:before="192" w:beforeLines="80" w:after="24" w:line="220" w:lineRule="exact"/>
        <w:jc w:val="left"/>
        <w:rPr>
          <w:rFonts w:hint="default" w:ascii="Times New Roman" w:hAnsi="Times New Roman" w:cs="Times New Roman"/>
        </w:rPr>
      </w:pPr>
      <w:r>
        <w:rPr>
          <w:rFonts w:hint="default" w:ascii="Times New Roman" w:hAnsi="Times New Roman" w:cs="Times New Roman"/>
          <w:snapToGrid w:val="0"/>
          <w:kern w:val="21"/>
          <w:szCs w:val="21"/>
        </w:rPr>
        <w:t>注：</w:t>
      </w:r>
      <w:r>
        <w:rPr>
          <w:rFonts w:hint="default" w:ascii="Times New Roman" w:hAnsi="Times New Roman" w:cs="Times New Roman"/>
          <w:snapToGrid w:val="0"/>
          <w:spacing w:val="-16"/>
          <w:kern w:val="21"/>
          <w:szCs w:val="21"/>
        </w:rPr>
        <w:fldChar w:fldCharType="begin"/>
      </w:r>
      <w:r>
        <w:rPr>
          <w:rFonts w:hint="default" w:ascii="Times New Roman" w:hAnsi="Times New Roman" w:cs="Times New Roman"/>
          <w:snapToGrid w:val="0"/>
          <w:spacing w:val="-16"/>
          <w:kern w:val="21"/>
          <w:szCs w:val="21"/>
        </w:rPr>
        <w:instrText xml:space="preserve"> = 6 \* GB3 \* MERGEFORMAT </w:instrText>
      </w:r>
      <w:r>
        <w:rPr>
          <w:rFonts w:hint="default" w:ascii="Times New Roman" w:hAnsi="Times New Roman" w:cs="Times New Roman"/>
          <w:snapToGrid w:val="0"/>
          <w:spacing w:val="-16"/>
          <w:kern w:val="21"/>
          <w:szCs w:val="21"/>
        </w:rPr>
        <w:fldChar w:fldCharType="separate"/>
      </w:r>
      <w:r>
        <w:rPr>
          <w:rFonts w:hint="default" w:ascii="Times New Roman" w:hAnsi="Times New Roman" w:cs="Times New Roman"/>
          <w:szCs w:val="21"/>
        </w:rPr>
        <w:t>⑥</w:t>
      </w:r>
      <w:r>
        <w:rPr>
          <w:rFonts w:hint="default" w:ascii="Times New Roman" w:hAnsi="Times New Roman" w:cs="Times New Roman"/>
          <w:snapToGrid w:val="0"/>
          <w:spacing w:val="-16"/>
          <w:kern w:val="21"/>
          <w:szCs w:val="21"/>
        </w:rPr>
        <w:fldChar w:fldCharType="end"/>
      </w:r>
      <w:r>
        <w:rPr>
          <w:rFonts w:hint="default" w:ascii="Times New Roman" w:hAnsi="Times New Roman" w:cs="Times New Roman"/>
          <w:snapToGrid w:val="0"/>
          <w:spacing w:val="-16"/>
          <w:kern w:val="21"/>
          <w:szCs w:val="21"/>
        </w:rPr>
        <w:t>=</w:t>
      </w:r>
      <w:r>
        <w:rPr>
          <w:rFonts w:hint="default" w:ascii="Times New Roman" w:hAnsi="Times New Roman" w:cs="Times New Roman"/>
          <w:snapToGrid w:val="0"/>
          <w:spacing w:val="-6"/>
          <w:kern w:val="21"/>
          <w:szCs w:val="21"/>
        </w:rPr>
        <w:fldChar w:fldCharType="begin"/>
      </w:r>
      <w:r>
        <w:rPr>
          <w:rFonts w:hint="default" w:ascii="Times New Roman" w:hAnsi="Times New Roman" w:cs="Times New Roman"/>
          <w:snapToGrid w:val="0"/>
          <w:spacing w:val="-6"/>
          <w:kern w:val="21"/>
          <w:szCs w:val="21"/>
        </w:rPr>
        <w:instrText xml:space="preserve"> = 1 \* GB3 \* MERGEFORMAT </w:instrText>
      </w:r>
      <w:r>
        <w:rPr>
          <w:rFonts w:hint="default" w:ascii="Times New Roman" w:hAnsi="Times New Roman" w:cs="Times New Roman"/>
          <w:snapToGrid w:val="0"/>
          <w:spacing w:val="-6"/>
          <w:kern w:val="21"/>
          <w:szCs w:val="21"/>
        </w:rPr>
        <w:fldChar w:fldCharType="separate"/>
      </w:r>
      <w:r>
        <w:rPr>
          <w:rFonts w:hint="default" w:ascii="Times New Roman" w:hAnsi="Times New Roman" w:cs="Times New Roman"/>
          <w:szCs w:val="21"/>
        </w:rPr>
        <w:t>①</w:t>
      </w:r>
      <w:r>
        <w:rPr>
          <w:rFonts w:hint="default" w:ascii="Times New Roman" w:hAnsi="Times New Roman" w:cs="Times New Roman"/>
          <w:snapToGrid w:val="0"/>
          <w:spacing w:val="-6"/>
          <w:kern w:val="21"/>
          <w:szCs w:val="21"/>
        </w:rPr>
        <w:fldChar w:fldCharType="end"/>
      </w:r>
      <w:r>
        <w:rPr>
          <w:rFonts w:hint="default" w:ascii="Times New Roman" w:hAnsi="Times New Roman" w:cs="Times New Roman"/>
          <w:snapToGrid w:val="0"/>
          <w:spacing w:val="-6"/>
          <w:kern w:val="21"/>
          <w:szCs w:val="21"/>
        </w:rPr>
        <w:t>+</w:t>
      </w:r>
      <w:r>
        <w:rPr>
          <w:rFonts w:hint="default" w:ascii="Times New Roman" w:hAnsi="Times New Roman" w:cs="Times New Roman"/>
          <w:snapToGrid w:val="0"/>
          <w:spacing w:val="-6"/>
          <w:kern w:val="21"/>
          <w:szCs w:val="21"/>
        </w:rPr>
        <w:fldChar w:fldCharType="begin"/>
      </w:r>
      <w:r>
        <w:rPr>
          <w:rFonts w:hint="default" w:ascii="Times New Roman" w:hAnsi="Times New Roman" w:cs="Times New Roman"/>
          <w:snapToGrid w:val="0"/>
          <w:spacing w:val="-6"/>
          <w:kern w:val="21"/>
          <w:szCs w:val="21"/>
        </w:rPr>
        <w:instrText xml:space="preserve"> = 3 \* GB3 \* MERGEFORMAT </w:instrText>
      </w:r>
      <w:r>
        <w:rPr>
          <w:rFonts w:hint="default" w:ascii="Times New Roman" w:hAnsi="Times New Roman" w:cs="Times New Roman"/>
          <w:snapToGrid w:val="0"/>
          <w:spacing w:val="-6"/>
          <w:kern w:val="21"/>
          <w:szCs w:val="21"/>
        </w:rPr>
        <w:fldChar w:fldCharType="separate"/>
      </w:r>
      <w:r>
        <w:rPr>
          <w:rFonts w:hint="default" w:ascii="Times New Roman" w:hAnsi="Times New Roman" w:cs="Times New Roman"/>
          <w:szCs w:val="21"/>
        </w:rPr>
        <w:t>③</w:t>
      </w:r>
      <w:r>
        <w:rPr>
          <w:rFonts w:hint="default" w:ascii="Times New Roman" w:hAnsi="Times New Roman" w:cs="Times New Roman"/>
          <w:snapToGrid w:val="0"/>
          <w:spacing w:val="-6"/>
          <w:kern w:val="21"/>
          <w:szCs w:val="21"/>
        </w:rPr>
        <w:fldChar w:fldCharType="end"/>
      </w:r>
      <w:r>
        <w:rPr>
          <w:rFonts w:hint="default" w:ascii="Times New Roman" w:hAnsi="Times New Roman" w:cs="Times New Roman"/>
          <w:snapToGrid w:val="0"/>
          <w:spacing w:val="-6"/>
          <w:kern w:val="21"/>
          <w:szCs w:val="21"/>
        </w:rPr>
        <w:t>+</w:t>
      </w:r>
      <w:r>
        <w:rPr>
          <w:rFonts w:hint="default" w:ascii="Times New Roman" w:hAnsi="Times New Roman" w:cs="Times New Roman"/>
          <w:snapToGrid w:val="0"/>
          <w:spacing w:val="-6"/>
          <w:kern w:val="21"/>
          <w:szCs w:val="21"/>
        </w:rPr>
        <w:fldChar w:fldCharType="begin"/>
      </w:r>
      <w:r>
        <w:rPr>
          <w:rFonts w:hint="default" w:ascii="Times New Roman" w:hAnsi="Times New Roman" w:cs="Times New Roman"/>
          <w:snapToGrid w:val="0"/>
          <w:spacing w:val="-6"/>
          <w:kern w:val="21"/>
          <w:szCs w:val="21"/>
        </w:rPr>
        <w:instrText xml:space="preserve"> = 4 \* GB3 \* MERGEFORMAT </w:instrText>
      </w:r>
      <w:r>
        <w:rPr>
          <w:rFonts w:hint="default" w:ascii="Times New Roman" w:hAnsi="Times New Roman" w:cs="Times New Roman"/>
          <w:snapToGrid w:val="0"/>
          <w:spacing w:val="-6"/>
          <w:kern w:val="21"/>
          <w:szCs w:val="21"/>
        </w:rPr>
        <w:fldChar w:fldCharType="separate"/>
      </w:r>
      <w:r>
        <w:rPr>
          <w:rFonts w:hint="default" w:ascii="Times New Roman" w:hAnsi="Times New Roman" w:cs="Times New Roman"/>
          <w:szCs w:val="21"/>
        </w:rPr>
        <w:t>④</w:t>
      </w:r>
      <w:r>
        <w:rPr>
          <w:rFonts w:hint="default" w:ascii="Times New Roman" w:hAnsi="Times New Roman" w:cs="Times New Roman"/>
          <w:snapToGrid w:val="0"/>
          <w:spacing w:val="-6"/>
          <w:kern w:val="21"/>
          <w:szCs w:val="21"/>
        </w:rPr>
        <w:fldChar w:fldCharType="end"/>
      </w:r>
      <w:r>
        <w:rPr>
          <w:rFonts w:hint="default" w:ascii="Times New Roman" w:hAnsi="Times New Roman" w:cs="Times New Roman"/>
          <w:snapToGrid w:val="0"/>
          <w:spacing w:val="-6"/>
          <w:kern w:val="21"/>
          <w:szCs w:val="21"/>
        </w:rPr>
        <w:t>-</w:t>
      </w:r>
      <w:r>
        <w:rPr>
          <w:rFonts w:hint="default" w:ascii="Times New Roman" w:hAnsi="Times New Roman" w:cs="Times New Roman"/>
          <w:snapToGrid w:val="0"/>
          <w:spacing w:val="-16"/>
          <w:kern w:val="21"/>
          <w:szCs w:val="21"/>
        </w:rPr>
        <w:fldChar w:fldCharType="begin"/>
      </w:r>
      <w:r>
        <w:rPr>
          <w:rFonts w:hint="default" w:ascii="Times New Roman" w:hAnsi="Times New Roman" w:cs="Times New Roman"/>
          <w:snapToGrid w:val="0"/>
          <w:spacing w:val="-16"/>
          <w:kern w:val="21"/>
          <w:szCs w:val="21"/>
        </w:rPr>
        <w:instrText xml:space="preserve"> = 5 \* GB3 \* MERGEFORMAT </w:instrText>
      </w:r>
      <w:r>
        <w:rPr>
          <w:rFonts w:hint="default" w:ascii="Times New Roman" w:hAnsi="Times New Roman" w:cs="Times New Roman"/>
          <w:snapToGrid w:val="0"/>
          <w:spacing w:val="-16"/>
          <w:kern w:val="21"/>
          <w:szCs w:val="21"/>
        </w:rPr>
        <w:fldChar w:fldCharType="separate"/>
      </w:r>
      <w:r>
        <w:rPr>
          <w:rFonts w:hint="default" w:ascii="Times New Roman" w:hAnsi="Times New Roman" w:cs="Times New Roman"/>
          <w:szCs w:val="21"/>
        </w:rPr>
        <w:t>⑤</w:t>
      </w:r>
      <w:r>
        <w:rPr>
          <w:rFonts w:hint="default" w:ascii="Times New Roman" w:hAnsi="Times New Roman" w:cs="Times New Roman"/>
          <w:snapToGrid w:val="0"/>
          <w:spacing w:val="-16"/>
          <w:kern w:val="21"/>
          <w:szCs w:val="21"/>
        </w:rPr>
        <w:fldChar w:fldCharType="end"/>
      </w:r>
      <w:r>
        <w:rPr>
          <w:rFonts w:hint="default" w:ascii="Times New Roman" w:hAnsi="Times New Roman" w:cs="Times New Roman"/>
          <w:snapToGrid w:val="0"/>
          <w:spacing w:val="-16"/>
          <w:kern w:val="21"/>
          <w:szCs w:val="21"/>
        </w:rPr>
        <w:t>；</w:t>
      </w:r>
      <w:r>
        <w:rPr>
          <w:rFonts w:hint="default" w:ascii="Times New Roman" w:hAnsi="Times New Roman" w:cs="Times New Roman"/>
          <w:snapToGrid w:val="0"/>
          <w:spacing w:val="-6"/>
          <w:kern w:val="21"/>
          <w:szCs w:val="21"/>
        </w:rPr>
        <w:fldChar w:fldCharType="begin"/>
      </w:r>
      <w:r>
        <w:rPr>
          <w:rFonts w:hint="default" w:ascii="Times New Roman" w:hAnsi="Times New Roman" w:cs="Times New Roman"/>
          <w:snapToGrid w:val="0"/>
          <w:spacing w:val="-6"/>
          <w:kern w:val="21"/>
          <w:szCs w:val="21"/>
        </w:rPr>
        <w:instrText xml:space="preserve"> = 7 \* GB3 \* MERGEFORMAT </w:instrText>
      </w:r>
      <w:r>
        <w:rPr>
          <w:rFonts w:hint="default" w:ascii="Times New Roman" w:hAnsi="Times New Roman" w:cs="Times New Roman"/>
          <w:snapToGrid w:val="0"/>
          <w:spacing w:val="-6"/>
          <w:kern w:val="21"/>
          <w:szCs w:val="21"/>
        </w:rPr>
        <w:fldChar w:fldCharType="separate"/>
      </w:r>
      <w:r>
        <w:rPr>
          <w:rFonts w:hint="default" w:ascii="Times New Roman" w:hAnsi="Times New Roman" w:cs="Times New Roman"/>
          <w:szCs w:val="21"/>
        </w:rPr>
        <w:t>⑦</w:t>
      </w:r>
      <w:r>
        <w:rPr>
          <w:rFonts w:hint="default" w:ascii="Times New Roman" w:hAnsi="Times New Roman" w:cs="Times New Roman"/>
          <w:snapToGrid w:val="0"/>
          <w:spacing w:val="-6"/>
          <w:kern w:val="21"/>
          <w:szCs w:val="21"/>
        </w:rPr>
        <w:fldChar w:fldCharType="end"/>
      </w:r>
      <w:r>
        <w:rPr>
          <w:rFonts w:hint="default" w:ascii="Times New Roman" w:hAnsi="Times New Roman" w:cs="Times New Roman"/>
          <w:snapToGrid w:val="0"/>
          <w:spacing w:val="-6"/>
          <w:kern w:val="21"/>
          <w:szCs w:val="21"/>
        </w:rPr>
        <w:t>=</w:t>
      </w:r>
      <w:r>
        <w:rPr>
          <w:rFonts w:hint="default" w:ascii="Times New Roman" w:hAnsi="Times New Roman" w:cs="Times New Roman"/>
          <w:snapToGrid w:val="0"/>
          <w:spacing w:val="-16"/>
          <w:kern w:val="21"/>
          <w:szCs w:val="21"/>
        </w:rPr>
        <w:fldChar w:fldCharType="begin"/>
      </w:r>
      <w:r>
        <w:rPr>
          <w:rFonts w:hint="default" w:ascii="Times New Roman" w:hAnsi="Times New Roman" w:cs="Times New Roman"/>
          <w:snapToGrid w:val="0"/>
          <w:spacing w:val="-16"/>
          <w:kern w:val="21"/>
          <w:szCs w:val="21"/>
        </w:rPr>
        <w:instrText xml:space="preserve"> = 6 \* GB3 \* MERGEFORMAT </w:instrText>
      </w:r>
      <w:r>
        <w:rPr>
          <w:rFonts w:hint="default" w:ascii="Times New Roman" w:hAnsi="Times New Roman" w:cs="Times New Roman"/>
          <w:snapToGrid w:val="0"/>
          <w:spacing w:val="-16"/>
          <w:kern w:val="21"/>
          <w:szCs w:val="21"/>
        </w:rPr>
        <w:fldChar w:fldCharType="separate"/>
      </w:r>
      <w:r>
        <w:rPr>
          <w:rFonts w:hint="default" w:ascii="Times New Roman" w:hAnsi="Times New Roman" w:cs="Times New Roman"/>
          <w:szCs w:val="21"/>
        </w:rPr>
        <w:t>⑥</w:t>
      </w:r>
      <w:r>
        <w:rPr>
          <w:rFonts w:hint="default" w:ascii="Times New Roman" w:hAnsi="Times New Roman" w:cs="Times New Roman"/>
          <w:snapToGrid w:val="0"/>
          <w:spacing w:val="-16"/>
          <w:kern w:val="21"/>
          <w:szCs w:val="21"/>
        </w:rPr>
        <w:fldChar w:fldCharType="end"/>
      </w:r>
      <w:r>
        <w:rPr>
          <w:rFonts w:hint="default" w:ascii="Times New Roman" w:hAnsi="Times New Roman" w:cs="Times New Roman"/>
          <w:snapToGrid w:val="0"/>
          <w:spacing w:val="-16"/>
          <w:kern w:val="21"/>
          <w:szCs w:val="21"/>
        </w:rPr>
        <w:t>-</w:t>
      </w:r>
      <w:r>
        <w:rPr>
          <w:rFonts w:hint="default" w:ascii="Times New Roman" w:hAnsi="Times New Roman" w:cs="Times New Roman"/>
          <w:snapToGrid w:val="0"/>
          <w:spacing w:val="-6"/>
          <w:kern w:val="21"/>
          <w:szCs w:val="21"/>
        </w:rPr>
        <w:fldChar w:fldCharType="begin"/>
      </w:r>
      <w:r>
        <w:rPr>
          <w:rFonts w:hint="default" w:ascii="Times New Roman" w:hAnsi="Times New Roman" w:cs="Times New Roman"/>
          <w:snapToGrid w:val="0"/>
          <w:spacing w:val="-6"/>
          <w:kern w:val="21"/>
          <w:szCs w:val="21"/>
        </w:rPr>
        <w:instrText xml:space="preserve"> = 1 \* GB3 \* MERGEFORMAT </w:instrText>
      </w:r>
      <w:r>
        <w:rPr>
          <w:rFonts w:hint="default" w:ascii="Times New Roman" w:hAnsi="Times New Roman" w:cs="Times New Roman"/>
          <w:snapToGrid w:val="0"/>
          <w:spacing w:val="-6"/>
          <w:kern w:val="21"/>
          <w:szCs w:val="21"/>
        </w:rPr>
        <w:fldChar w:fldCharType="separate"/>
      </w:r>
      <w:r>
        <w:rPr>
          <w:rFonts w:hint="default" w:ascii="Times New Roman" w:hAnsi="Times New Roman" w:cs="Times New Roman"/>
          <w:szCs w:val="21"/>
        </w:rPr>
        <w:t>①</w:t>
      </w:r>
      <w:r>
        <w:rPr>
          <w:rFonts w:hint="default" w:ascii="Times New Roman" w:hAnsi="Times New Roman" w:cs="Times New Roman"/>
          <w:snapToGrid w:val="0"/>
          <w:spacing w:val="-6"/>
          <w:kern w:val="21"/>
          <w:szCs w:val="21"/>
        </w:rPr>
        <w:fldChar w:fldCharType="end"/>
      </w:r>
    </w:p>
    <w:p w14:paraId="1E84D21F"/>
    <w:sectPr>
      <w:headerReference r:id="rId11" w:type="default"/>
      <w:footerReference r:id="rId12" w:type="default"/>
      <w:pgSz w:w="16838" w:h="11906" w:orient="landscape"/>
      <w:pgMar w:top="1440" w:right="1080" w:bottom="1440" w:left="1080" w:header="851" w:footer="851"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AFF" w:usb1="C0007841"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Sim Hei">
    <w:altName w:val="宋体"/>
    <w:panose1 w:val="00000000000000000000"/>
    <w:charset w:val="86"/>
    <w:family w:val="swiss"/>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方正小标宋_GBK">
    <w:altName w:val="微软雅黑"/>
    <w:panose1 w:val="00000000000000000000"/>
    <w:charset w:val="86"/>
    <w:family w:val="auto"/>
    <w:pitch w:val="default"/>
    <w:sig w:usb0="00000000" w:usb1="00000000" w:usb2="00082016" w:usb3="00000000" w:csb0="00040001" w:csb1="00000000"/>
  </w:font>
  <w:font w:name="微软雅黑">
    <w:panose1 w:val="020B0503020204020204"/>
    <w:charset w:val="86"/>
    <w:family w:val="auto"/>
    <w:pitch w:val="default"/>
    <w:sig w:usb0="80000287" w:usb1="280F3C52" w:usb2="00000016" w:usb3="00000000" w:csb0="0004001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sans-serif">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Kingsoft UE">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3B27B">
    <w:pPr>
      <w:tabs>
        <w:tab w:val="center" w:pos="4153"/>
        <w:tab w:val="right" w:pos="8306"/>
      </w:tabs>
      <w:ind w:right="360" w:firstLine="360"/>
      <w:jc w:val="center"/>
    </w:pPr>
  </w:p>
  <w:p w14:paraId="39F2D5E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ED923">
    <w:pPr>
      <w:tabs>
        <w:tab w:val="center" w:pos="4153"/>
        <w:tab w:val="right" w:pos="8306"/>
      </w:tabs>
      <w:ind w:right="360"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6553DF">
                          <w:pPr>
                            <w:pStyle w:val="17"/>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516553DF">
                    <w:pPr>
                      <w:pStyle w:val="17"/>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CB541">
    <w:pPr>
      <w:tabs>
        <w:tab w:val="center" w:pos="4153"/>
        <w:tab w:val="right" w:pos="8306"/>
      </w:tabs>
      <w:ind w:right="360" w:firstLine="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0955195">
                          <w:pPr>
                            <w:tabs>
                              <w:tab w:val="center" w:pos="4153"/>
                              <w:tab w:val="right" w:pos="8306"/>
                            </w:tabs>
                          </w:pPr>
                          <w:r>
                            <w:fldChar w:fldCharType="begin"/>
                          </w:r>
                          <w:r>
                            <w:instrText xml:space="preserve"> PAGE  \* MERGEFORMAT </w:instrText>
                          </w:r>
                          <w:r>
                            <w:fldChar w:fldCharType="separate"/>
                          </w:r>
                          <w:r>
                            <w:t>96</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Ju61xDCAQAAjQMAAA4AAAAAAAAAAQAgAAAAHgEAAGRycy9lMm9Eb2MueG1sUEsF&#10;BgAAAAAGAAYAWQEAAFIFAAAAAA==&#10;">
              <v:fill on="f" focussize="0,0"/>
              <v:stroke on="f"/>
              <v:imagedata o:title=""/>
              <o:lock v:ext="edit" aspectratio="f"/>
              <v:textbox inset="0mm,0mm,0mm,0mm" style="mso-fit-shape-to-text:t;">
                <w:txbxContent>
                  <w:p w14:paraId="00955195">
                    <w:pPr>
                      <w:tabs>
                        <w:tab w:val="center" w:pos="4153"/>
                        <w:tab w:val="right" w:pos="8306"/>
                      </w:tabs>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89E3DA">
    <w:pPr>
      <w:pStyle w:val="18"/>
      <w:pBdr>
        <w:bottom w:val="single" w:color="auto" w:sz="4" w:space="1"/>
      </w:pBdr>
      <w:jc w:val="right"/>
      <w:rPr>
        <w:sz w:val="18"/>
        <w:szCs w:val="18"/>
      </w:rPr>
    </w:pPr>
    <w:r>
      <w:rPr>
        <w:rFonts w:hint="eastAsia"/>
        <w:sz w:val="18"/>
        <w:szCs w:val="18"/>
      </w:rPr>
      <w:t>一、建设项目基本情况</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0DC54">
    <w:pPr>
      <w:pStyle w:val="18"/>
      <w:pBdr>
        <w:bottom w:val="single" w:color="auto" w:sz="4" w:space="1"/>
      </w:pBdr>
      <w:jc w:val="right"/>
      <w:rPr>
        <w:sz w:val="24"/>
      </w:rPr>
    </w:pPr>
    <w:r>
      <w:rPr>
        <w:rFonts w:hint="eastAsia"/>
        <w:sz w:val="18"/>
        <w:szCs w:val="18"/>
      </w:rPr>
      <w:t>二、建设项目工程分析</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6D73EE">
    <w:pPr>
      <w:pBdr>
        <w:bottom w:val="single" w:color="auto" w:sz="4" w:space="0"/>
      </w:pBdr>
      <w:tabs>
        <w:tab w:val="center" w:pos="4153"/>
        <w:tab w:val="right" w:pos="8306"/>
      </w:tabs>
      <w:adjustRightInd w:val="0"/>
      <w:snapToGrid w:val="0"/>
      <w:spacing w:line="240" w:lineRule="auto"/>
      <w:jc w:val="right"/>
    </w:pPr>
    <w:r>
      <w:rPr>
        <w:rFonts w:hint="eastAsia"/>
        <w:sz w:val="18"/>
        <w:szCs w:val="18"/>
      </w:rPr>
      <w:t>三、区域环境质量现状、环境保护目标及评价标准</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F2574">
    <w:pPr>
      <w:pBdr>
        <w:bottom w:val="single" w:color="auto" w:sz="4" w:space="0"/>
      </w:pBdr>
      <w:tabs>
        <w:tab w:val="center" w:pos="4153"/>
        <w:tab w:val="right" w:pos="8306"/>
      </w:tabs>
      <w:adjustRightInd w:val="0"/>
      <w:snapToGrid w:val="0"/>
      <w:spacing w:line="240" w:lineRule="auto"/>
      <w:jc w:val="right"/>
      <w:rPr>
        <w:sz w:val="18"/>
        <w:szCs w:val="18"/>
      </w:rPr>
    </w:pPr>
    <w:r>
      <w:rPr>
        <w:rFonts w:hint="eastAsia"/>
        <w:sz w:val="18"/>
        <w:szCs w:val="18"/>
      </w:rPr>
      <w:t>四、主要环境影响和保护措施</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728F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4F369C"/>
    <w:multiLevelType w:val="singleLevel"/>
    <w:tmpl w:val="364F369C"/>
    <w:lvl w:ilvl="0" w:tentative="0">
      <w:start w:val="2"/>
      <w:numFmt w:val="decimal"/>
      <w:suff w:val="nothing"/>
      <w:lvlText w:val="（%1）"/>
      <w:lvlJc w:val="left"/>
    </w:lvl>
  </w:abstractNum>
  <w:abstractNum w:abstractNumId="1">
    <w:nsid w:val="4ADEC289"/>
    <w:multiLevelType w:val="singleLevel"/>
    <w:tmpl w:val="4ADEC289"/>
    <w:lvl w:ilvl="0" w:tentative="0">
      <w:start w:val="6"/>
      <w:numFmt w:val="chineseCounting"/>
      <w:suff w:val="nothing"/>
      <w:lvlText w:val="%1、"/>
      <w:lvlJc w:val="left"/>
      <w:rPr>
        <w:rFonts w:hint="eastAsia"/>
      </w:rPr>
    </w:lvl>
  </w:abstractNum>
  <w:abstractNum w:abstractNumId="2">
    <w:nsid w:val="6484A00F"/>
    <w:multiLevelType w:val="singleLevel"/>
    <w:tmpl w:val="6484A00F"/>
    <w:lvl w:ilvl="0" w:tentative="0">
      <w:start w:val="6"/>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I0NGRhMzQ5NzUyYjE4OGQ5MDJmZWJhODE4N2QxMmEifQ=="/>
  </w:docVars>
  <w:rsids>
    <w:rsidRoot w:val="079A2219"/>
    <w:rsid w:val="00025F4D"/>
    <w:rsid w:val="00147426"/>
    <w:rsid w:val="001F6359"/>
    <w:rsid w:val="0023104C"/>
    <w:rsid w:val="00276C12"/>
    <w:rsid w:val="002C7F10"/>
    <w:rsid w:val="003D6864"/>
    <w:rsid w:val="003E7A3C"/>
    <w:rsid w:val="0048751D"/>
    <w:rsid w:val="00506C1F"/>
    <w:rsid w:val="005939A1"/>
    <w:rsid w:val="006D40E1"/>
    <w:rsid w:val="007505A4"/>
    <w:rsid w:val="00830478"/>
    <w:rsid w:val="00843F39"/>
    <w:rsid w:val="00887F76"/>
    <w:rsid w:val="008D06FC"/>
    <w:rsid w:val="00926AB3"/>
    <w:rsid w:val="0096753F"/>
    <w:rsid w:val="009E5EC1"/>
    <w:rsid w:val="00A10620"/>
    <w:rsid w:val="00A4105B"/>
    <w:rsid w:val="00A95984"/>
    <w:rsid w:val="00AC1442"/>
    <w:rsid w:val="00BF2C4C"/>
    <w:rsid w:val="00D05AD3"/>
    <w:rsid w:val="00DF2C7E"/>
    <w:rsid w:val="00E22105"/>
    <w:rsid w:val="00FC37C1"/>
    <w:rsid w:val="03B15E5A"/>
    <w:rsid w:val="04ED3A23"/>
    <w:rsid w:val="06225F86"/>
    <w:rsid w:val="079A2219"/>
    <w:rsid w:val="08880D15"/>
    <w:rsid w:val="08BC1CEF"/>
    <w:rsid w:val="098C12E6"/>
    <w:rsid w:val="09B07E99"/>
    <w:rsid w:val="0AC853EE"/>
    <w:rsid w:val="0AF64E58"/>
    <w:rsid w:val="0B091D11"/>
    <w:rsid w:val="0C28640C"/>
    <w:rsid w:val="0DE572FA"/>
    <w:rsid w:val="0E092FDC"/>
    <w:rsid w:val="0E22385E"/>
    <w:rsid w:val="0EFC6FD1"/>
    <w:rsid w:val="0F905347"/>
    <w:rsid w:val="10204EAA"/>
    <w:rsid w:val="10CF6C3D"/>
    <w:rsid w:val="11AA54A4"/>
    <w:rsid w:val="12344EB9"/>
    <w:rsid w:val="125735A8"/>
    <w:rsid w:val="12DD4211"/>
    <w:rsid w:val="12DE078D"/>
    <w:rsid w:val="147A0CD9"/>
    <w:rsid w:val="15065869"/>
    <w:rsid w:val="1525275F"/>
    <w:rsid w:val="17B26E6B"/>
    <w:rsid w:val="18CE5C46"/>
    <w:rsid w:val="18E138A3"/>
    <w:rsid w:val="1941466A"/>
    <w:rsid w:val="19CD4417"/>
    <w:rsid w:val="19EE5D48"/>
    <w:rsid w:val="1A835647"/>
    <w:rsid w:val="1B5302F1"/>
    <w:rsid w:val="1D0B2F0F"/>
    <w:rsid w:val="1D3A3E7A"/>
    <w:rsid w:val="1E64324C"/>
    <w:rsid w:val="1F552056"/>
    <w:rsid w:val="1F8535E2"/>
    <w:rsid w:val="1FDC333E"/>
    <w:rsid w:val="218D1A9A"/>
    <w:rsid w:val="21D7200F"/>
    <w:rsid w:val="22253FD6"/>
    <w:rsid w:val="22360130"/>
    <w:rsid w:val="22DE5FB5"/>
    <w:rsid w:val="238E02F1"/>
    <w:rsid w:val="23C14CCA"/>
    <w:rsid w:val="247575E5"/>
    <w:rsid w:val="24C37A52"/>
    <w:rsid w:val="2511267B"/>
    <w:rsid w:val="252B5D5D"/>
    <w:rsid w:val="254D72F8"/>
    <w:rsid w:val="255D1B3E"/>
    <w:rsid w:val="266E549A"/>
    <w:rsid w:val="26EC1165"/>
    <w:rsid w:val="292B29EB"/>
    <w:rsid w:val="295A3629"/>
    <w:rsid w:val="2A7B2A03"/>
    <w:rsid w:val="2AAE41CD"/>
    <w:rsid w:val="2C09567D"/>
    <w:rsid w:val="2CAA7B18"/>
    <w:rsid w:val="2D2325AC"/>
    <w:rsid w:val="2DC14574"/>
    <w:rsid w:val="2DC731A9"/>
    <w:rsid w:val="2E8828C1"/>
    <w:rsid w:val="2FFC7C4A"/>
    <w:rsid w:val="301E36B5"/>
    <w:rsid w:val="30290494"/>
    <w:rsid w:val="303409C1"/>
    <w:rsid w:val="30833CFD"/>
    <w:rsid w:val="32CB0CF8"/>
    <w:rsid w:val="32E50A5C"/>
    <w:rsid w:val="339903B8"/>
    <w:rsid w:val="33D308A7"/>
    <w:rsid w:val="34403A44"/>
    <w:rsid w:val="3464195E"/>
    <w:rsid w:val="3476679F"/>
    <w:rsid w:val="3514601C"/>
    <w:rsid w:val="364F61C0"/>
    <w:rsid w:val="366A2726"/>
    <w:rsid w:val="3815253A"/>
    <w:rsid w:val="3A751FF8"/>
    <w:rsid w:val="3A765C61"/>
    <w:rsid w:val="3AF95859"/>
    <w:rsid w:val="3B4D7CCD"/>
    <w:rsid w:val="3BE9676F"/>
    <w:rsid w:val="3C1A3252"/>
    <w:rsid w:val="3D5642D8"/>
    <w:rsid w:val="3DA44C15"/>
    <w:rsid w:val="3DAF5C9B"/>
    <w:rsid w:val="3DC51AE4"/>
    <w:rsid w:val="3EA51073"/>
    <w:rsid w:val="3EE75E58"/>
    <w:rsid w:val="3F510C2F"/>
    <w:rsid w:val="40074C3E"/>
    <w:rsid w:val="40307DF2"/>
    <w:rsid w:val="40CC5EDF"/>
    <w:rsid w:val="41DE6B0A"/>
    <w:rsid w:val="42A72EE0"/>
    <w:rsid w:val="435E51EE"/>
    <w:rsid w:val="440D4E4E"/>
    <w:rsid w:val="478E3235"/>
    <w:rsid w:val="48551F1F"/>
    <w:rsid w:val="489F4D2E"/>
    <w:rsid w:val="492301AD"/>
    <w:rsid w:val="4A9B5868"/>
    <w:rsid w:val="4AE363DE"/>
    <w:rsid w:val="4C1C72D0"/>
    <w:rsid w:val="4CF5520E"/>
    <w:rsid w:val="4F5C56B3"/>
    <w:rsid w:val="514566E6"/>
    <w:rsid w:val="518C3140"/>
    <w:rsid w:val="518F2DEA"/>
    <w:rsid w:val="564A7404"/>
    <w:rsid w:val="571F1279"/>
    <w:rsid w:val="593B3490"/>
    <w:rsid w:val="596A0A97"/>
    <w:rsid w:val="5B4D0671"/>
    <w:rsid w:val="5B8D7C5D"/>
    <w:rsid w:val="5D5F0352"/>
    <w:rsid w:val="5DA77C46"/>
    <w:rsid w:val="5DD739DD"/>
    <w:rsid w:val="5E786A5C"/>
    <w:rsid w:val="5FA62F8D"/>
    <w:rsid w:val="611756CF"/>
    <w:rsid w:val="61B7701C"/>
    <w:rsid w:val="61C826C5"/>
    <w:rsid w:val="627E335B"/>
    <w:rsid w:val="62C35FFE"/>
    <w:rsid w:val="635D2CCF"/>
    <w:rsid w:val="639727E0"/>
    <w:rsid w:val="64B34D12"/>
    <w:rsid w:val="67355330"/>
    <w:rsid w:val="68D512E8"/>
    <w:rsid w:val="68DA0E00"/>
    <w:rsid w:val="6ACF2E50"/>
    <w:rsid w:val="6B5C027E"/>
    <w:rsid w:val="6C7E71BC"/>
    <w:rsid w:val="6CC369E5"/>
    <w:rsid w:val="6E17440C"/>
    <w:rsid w:val="6FEA44DF"/>
    <w:rsid w:val="70963C97"/>
    <w:rsid w:val="7213485D"/>
    <w:rsid w:val="72685F98"/>
    <w:rsid w:val="73257B3E"/>
    <w:rsid w:val="736013B0"/>
    <w:rsid w:val="75610B49"/>
    <w:rsid w:val="7713264A"/>
    <w:rsid w:val="77BD2282"/>
    <w:rsid w:val="78AA11B0"/>
    <w:rsid w:val="79171E9E"/>
    <w:rsid w:val="7A04063C"/>
    <w:rsid w:val="7C17072E"/>
    <w:rsid w:val="7C97356A"/>
    <w:rsid w:val="7E187B10"/>
    <w:rsid w:val="7E7E4D6C"/>
    <w:rsid w:val="7EEB2AB4"/>
    <w:rsid w:val="7F403E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iPriority="99"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3">
    <w:name w:val="heading 1"/>
    <w:basedOn w:val="1"/>
    <w:next w:val="1"/>
    <w:autoRedefine/>
    <w:qFormat/>
    <w:uiPriority w:val="0"/>
    <w:pPr>
      <w:keepNext/>
      <w:keepLines/>
      <w:spacing w:before="340" w:after="330" w:line="480" w:lineRule="auto"/>
      <w:jc w:val="center"/>
      <w:outlineLvl w:val="0"/>
    </w:pPr>
    <w:rPr>
      <w:rFonts w:eastAsia="黑体"/>
      <w:kern w:val="44"/>
      <w:sz w:val="28"/>
    </w:rPr>
  </w:style>
  <w:style w:type="paragraph" w:styleId="4">
    <w:name w:val="heading 2"/>
    <w:basedOn w:val="1"/>
    <w:next w:val="1"/>
    <w:autoRedefine/>
    <w:qFormat/>
    <w:uiPriority w:val="0"/>
    <w:pPr>
      <w:keepNext/>
      <w:keepLines/>
      <w:spacing w:before="260" w:after="260"/>
      <w:ind w:firstLine="540" w:firstLineChars="168"/>
      <w:outlineLvl w:val="1"/>
    </w:pPr>
    <w:rPr>
      <w:rFonts w:ascii="Arial" w:hAnsi="Arial" w:eastAsia="黑体"/>
      <w:b/>
      <w:bCs/>
      <w:sz w:val="32"/>
      <w:szCs w:val="32"/>
    </w:rPr>
  </w:style>
  <w:style w:type="paragraph" w:styleId="2">
    <w:name w:val="heading 3"/>
    <w:basedOn w:val="1"/>
    <w:next w:val="1"/>
    <w:autoRedefine/>
    <w:semiHidden/>
    <w:unhideWhenUsed/>
    <w:qFormat/>
    <w:uiPriority w:val="0"/>
    <w:pPr>
      <w:keepNext/>
      <w:keepLines/>
      <w:spacing w:before="260" w:after="260"/>
      <w:outlineLvl w:val="2"/>
    </w:pPr>
    <w:rPr>
      <w:b/>
      <w:sz w:val="28"/>
      <w:szCs w:val="28"/>
    </w:rPr>
  </w:style>
  <w:style w:type="paragraph" w:styleId="5">
    <w:name w:val="heading 4"/>
    <w:basedOn w:val="1"/>
    <w:next w:val="1"/>
    <w:autoRedefine/>
    <w:qFormat/>
    <w:uiPriority w:val="0"/>
    <w:pPr>
      <w:keepNext/>
      <w:spacing w:line="240" w:lineRule="auto"/>
      <w:jc w:val="center"/>
      <w:outlineLvl w:val="3"/>
    </w:pPr>
    <w:rPr>
      <w:rFonts w:hint="eastAsia"/>
      <w:b/>
      <w:spacing w:val="-11"/>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6">
    <w:name w:val="Normal Indent"/>
    <w:basedOn w:val="1"/>
    <w:next w:val="1"/>
    <w:qFormat/>
    <w:uiPriority w:val="0"/>
    <w:pPr>
      <w:ind w:firstLine="420" w:firstLineChars="200"/>
    </w:pPr>
  </w:style>
  <w:style w:type="paragraph" w:styleId="7">
    <w:name w:val="caption"/>
    <w:basedOn w:val="1"/>
    <w:next w:val="1"/>
    <w:autoRedefine/>
    <w:unhideWhenUsed/>
    <w:qFormat/>
    <w:uiPriority w:val="0"/>
    <w:pPr>
      <w:jc w:val="center"/>
    </w:pPr>
    <w:rPr>
      <w:b/>
    </w:rPr>
  </w:style>
  <w:style w:type="paragraph" w:styleId="8">
    <w:name w:val="annotation text"/>
    <w:basedOn w:val="1"/>
    <w:link w:val="57"/>
    <w:autoRedefine/>
    <w:qFormat/>
    <w:uiPriority w:val="0"/>
    <w:pPr>
      <w:jc w:val="left"/>
    </w:pPr>
  </w:style>
  <w:style w:type="paragraph" w:styleId="9">
    <w:name w:val="Salutation"/>
    <w:basedOn w:val="1"/>
    <w:next w:val="1"/>
    <w:autoRedefine/>
    <w:unhideWhenUsed/>
    <w:qFormat/>
    <w:uiPriority w:val="99"/>
    <w:rPr>
      <w:sz w:val="21"/>
    </w:rPr>
  </w:style>
  <w:style w:type="paragraph" w:styleId="10">
    <w:name w:val="Body Text"/>
    <w:basedOn w:val="1"/>
    <w:next w:val="1"/>
    <w:qFormat/>
    <w:uiPriority w:val="0"/>
    <w:pPr>
      <w:widowControl/>
      <w:snapToGrid w:val="0"/>
      <w:spacing w:before="60" w:after="160" w:line="259" w:lineRule="auto"/>
      <w:ind w:right="113"/>
    </w:pPr>
    <w:rPr>
      <w:kern w:val="0"/>
      <w:sz w:val="18"/>
      <w:szCs w:val="20"/>
    </w:rPr>
  </w:style>
  <w:style w:type="paragraph" w:styleId="11">
    <w:name w:val="Body Text Indent"/>
    <w:basedOn w:val="1"/>
    <w:next w:val="12"/>
    <w:qFormat/>
    <w:uiPriority w:val="0"/>
    <w:pPr>
      <w:spacing w:after="120"/>
      <w:ind w:left="420" w:leftChars="200"/>
    </w:pPr>
    <w:rPr>
      <w:kern w:val="0"/>
      <w:szCs w:val="20"/>
    </w:rPr>
  </w:style>
  <w:style w:type="paragraph" w:styleId="12">
    <w:name w:val="Body Text Indent 2"/>
    <w:basedOn w:val="1"/>
    <w:next w:val="13"/>
    <w:qFormat/>
    <w:uiPriority w:val="0"/>
    <w:pPr>
      <w:spacing w:line="400" w:lineRule="exact"/>
      <w:ind w:firstLine="573"/>
    </w:pPr>
    <w:rPr>
      <w:rFonts w:ascii="宋体" w:hAnsi="宋体"/>
      <w:sz w:val="28"/>
    </w:rPr>
  </w:style>
  <w:style w:type="paragraph" w:styleId="13">
    <w:name w:val="Body Text First Indent 2"/>
    <w:basedOn w:val="11"/>
    <w:next w:val="1"/>
    <w:unhideWhenUsed/>
    <w:qFormat/>
    <w:uiPriority w:val="0"/>
    <w:pPr>
      <w:spacing w:line="240" w:lineRule="auto"/>
      <w:ind w:firstLine="420"/>
    </w:pPr>
    <w:rPr>
      <w:sz w:val="21"/>
    </w:rPr>
  </w:style>
  <w:style w:type="paragraph" w:styleId="14">
    <w:name w:val="Plain Text"/>
    <w:basedOn w:val="1"/>
    <w:next w:val="15"/>
    <w:qFormat/>
    <w:uiPriority w:val="0"/>
    <w:rPr>
      <w:rFonts w:ascii="宋体" w:hAnsi="Courier New" w:cs="Courier New"/>
      <w:szCs w:val="21"/>
    </w:rPr>
  </w:style>
  <w:style w:type="paragraph" w:styleId="15">
    <w:name w:val="toc 1"/>
    <w:basedOn w:val="1"/>
    <w:next w:val="1"/>
    <w:autoRedefine/>
    <w:qFormat/>
    <w:uiPriority w:val="39"/>
    <w:rPr>
      <w:caps/>
    </w:rPr>
  </w:style>
  <w:style w:type="paragraph" w:styleId="16">
    <w:name w:val="Balloon Text"/>
    <w:basedOn w:val="1"/>
    <w:link w:val="59"/>
    <w:qFormat/>
    <w:uiPriority w:val="0"/>
    <w:pPr>
      <w:spacing w:line="240" w:lineRule="auto"/>
    </w:pPr>
    <w:rPr>
      <w:sz w:val="18"/>
      <w:szCs w:val="18"/>
    </w:rPr>
  </w:style>
  <w:style w:type="paragraph" w:styleId="17">
    <w:name w:val="footer"/>
    <w:basedOn w:val="1"/>
    <w:autoRedefine/>
    <w:qFormat/>
    <w:uiPriority w:val="99"/>
    <w:pPr>
      <w:tabs>
        <w:tab w:val="center" w:pos="4153"/>
        <w:tab w:val="right" w:pos="8306"/>
      </w:tabs>
      <w:snapToGrid w:val="0"/>
      <w:jc w:val="left"/>
    </w:pPr>
    <w:rPr>
      <w:kern w:val="0"/>
      <w:sz w:val="18"/>
      <w:szCs w:val="20"/>
    </w:rPr>
  </w:style>
  <w:style w:type="paragraph" w:styleId="18">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19">
    <w:name w:val="footnote text"/>
    <w:basedOn w:val="1"/>
    <w:unhideWhenUsed/>
    <w:qFormat/>
    <w:uiPriority w:val="0"/>
    <w:pPr>
      <w:spacing w:before="60" w:line="240" w:lineRule="auto"/>
      <w:ind w:firstLine="482"/>
      <w:jc w:val="left"/>
    </w:pPr>
    <w:rPr>
      <w:rFonts w:ascii="Arial" w:hAnsi="Arial" w:eastAsia="仿宋_GB2312"/>
      <w:kern w:val="0"/>
      <w:sz w:val="18"/>
      <w:szCs w:val="18"/>
    </w:rPr>
  </w:style>
  <w:style w:type="paragraph" w:styleId="20">
    <w:name w:val="annotation subject"/>
    <w:basedOn w:val="8"/>
    <w:next w:val="8"/>
    <w:link w:val="58"/>
    <w:qFormat/>
    <w:uiPriority w:val="0"/>
    <w:rPr>
      <w:b/>
      <w:bCs/>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autoRedefine/>
    <w:qFormat/>
    <w:uiPriority w:val="0"/>
  </w:style>
  <w:style w:type="character" w:styleId="25">
    <w:name w:val="annotation reference"/>
    <w:autoRedefine/>
    <w:qFormat/>
    <w:uiPriority w:val="0"/>
    <w:rPr>
      <w:sz w:val="21"/>
    </w:rPr>
  </w:style>
  <w:style w:type="paragraph" w:customStyle="1" w:styleId="26">
    <w:name w:val="Default"/>
    <w:basedOn w:val="27"/>
    <w:qFormat/>
    <w:uiPriority w:val="0"/>
    <w:pPr>
      <w:autoSpaceDE w:val="0"/>
      <w:autoSpaceDN w:val="0"/>
      <w:adjustRightInd w:val="0"/>
      <w:spacing w:line="500" w:lineRule="exact"/>
      <w:jc w:val="left"/>
      <w:outlineLvl w:val="3"/>
    </w:pPr>
    <w:rPr>
      <w:rFonts w:ascii="Sim Hei" w:eastAsia="Sim Hei" w:cs="Sim Hei"/>
      <w:b/>
      <w:color w:val="000000"/>
    </w:rPr>
  </w:style>
  <w:style w:type="paragraph" w:customStyle="1" w:styleId="27">
    <w:name w:val="正文文本 (13)"/>
    <w:basedOn w:val="1"/>
    <w:autoRedefine/>
    <w:qFormat/>
    <w:uiPriority w:val="0"/>
    <w:pPr>
      <w:shd w:val="clear" w:color="auto" w:fill="FFFFFF"/>
      <w:spacing w:line="494" w:lineRule="exact"/>
    </w:pPr>
    <w:rPr>
      <w:sz w:val="28"/>
      <w:szCs w:val="28"/>
      <w:lang w:eastAsia="en-US"/>
    </w:rPr>
  </w:style>
  <w:style w:type="paragraph" w:customStyle="1" w:styleId="28">
    <w:name w:val="表头"/>
    <w:basedOn w:val="1"/>
    <w:next w:val="1"/>
    <w:qFormat/>
    <w:uiPriority w:val="0"/>
    <w:pPr>
      <w:spacing w:after="120"/>
      <w:jc w:val="center"/>
    </w:pPr>
    <w:rPr>
      <w:rFonts w:hint="eastAsia"/>
      <w:b/>
      <w:bCs/>
    </w:rPr>
  </w:style>
  <w:style w:type="paragraph" w:customStyle="1" w:styleId="29">
    <w:name w:val="表格"/>
    <w:basedOn w:val="14"/>
    <w:next w:val="1"/>
    <w:autoRedefine/>
    <w:qFormat/>
    <w:uiPriority w:val="0"/>
    <w:pPr>
      <w:spacing w:line="240" w:lineRule="auto"/>
      <w:jc w:val="center"/>
    </w:pPr>
    <w:rPr>
      <w:rFonts w:ascii="Times New Roman" w:hAnsi="Times New Roman" w:cs="Times New Roman"/>
      <w:kern w:val="0"/>
      <w:sz w:val="18"/>
      <w:szCs w:val="18"/>
    </w:rPr>
  </w:style>
  <w:style w:type="paragraph" w:customStyle="1" w:styleId="30">
    <w:name w:val="样式 小四 行距: 1.5 倍行距"/>
    <w:basedOn w:val="1"/>
    <w:qFormat/>
    <w:uiPriority w:val="0"/>
    <w:pPr>
      <w:ind w:firstLine="480" w:firstLineChars="200"/>
    </w:pPr>
    <w:rPr>
      <w:rFonts w:cs="宋体"/>
    </w:rPr>
  </w:style>
  <w:style w:type="paragraph" w:styleId="31">
    <w:name w:val="List Paragraph"/>
    <w:basedOn w:val="1"/>
    <w:autoRedefine/>
    <w:qFormat/>
    <w:uiPriority w:val="0"/>
    <w:pPr>
      <w:ind w:firstLine="420"/>
    </w:pPr>
    <w:rPr>
      <w:rFonts w:ascii="Calibri" w:hAnsi="Calibri"/>
    </w:rPr>
  </w:style>
  <w:style w:type="table" w:customStyle="1" w:styleId="32">
    <w:name w:val="Table Normal"/>
    <w:autoRedefine/>
    <w:unhideWhenUsed/>
    <w:qFormat/>
    <w:uiPriority w:val="0"/>
    <w:tblPr>
      <w:tblCellMar>
        <w:top w:w="0" w:type="dxa"/>
        <w:left w:w="0" w:type="dxa"/>
        <w:bottom w:w="0" w:type="dxa"/>
        <w:right w:w="0" w:type="dxa"/>
      </w:tblCellMar>
    </w:tblPr>
  </w:style>
  <w:style w:type="paragraph" w:customStyle="1" w:styleId="33">
    <w:name w:val="表格标题"/>
    <w:basedOn w:val="14"/>
    <w:next w:val="34"/>
    <w:qFormat/>
    <w:uiPriority w:val="0"/>
    <w:pPr>
      <w:spacing w:before="120" w:after="60" w:line="240" w:lineRule="auto"/>
      <w:jc w:val="center"/>
    </w:pPr>
    <w:rPr>
      <w:rFonts w:ascii="Times New Roman" w:hAnsi="Times New Roman" w:eastAsia="黑体"/>
    </w:rPr>
  </w:style>
  <w:style w:type="paragraph" w:customStyle="1" w:styleId="34">
    <w:name w:val="表格内容"/>
    <w:next w:val="1"/>
    <w:qFormat/>
    <w:uiPriority w:val="0"/>
    <w:pPr>
      <w:snapToGrid w:val="0"/>
      <w:jc w:val="center"/>
    </w:pPr>
    <w:rPr>
      <w:rFonts w:ascii="Times New Roman" w:hAnsi="Times New Roman" w:eastAsia="宋体" w:cs="Times New Roman"/>
      <w:kern w:val="2"/>
      <w:sz w:val="18"/>
      <w:lang w:val="en-US" w:eastAsia="zh-CN" w:bidi="ar-SA"/>
    </w:rPr>
  </w:style>
  <w:style w:type="paragraph" w:customStyle="1" w:styleId="35">
    <w:name w:val="【表中文字】"/>
    <w:basedOn w:val="1"/>
    <w:qFormat/>
    <w:uiPriority w:val="0"/>
    <w:pPr>
      <w:jc w:val="center"/>
    </w:pPr>
    <w:rPr>
      <w:rFonts w:eastAsia="新宋体"/>
      <w:sz w:val="21"/>
      <w:szCs w:val="20"/>
    </w:rPr>
  </w:style>
  <w:style w:type="paragraph" w:customStyle="1" w:styleId="36">
    <w:name w:val="0报告正文格式1"/>
    <w:basedOn w:val="1"/>
    <w:qFormat/>
    <w:uiPriority w:val="0"/>
    <w:pPr>
      <w:widowControl/>
      <w:wordWrap w:val="0"/>
      <w:spacing w:line="460" w:lineRule="exact"/>
      <w:ind w:firstLine="200" w:firstLineChars="200"/>
    </w:pPr>
    <w:rPr>
      <w:lang w:bidi="en-US"/>
    </w:rPr>
  </w:style>
  <w:style w:type="paragraph" w:customStyle="1" w:styleId="37">
    <w:name w:val="177正文"/>
    <w:basedOn w:val="1"/>
    <w:qFormat/>
    <w:uiPriority w:val="0"/>
    <w:pPr>
      <w:adjustRightInd w:val="0"/>
      <w:snapToGrid w:val="0"/>
      <w:ind w:firstLine="720" w:firstLineChars="200"/>
    </w:pPr>
  </w:style>
  <w:style w:type="paragraph" w:customStyle="1" w:styleId="38">
    <w:name w:val="0表内"/>
    <w:qFormat/>
    <w:uiPriority w:val="0"/>
    <w:pPr>
      <w:framePr w:hSpace="180" w:wrap="around" w:vAnchor="text" w:hAnchor="text" w:xAlign="center" w:y="1"/>
      <w:suppressOverlap/>
      <w:adjustRightInd w:val="0"/>
      <w:snapToGrid w:val="0"/>
      <w:jc w:val="center"/>
    </w:pPr>
    <w:rPr>
      <w:rFonts w:ascii="Times New Roman" w:hAnsi="Times New Roman" w:eastAsia="宋体" w:cs="宋体"/>
      <w:kern w:val="2"/>
      <w:sz w:val="18"/>
      <w:szCs w:val="22"/>
      <w:lang w:val="zh-CN" w:eastAsia="zh-CN" w:bidi="ar-SA"/>
    </w:rPr>
  </w:style>
  <w:style w:type="paragraph" w:customStyle="1" w:styleId="39">
    <w:name w:val="0一级标题"/>
    <w:basedOn w:val="1"/>
    <w:qFormat/>
    <w:uiPriority w:val="0"/>
    <w:pPr>
      <w:framePr w:hSpace="180" w:wrap="around" w:vAnchor="text" w:hAnchor="text" w:xAlign="center" w:y="1"/>
      <w:adjustRightInd w:val="0"/>
      <w:snapToGrid w:val="0"/>
      <w:spacing w:line="460" w:lineRule="exact"/>
      <w:jc w:val="left"/>
    </w:pPr>
    <w:rPr>
      <w:b/>
      <w:szCs w:val="22"/>
    </w:rPr>
  </w:style>
  <w:style w:type="paragraph" w:customStyle="1" w:styleId="40">
    <w:name w:val="0二级标题"/>
    <w:basedOn w:val="36"/>
    <w:autoRedefine/>
    <w:qFormat/>
    <w:uiPriority w:val="0"/>
    <w:pPr>
      <w:framePr w:hSpace="180" w:wrap="around" w:vAnchor="text" w:hAnchor="text" w:xAlign="center" w:y="1"/>
      <w:suppressOverlap/>
      <w:wordWrap/>
    </w:pPr>
    <w:rPr>
      <w:b/>
    </w:rPr>
  </w:style>
  <w:style w:type="character" w:customStyle="1" w:styleId="41">
    <w:name w:val="0表头 字符"/>
    <w:basedOn w:val="23"/>
    <w:link w:val="42"/>
    <w:qFormat/>
    <w:uiPriority w:val="0"/>
    <w:rPr>
      <w:b/>
      <w:sz w:val="21"/>
      <w:szCs w:val="22"/>
    </w:rPr>
  </w:style>
  <w:style w:type="paragraph" w:customStyle="1" w:styleId="42">
    <w:name w:val="0表头"/>
    <w:basedOn w:val="1"/>
    <w:link w:val="41"/>
    <w:autoRedefine/>
    <w:qFormat/>
    <w:uiPriority w:val="0"/>
    <w:pPr>
      <w:framePr w:hSpace="180" w:wrap="around" w:vAnchor="text" w:hAnchor="text" w:xAlign="center" w:y="1"/>
      <w:suppressOverlap/>
      <w:adjustRightInd w:val="0"/>
      <w:snapToGrid w:val="0"/>
      <w:spacing w:line="460" w:lineRule="exact"/>
      <w:jc w:val="center"/>
    </w:pPr>
    <w:rPr>
      <w:b/>
      <w:sz w:val="21"/>
      <w:szCs w:val="22"/>
    </w:rPr>
  </w:style>
  <w:style w:type="paragraph" w:customStyle="1" w:styleId="43">
    <w:name w:val="五号居中一倍行距"/>
    <w:basedOn w:val="33"/>
    <w:next w:val="1"/>
    <w:unhideWhenUsed/>
    <w:qFormat/>
    <w:uiPriority w:val="0"/>
    <w:pPr>
      <w:wordWrap w:val="0"/>
      <w:snapToGrid w:val="0"/>
      <w:ind w:left="24" w:leftChars="10" w:right="24" w:rightChars="10"/>
    </w:pPr>
    <w:rPr>
      <w:sz w:val="21"/>
    </w:rPr>
  </w:style>
  <w:style w:type="paragraph" w:customStyle="1" w:styleId="44">
    <w:name w:val="#表头"/>
    <w:basedOn w:val="1"/>
    <w:autoRedefine/>
    <w:qFormat/>
    <w:uiPriority w:val="0"/>
    <w:pPr>
      <w:framePr w:hSpace="181" w:wrap="around" w:vAnchor="text" w:hAnchor="text" w:xAlign="center" w:y="1"/>
      <w:spacing w:before="120" w:beforeLines="50" w:line="240" w:lineRule="auto"/>
      <w:ind w:firstLine="198"/>
      <w:jc w:val="center"/>
    </w:pPr>
    <w:rPr>
      <w:b/>
      <w:sz w:val="21"/>
    </w:rPr>
  </w:style>
  <w:style w:type="paragraph" w:customStyle="1" w:styleId="45">
    <w:name w:val="#正文"/>
    <w:basedOn w:val="36"/>
    <w:link w:val="54"/>
    <w:qFormat/>
    <w:uiPriority w:val="0"/>
    <w:pPr>
      <w:ind w:firstLine="482"/>
    </w:pPr>
  </w:style>
  <w:style w:type="paragraph" w:customStyle="1" w:styleId="46">
    <w:name w:val="#表内"/>
    <w:qFormat/>
    <w:uiPriority w:val="0"/>
    <w:pPr>
      <w:framePr w:hSpace="180" w:wrap="around" w:vAnchor="text" w:hAnchor="text" w:xAlign="center" w:y="1"/>
      <w:adjustRightInd w:val="0"/>
      <w:snapToGrid w:val="0"/>
      <w:jc w:val="center"/>
    </w:pPr>
    <w:rPr>
      <w:rFonts w:ascii="Times New Roman" w:hAnsi="Times New Roman" w:eastAsia="宋体" w:cs="宋体"/>
      <w:kern w:val="2"/>
      <w:sz w:val="21"/>
      <w:szCs w:val="21"/>
      <w:lang w:val="zh-CN" w:eastAsia="zh-CN" w:bidi="ar-SA"/>
    </w:rPr>
  </w:style>
  <w:style w:type="paragraph" w:customStyle="1" w:styleId="47">
    <w:name w:val="0图"/>
    <w:basedOn w:val="44"/>
    <w:link w:val="60"/>
    <w:qFormat/>
    <w:uiPriority w:val="0"/>
    <w:pPr>
      <w:framePr w:wrap="around" w:vAnchor="margin"/>
    </w:pPr>
  </w:style>
  <w:style w:type="paragraph" w:customStyle="1" w:styleId="48">
    <w:name w:val="文本"/>
    <w:basedOn w:val="1"/>
    <w:qFormat/>
    <w:uiPriority w:val="0"/>
    <w:pPr>
      <w:adjustRightInd w:val="0"/>
      <w:snapToGrid w:val="0"/>
      <w:ind w:firstLine="1446" w:firstLineChars="200"/>
    </w:pPr>
  </w:style>
  <w:style w:type="paragraph" w:customStyle="1" w:styleId="49">
    <w:name w:val="表格正文"/>
    <w:basedOn w:val="6"/>
    <w:next w:val="1"/>
    <w:qFormat/>
    <w:uiPriority w:val="0"/>
    <w:pPr>
      <w:widowControl/>
      <w:adjustRightInd w:val="0"/>
      <w:jc w:val="center"/>
    </w:pPr>
    <w:rPr>
      <w:rFonts w:ascii="仿宋_GB2312" w:hAnsi="Calibri" w:eastAsia="仿宋_GB2312"/>
      <w:szCs w:val="20"/>
    </w:rPr>
  </w:style>
  <w:style w:type="paragraph" w:customStyle="1" w:styleId="50">
    <w:name w:val="本项目表格"/>
    <w:basedOn w:val="1"/>
    <w:qFormat/>
    <w:uiPriority w:val="0"/>
    <w:pPr>
      <w:widowControl/>
      <w:snapToGrid w:val="0"/>
      <w:jc w:val="center"/>
    </w:pPr>
    <w:rPr>
      <w:sz w:val="18"/>
      <w:szCs w:val="28"/>
    </w:rPr>
  </w:style>
  <w:style w:type="paragraph" w:customStyle="1" w:styleId="51">
    <w:name w:val="本项目表标题"/>
    <w:basedOn w:val="52"/>
    <w:qFormat/>
    <w:uiPriority w:val="0"/>
    <w:pPr>
      <w:spacing w:line="240" w:lineRule="auto"/>
      <w:ind w:firstLine="74" w:firstLineChars="74"/>
      <w:jc w:val="center"/>
    </w:pPr>
    <w:rPr>
      <w:b/>
      <w:color w:val="000000"/>
      <w:sz w:val="21"/>
    </w:rPr>
  </w:style>
  <w:style w:type="paragraph" w:customStyle="1" w:styleId="52">
    <w:name w:val="本项目正文"/>
    <w:basedOn w:val="1"/>
    <w:qFormat/>
    <w:uiPriority w:val="0"/>
    <w:pPr>
      <w:widowControl/>
      <w:adjustRightInd w:val="0"/>
      <w:snapToGrid w:val="0"/>
      <w:ind w:firstLine="200" w:firstLineChars="200"/>
      <w:jc w:val="left"/>
    </w:pPr>
    <w:rPr>
      <w:szCs w:val="21"/>
    </w:rPr>
  </w:style>
  <w:style w:type="paragraph" w:customStyle="1" w:styleId="53">
    <w:name w:val="0三级"/>
    <w:basedOn w:val="1"/>
    <w:qFormat/>
    <w:uiPriority w:val="0"/>
    <w:pPr>
      <w:framePr w:hSpace="181" w:wrap="around" w:vAnchor="text" w:hAnchor="text" w:xAlign="center" w:y="1"/>
      <w:spacing w:line="460" w:lineRule="exact"/>
      <w:ind w:firstLine="482" w:firstLineChars="200"/>
    </w:pPr>
    <w:rPr>
      <w:b/>
      <w:bCs/>
    </w:rPr>
  </w:style>
  <w:style w:type="character" w:customStyle="1" w:styleId="54">
    <w:name w:val="#正文 Char"/>
    <w:basedOn w:val="23"/>
    <w:link w:val="45"/>
    <w:qFormat/>
    <w:uiPriority w:val="0"/>
  </w:style>
  <w:style w:type="paragraph" w:customStyle="1" w:styleId="55">
    <w:name w:val="0二级"/>
    <w:basedOn w:val="36"/>
    <w:autoRedefine/>
    <w:qFormat/>
    <w:uiPriority w:val="0"/>
    <w:rPr>
      <w:b/>
    </w:rPr>
  </w:style>
  <w:style w:type="paragraph" w:customStyle="1" w:styleId="56">
    <w:name w:val="表内文字"/>
    <w:basedOn w:val="1"/>
    <w:unhideWhenUsed/>
    <w:qFormat/>
    <w:uiPriority w:val="0"/>
    <w:pPr>
      <w:adjustRightInd w:val="0"/>
      <w:snapToGrid w:val="0"/>
      <w:spacing w:line="240" w:lineRule="auto"/>
      <w:jc w:val="center"/>
      <w:textAlignment w:val="baseline"/>
    </w:pPr>
    <w:rPr>
      <w:sz w:val="18"/>
      <w:szCs w:val="18"/>
    </w:rPr>
  </w:style>
  <w:style w:type="character" w:customStyle="1" w:styleId="57">
    <w:name w:val="批注文字 Char"/>
    <w:basedOn w:val="23"/>
    <w:link w:val="8"/>
    <w:qFormat/>
    <w:uiPriority w:val="0"/>
    <w:rPr>
      <w:kern w:val="2"/>
      <w:sz w:val="24"/>
      <w:szCs w:val="24"/>
    </w:rPr>
  </w:style>
  <w:style w:type="character" w:customStyle="1" w:styleId="58">
    <w:name w:val="批注主题 Char"/>
    <w:basedOn w:val="57"/>
    <w:link w:val="20"/>
    <w:qFormat/>
    <w:uiPriority w:val="0"/>
    <w:rPr>
      <w:b/>
      <w:bCs/>
      <w:kern w:val="2"/>
      <w:sz w:val="24"/>
      <w:szCs w:val="24"/>
    </w:rPr>
  </w:style>
  <w:style w:type="character" w:customStyle="1" w:styleId="59">
    <w:name w:val="批注框文本 Char"/>
    <w:basedOn w:val="23"/>
    <w:link w:val="16"/>
    <w:qFormat/>
    <w:uiPriority w:val="0"/>
    <w:rPr>
      <w:kern w:val="2"/>
      <w:sz w:val="18"/>
      <w:szCs w:val="18"/>
    </w:rPr>
  </w:style>
  <w:style w:type="character" w:customStyle="1" w:styleId="60">
    <w:name w:val="0图 Char"/>
    <w:basedOn w:val="23"/>
    <w:link w:val="47"/>
    <w:qFormat/>
    <w:uiPriority w:val="0"/>
    <w:rPr>
      <w:b/>
      <w:kern w:val="2"/>
      <w:sz w:val="21"/>
      <w:szCs w:val="24"/>
    </w:rPr>
  </w:style>
  <w:style w:type="paragraph" w:customStyle="1" w:styleId="61">
    <w:name w:val="0 一级"/>
    <w:basedOn w:val="1"/>
    <w:next w:val="45"/>
    <w:qFormat/>
    <w:uiPriority w:val="0"/>
    <w:pPr>
      <w:framePr w:hSpace="181" w:wrap="around" w:vAnchor="text" w:hAnchor="text" w:xAlign="center" w:y="1"/>
      <w:spacing w:after="0" w:line="460" w:lineRule="exact"/>
      <w:outlineLvl w:val="1"/>
    </w:pPr>
    <w:rPr>
      <w:b/>
      <w:bCs/>
      <w:szCs w:val="24"/>
    </w:rPr>
  </w:style>
  <w:style w:type="paragraph" w:customStyle="1" w:styleId="62">
    <w:name w:val="0一级"/>
    <w:basedOn w:val="1"/>
    <w:next w:val="45"/>
    <w:qFormat/>
    <w:uiPriority w:val="0"/>
    <w:pPr>
      <w:framePr w:hSpace="180" w:wrap="around" w:vAnchor="text" w:hAnchor="text" w:xAlign="center" w:y="1"/>
      <w:adjustRightInd w:val="0"/>
      <w:snapToGrid w:val="0"/>
      <w:spacing w:after="0" w:line="460" w:lineRule="exact"/>
      <w:jc w:val="left"/>
    </w:pPr>
    <w:rPr>
      <w:b/>
      <w:szCs w:val="22"/>
    </w:rPr>
  </w:style>
  <w:style w:type="paragraph" w:customStyle="1" w:styleId="63">
    <w:name w:val="0BT"/>
    <w:basedOn w:val="44"/>
    <w:qFormat/>
    <w:uiPriority w:val="0"/>
    <w:pPr>
      <w:framePr w:wrap="around" w:vAnchor="margin" w:hAnchor="text"/>
      <w:spacing w:line="440" w:lineRule="exact"/>
    </w:pPr>
    <w:rPr>
      <w:snapToGrid w:val="0"/>
      <w:kern w:val="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header" Target="header1.xml"/><Relationship Id="rId57" Type="http://schemas.openxmlformats.org/officeDocument/2006/relationships/fontTable" Target="fontTable.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40.png"/><Relationship Id="rId53" Type="http://schemas.openxmlformats.org/officeDocument/2006/relationships/image" Target="media/image39.jpe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footer" Target="foot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jpeg"/><Relationship Id="rId46" Type="http://schemas.openxmlformats.org/officeDocument/2006/relationships/image" Target="media/image32.jpeg"/><Relationship Id="rId45" Type="http://schemas.openxmlformats.org/officeDocument/2006/relationships/image" Target="media/image31.png"/><Relationship Id="rId44" Type="http://schemas.openxmlformats.org/officeDocument/2006/relationships/image" Target="media/image30.jpeg"/><Relationship Id="rId43" Type="http://schemas.openxmlformats.org/officeDocument/2006/relationships/image" Target="media/image29.png"/><Relationship Id="rId42" Type="http://schemas.openxmlformats.org/officeDocument/2006/relationships/image" Target="media/image28.wmf"/><Relationship Id="rId41" Type="http://schemas.openxmlformats.org/officeDocument/2006/relationships/image" Target="media/image27.wmf"/><Relationship Id="rId40" Type="http://schemas.openxmlformats.org/officeDocument/2006/relationships/image" Target="media/image26.wmf"/><Relationship Id="rId4" Type="http://schemas.openxmlformats.org/officeDocument/2006/relationships/endnotes" Target="endnotes.xml"/><Relationship Id="rId39" Type="http://schemas.openxmlformats.org/officeDocument/2006/relationships/oleObject" Target="embeddings/oleObject1.bin"/><Relationship Id="rId38" Type="http://schemas.openxmlformats.org/officeDocument/2006/relationships/image" Target="media/image25.wmf"/><Relationship Id="rId37" Type="http://schemas.openxmlformats.org/officeDocument/2006/relationships/image" Target="media/image24.wmf"/><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jpeg"/><Relationship Id="rId33" Type="http://schemas.openxmlformats.org/officeDocument/2006/relationships/image" Target="media/image20.pn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GIF"/><Relationship Id="rId28" Type="http://schemas.openxmlformats.org/officeDocument/2006/relationships/image" Target="media/image15.png"/><Relationship Id="rId27" Type="http://schemas.openxmlformats.org/officeDocument/2006/relationships/image" Target="media/image14.GIF"/><Relationship Id="rId26" Type="http://schemas.openxmlformats.org/officeDocument/2006/relationships/image" Target="media/image13.png"/><Relationship Id="rId25" Type="http://schemas.openxmlformats.org/officeDocument/2006/relationships/image" Target="media/image12.jpe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3.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Organization</Company>
  <Pages>106</Pages>
  <Words>59760</Words>
  <Characters>68846</Characters>
  <Lines>3546</Lines>
  <Paragraphs>4459</Paragraphs>
  <TotalTime>345</TotalTime>
  <ScaleCrop>false</ScaleCrop>
  <LinksUpToDate>false</LinksUpToDate>
  <CharactersWithSpaces>69457</CharactersWithSpaces>
  <Application>WPS Office_12.1.0.22089_F1E327BC-269C-435d-A152-05C5408002CA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2025-08-29T04:06:00Z</dcterms:created>
  <dc:creator>盐汽水</dc:creator>
  <cp:lastModifiedBy>DearAurora</cp:lastModifiedBy>
  <cp:lastPrinted>2024-07-09T03:30:00Z</cp:lastPrinted>
  <dcterms:modified xsi:type="dcterms:W3CDTF">2025-09-02T06:32:02Z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2052-12.1.0.22089</vt:lpwstr>
  </property>
  <property fmtid="{D5CDD505-2E9C-101B-9397-08002B2CF9AE}" pid="3" name="ICV">
    <vt:lpwstr>5C2047B1841647FE95C285BC92EE2863_13</vt:lpwstr>
  </property>
  <property fmtid="{D5CDD505-2E9C-101B-9397-08002B2CF9AE}" pid="4" name="KSOTemplateDocerSaveRecord">
    <vt:lpwstr>eyJoZGlkIjoiYWVkNDEwMGE1ZWZmNzQ2MDI1OTk1YzUwNjBmMjVlNWEiLCJ1c2VySWQiOiIxNDE0MzEzNyJ9</vt:lpwstr>
  </property>
</Properties>
</file>